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ANNUAL AND TRANSITION REPORTS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SECTIONS 13 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15(d) OF THE SECURITIES EXCHANGE ACT OF 1934</w:t>
      </w:r>
    </w:p>
    <w:p>
      <w:pPr>
        <w:spacing w:after="0" w:line="7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37" w:lineRule="exact"/>
        <w:rPr>
          <w:sz w:val="24"/>
          <w:szCs w:val="24"/>
          <w:color w:val="auto"/>
        </w:rPr>
      </w:pPr>
    </w:p>
    <w:p>
      <w:pPr>
        <w:ind w:left="440"/>
        <w:spacing w:after="0"/>
        <w:rPr>
          <w:sz w:val="20"/>
          <w:szCs w:val="20"/>
          <w:color w:val="auto"/>
        </w:rPr>
      </w:pPr>
      <w:r>
        <w:rPr>
          <w:rFonts w:ascii="Arial" w:cs="Arial" w:eastAsia="Arial" w:hAnsi="Arial"/>
          <w:sz w:val="22"/>
          <w:szCs w:val="22"/>
          <w:b w:val="1"/>
          <w:bCs w:val="1"/>
          <w:color w:val="auto"/>
        </w:rPr>
        <w:t>For the fiscal year ended December 31, 2017</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8" w:lineRule="exact"/>
        <w:rPr>
          <w:sz w:val="24"/>
          <w:szCs w:val="24"/>
          <w:color w:val="auto"/>
        </w:rPr>
      </w:pPr>
    </w:p>
    <w:p>
      <w:pPr>
        <w:ind w:left="440"/>
        <w:spacing w:after="0"/>
        <w:tabs>
          <w:tab w:leader="none" w:pos="386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0-21044</w:t>
      </w:r>
    </w:p>
    <w:p>
      <w:pPr>
        <w:spacing w:after="0" w:line="7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225" w:right="239" w:bottom="83" w:gutter="0" w:footer="0" w:header="0"/>
        </w:sectPr>
      </w:pPr>
    </w:p>
    <w:p>
      <w:pPr>
        <w:spacing w:after="0" w:line="340" w:lineRule="exact"/>
        <w:rPr>
          <w:sz w:val="24"/>
          <w:szCs w:val="24"/>
          <w:color w:val="auto"/>
        </w:rPr>
      </w:pPr>
    </w:p>
    <w:p>
      <w:pPr>
        <w:ind w:left="23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33-0204817</w:t>
      </w:r>
    </w:p>
    <w:p>
      <w:pPr>
        <w:spacing w:after="0" w:line="82" w:lineRule="exact"/>
        <w:rPr>
          <w:sz w:val="24"/>
          <w:szCs w:val="24"/>
          <w:color w:val="auto"/>
        </w:rPr>
      </w:pPr>
    </w:p>
    <w:p>
      <w:pPr>
        <w:sectPr>
          <w:pgSz w:w="11900" w:h="16838" w:orient="portrait"/>
          <w:cols w:equalWidth="0" w:num="2">
            <w:col w:w="7540" w:space="720"/>
            <w:col w:w="3160"/>
          </w:cols>
          <w:pgMar w:left="240" w:top="225" w:right="239" w:bottom="83" w:gutter="0" w:footer="0" w:header="0"/>
          <w:type w:val="continuous"/>
        </w:sectPr>
      </w:pPr>
    </w:p>
    <w:p>
      <w:pPr>
        <w:ind w:left="18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7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63" w:lineRule="exact"/>
        <w:rPr>
          <w:sz w:val="24"/>
          <w:szCs w:val="24"/>
          <w:color w:val="auto"/>
        </w:rPr>
      </w:pPr>
    </w:p>
    <w:p>
      <w:pPr>
        <w:sectPr>
          <w:pgSz w:w="11900" w:h="16838" w:orient="portrait"/>
          <w:cols w:equalWidth="0" w:num="2">
            <w:col w:w="7400" w:space="720"/>
            <w:col w:w="3300"/>
          </w:cols>
          <w:pgMar w:left="240" w:top="225" w:right="239" w:bottom="83" w:gutter="0" w:footer="0" w:header="0"/>
          <w:type w:val="continuous"/>
        </w:sectPr>
      </w:pPr>
    </w:p>
    <w:p>
      <w:pPr>
        <w:jc w:val="center"/>
        <w:ind w:right="2240"/>
        <w:spacing w:after="0"/>
        <w:rPr>
          <w:sz w:val="20"/>
          <w:szCs w:val="20"/>
          <w:color w:val="auto"/>
        </w:rPr>
      </w:pPr>
      <w:r>
        <w:rPr>
          <w:rFonts w:ascii="Arial" w:cs="Arial" w:eastAsia="Arial" w:hAnsi="Arial"/>
          <w:sz w:val="16"/>
          <w:szCs w:val="16"/>
          <w:b w:val="1"/>
          <w:bCs w:val="1"/>
          <w:color w:val="auto"/>
        </w:rPr>
        <w:t>201 E. Sandpointe Avenue, 8</w:t>
      </w:r>
      <w:r>
        <w:rPr>
          <w:rFonts w:ascii="Arial" w:cs="Arial" w:eastAsia="Arial" w:hAnsi="Arial"/>
          <w:sz w:val="11"/>
          <w:szCs w:val="11"/>
          <w:b w:val="1"/>
          <w:bCs w:val="1"/>
          <w:color w:val="auto"/>
        </w:rPr>
        <w:t>th</w:t>
      </w:r>
      <w:r>
        <w:rPr>
          <w:rFonts w:ascii="Arial" w:cs="Arial" w:eastAsia="Arial" w:hAnsi="Arial"/>
          <w:sz w:val="16"/>
          <w:szCs w:val="16"/>
          <w:b w:val="1"/>
          <w:bCs w:val="1"/>
          <w:color w:val="auto"/>
        </w:rPr>
        <w:t xml:space="preserve"> Floor</w:t>
      </w:r>
    </w:p>
    <w:p>
      <w:pPr>
        <w:spacing w:after="0" w:line="50"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Santa Ana, California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92707</w:t>
      </w:r>
    </w:p>
    <w:p>
      <w:pPr>
        <w:spacing w:after="0" w:line="81" w:lineRule="exact"/>
        <w:rPr>
          <w:sz w:val="24"/>
          <w:szCs w:val="24"/>
          <w:color w:val="auto"/>
        </w:rPr>
      </w:pPr>
    </w:p>
    <w:p>
      <w:pPr>
        <w:sectPr>
          <w:pgSz w:w="11900" w:h="16838" w:orient="portrait"/>
          <w:cols w:equalWidth="0" w:num="2">
            <w:col w:w="7740" w:space="720"/>
            <w:col w:w="2960"/>
          </w:cols>
          <w:pgMar w:left="240" w:top="225" w:right="239" w:bottom="83" w:gutter="0" w:footer="0" w:header="0"/>
          <w:type w:val="continuous"/>
        </w:sectPr>
      </w:pPr>
    </w:p>
    <w:p>
      <w:pPr>
        <w:ind w:left="15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3" w:lineRule="exact"/>
        <w:rPr>
          <w:sz w:val="24"/>
          <w:szCs w:val="24"/>
          <w:color w:val="auto"/>
        </w:rPr>
      </w:pPr>
    </w:p>
    <w:p>
      <w:pPr>
        <w:sectPr>
          <w:pgSz w:w="11900" w:h="16838" w:orient="portrait"/>
          <w:cols w:equalWidth="0" w:num="2">
            <w:col w:w="7640" w:space="720"/>
            <w:col w:w="3060"/>
          </w:cols>
          <w:pgMar w:left="240" w:top="225" w:right="239" w:bottom="83"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(714) 918-9500</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420"/>
          </w:cols>
          <w:pgMar w:left="240" w:top="225" w:right="239" w:bottom="83" w:gutter="0" w:footer="0" w:header="0"/>
          <w:type w:val="continuous"/>
        </w:sectPr>
      </w:pPr>
    </w:p>
    <w:p>
      <w:pPr>
        <w:spacing w:after="0" w:line="360" w:lineRule="exact"/>
        <w:rPr>
          <w:sz w:val="24"/>
          <w:szCs w:val="24"/>
          <w:color w:val="auto"/>
        </w:rPr>
      </w:pPr>
    </w:p>
    <w:p>
      <w:pPr>
        <w:ind w:left="1180"/>
        <w:spacing w:after="0"/>
        <w:rPr>
          <w:sz w:val="20"/>
          <w:szCs w:val="20"/>
          <w:color w:val="auto"/>
        </w:rPr>
      </w:pPr>
      <w:r>
        <w:rPr>
          <w:rFonts w:ascii="Arial" w:cs="Arial" w:eastAsia="Arial" w:hAnsi="Arial"/>
          <w:sz w:val="16"/>
          <w:szCs w:val="16"/>
          <w:b w:val="1"/>
          <w:bCs w:val="1"/>
          <w:color w:val="auto"/>
        </w:rPr>
        <w:t>Common Stock, par value $.01 per share</w:t>
      </w:r>
    </w:p>
    <w:p>
      <w:pPr>
        <w:spacing w:after="0" w:line="20" w:lineRule="exact"/>
        <w:rPr>
          <w:sz w:val="24"/>
          <w:szCs w:val="24"/>
          <w:color w:val="auto"/>
        </w:rPr>
      </w:pPr>
      <w:r>
        <w:rPr>
          <w:sz w:val="24"/>
          <w:szCs w:val="24"/>
          <w:color w:val="auto"/>
        </w:rPr>
        <w:br w:type="column"/>
      </w: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The NASDAQ Stock Market LLC</w:t>
      </w:r>
    </w:p>
    <w:p>
      <w:pPr>
        <w:spacing w:after="0" w:line="70" w:lineRule="exact"/>
        <w:rPr>
          <w:sz w:val="24"/>
          <w:szCs w:val="24"/>
          <w:color w:val="auto"/>
        </w:rPr>
      </w:pPr>
    </w:p>
    <w:p>
      <w:pPr>
        <w:sectPr>
          <w:pgSz w:w="11900" w:h="16838" w:orient="portrait"/>
          <w:cols w:equalWidth="0" w:num="2">
            <w:col w:w="6660" w:space="720"/>
            <w:col w:w="4040"/>
          </w:cols>
          <w:pgMar w:left="240" w:top="225" w:right="239" w:bottom="83" w:gutter="0" w:footer="0" w:header="0"/>
          <w:type w:val="continuous"/>
        </w:sectPr>
      </w:pPr>
    </w:p>
    <w:p>
      <w:pPr>
        <w:ind w:left="2300"/>
        <w:spacing w:after="0"/>
        <w:rPr>
          <w:sz w:val="20"/>
          <w:szCs w:val="20"/>
          <w:color w:val="auto"/>
        </w:rPr>
      </w:pPr>
      <w:r>
        <w:rPr>
          <w:rFonts w:ascii="Arial" w:cs="Arial" w:eastAsia="Arial" w:hAnsi="Arial"/>
          <w:sz w:val="13"/>
          <w:szCs w:val="13"/>
          <w:b w:val="1"/>
          <w:bCs w:val="1"/>
          <w:color w:val="auto"/>
        </w:rPr>
        <w:t>(Title of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122" w:lineRule="exact"/>
        <w:rPr>
          <w:sz w:val="24"/>
          <w:szCs w:val="24"/>
          <w:color w:val="auto"/>
        </w:rPr>
      </w:pPr>
    </w:p>
    <w:p>
      <w:pPr>
        <w:sectPr>
          <w:pgSz w:w="11900" w:h="16838" w:orient="portrait"/>
          <w:cols w:equalWidth="0" w:num="2">
            <w:col w:w="6580" w:space="720"/>
            <w:col w:w="4120"/>
          </w:cols>
          <w:pgMar w:left="240" w:top="225" w:right="239" w:bottom="83"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62"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ectPr>
          <w:pgSz w:w="11900" w:h="16838" w:orient="portrait"/>
          <w:cols w:equalWidth="0" w:num="1">
            <w:col w:w="11420"/>
          </w:cols>
          <w:pgMar w:left="240" w:top="225" w:right="239" w:bottom="83" w:gutter="0" w:footer="0" w:header="0"/>
          <w:type w:val="continuous"/>
        </w:sectPr>
      </w:pPr>
    </w:p>
    <w:p>
      <w:pPr>
        <w:spacing w:after="0" w:line="57" w:lineRule="exact"/>
        <w:rPr>
          <w:sz w:val="24"/>
          <w:szCs w:val="24"/>
          <w:color w:val="auto"/>
        </w:rPr>
      </w:pPr>
    </w:p>
    <w:p>
      <w:pPr>
        <w:spacing w:after="0" w:line="196" w:lineRule="exact"/>
        <w:tabs>
          <w:tab w:leader="none" w:pos="9320" w:val="left"/>
        </w:tabs>
        <w:rPr>
          <w:sz w:val="20"/>
          <w:szCs w:val="20"/>
          <w:color w:val="auto"/>
        </w:rPr>
      </w:pPr>
      <w:r>
        <w:rPr>
          <w:rFonts w:ascii="Arial" w:cs="Arial" w:eastAsia="Arial" w:hAnsi="Arial"/>
          <w:sz w:val="17"/>
          <w:szCs w:val="17"/>
          <w:color w:val="auto"/>
        </w:rPr>
        <w:t>Indicate by check mark if whether the registrant is a well-known seasoned issuer (as defined in Rule 405 of the Securities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83" w:lineRule="exact"/>
        <w:rPr>
          <w:sz w:val="24"/>
          <w:szCs w:val="24"/>
          <w:color w:val="auto"/>
        </w:rPr>
      </w:pPr>
    </w:p>
    <w:p>
      <w:pPr>
        <w:sectPr>
          <w:pgSz w:w="11900" w:h="16838" w:orient="portrait"/>
          <w:cols w:equalWidth="0" w:num="2">
            <w:col w:w="9860" w:space="180"/>
            <w:col w:w="1380"/>
          </w:cols>
          <w:pgMar w:left="240" w:top="225" w:right="239" w:bottom="83"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3" w:lineRule="exact"/>
        <w:rPr>
          <w:sz w:val="24"/>
          <w:szCs w:val="24"/>
          <w:color w:val="auto"/>
        </w:rPr>
      </w:pPr>
    </w:p>
    <w:p>
      <w:pPr>
        <w:sectPr>
          <w:pgSz w:w="11900" w:h="16838" w:orient="portrait"/>
          <w:cols w:equalWidth="0" w:num="4">
            <w:col w:w="8620" w:space="180"/>
            <w:col w:w="260" w:space="80"/>
            <w:col w:w="160" w:space="180"/>
            <w:col w:w="1940"/>
          </w:cols>
          <w:pgMar w:left="240" w:top="225" w:right="239" w:bottom="83" w:gutter="0" w:footer="0" w:header="0"/>
          <w:type w:val="continuous"/>
        </w:sect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w:t>
      </w:r>
      <w:r>
        <w:rPr>
          <w:rFonts w:ascii="Arial" w:cs="Arial" w:eastAsia="Arial" w:hAnsi="Arial"/>
          <w:sz w:val="18"/>
          <w:szCs w:val="18"/>
          <w:color w:val="211D1E"/>
        </w:rPr>
        <w:t>"</w:t>
      </w:r>
      <w:r>
        <w:rPr>
          <w:rFonts w:ascii="Arial" w:cs="Arial" w:eastAsia="Arial" w:hAnsi="Arial"/>
          <w:sz w:val="18"/>
          <w:szCs w:val="18"/>
          <w:color w:val="auto"/>
        </w:rPr>
        <w:t xml:space="preserve"> in Rule 12b-2 of the Exchange Act.</w:t>
      </w:r>
    </w:p>
    <w:p>
      <w:pPr>
        <w:spacing w:after="0" w:line="284"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34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79"/>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522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40" w:type="dxa"/>
            <w:vAlign w:val="bottom"/>
          </w:tcPr>
          <w:p>
            <w:pPr>
              <w:ind w:left="134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8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640" w:type="dxa"/>
            <w:vAlign w:val="bottom"/>
          </w:tcPr>
          <w:p>
            <w:pPr>
              <w:ind w:left="134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bl>
    <w:p>
      <w:pPr>
        <w:sectPr>
          <w:pgSz w:w="11900" w:h="16838" w:orient="portrait"/>
          <w:cols w:equalWidth="0" w:num="1">
            <w:col w:w="11420"/>
          </w:cols>
          <w:pgMar w:left="240" w:top="225" w:right="239" w:bottom="83" w:gutter="0" w:footer="0" w:header="0"/>
          <w:type w:val="continuous"/>
        </w:sectPr>
      </w:pPr>
    </w:p>
    <w:bookmarkStart w:id="1" w:name="page2"/>
    <w:bookmarkEnd w:id="1"/>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0"/>
          <w:szCs w:val="20"/>
          <w:color w:val="auto"/>
        </w:rPr>
      </w:pPr>
    </w:p>
    <w:p>
      <w:pPr>
        <w:spacing w:after="0" w:line="207" w:lineRule="exact"/>
        <w:tabs>
          <w:tab w:leader="none" w:pos="7580" w:val="left"/>
          <w:tab w:leader="none" w:pos="82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on June 30, 2017, the last business day of the registrant's most recently completed second fiscal quarter was $643,205,297 based upon the closing sale price as reported on the NASDAQ Stock Market for that date.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On March 8, 2018, 14,100,423 shares of Common Stock, par value $.01 per share, of the registrant were outstanding.</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Portions of the registrant's notice of annual meeting of shareowners and proxy statement to be filed pursuant to Regulation 14A within 120 days after registrant's fiscal year end of December 31, 2017 are incorporated by reference into Part III of this Form 10-K. The Proxy Statement will be filed with the Securities and Exchange Commission no later than April 30, 2018.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Except as otherwise stated, the information contained in this Form 10-K is as of December 31, 2017.</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40" w:type="dxa"/>
            <w:vAlign w:val="bottom"/>
            <w:gridSpan w:val="8"/>
          </w:tcPr>
          <w:p>
            <w:pPr>
              <w:jc w:val="center"/>
              <w:ind w:right="1500"/>
              <w:spacing w:after="0"/>
              <w:rPr>
                <w:sz w:val="20"/>
                <w:szCs w:val="20"/>
                <w:color w:val="auto"/>
              </w:rPr>
            </w:pPr>
            <w:r>
              <w:rPr>
                <w:rFonts w:ascii="Arial" w:cs="Arial" w:eastAsia="Arial" w:hAnsi="Arial"/>
                <w:sz w:val="18"/>
                <w:szCs w:val="18"/>
                <w:b w:val="1"/>
                <w:bCs w:val="1"/>
                <w:color w:val="auto"/>
              </w:rPr>
              <w:t>UNIVERSAL ELECTRONICS INC.</w:t>
            </w: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80" w:type="dxa"/>
            <w:vAlign w:val="bottom"/>
            <w:gridSpan w:val="7"/>
          </w:tcPr>
          <w:p>
            <w:pPr>
              <w:jc w:val="center"/>
              <w:ind w:right="2380"/>
              <w:spacing w:after="0"/>
              <w:rPr>
                <w:sz w:val="20"/>
                <w:szCs w:val="20"/>
                <w:color w:val="auto"/>
              </w:rPr>
            </w:pPr>
            <w:r>
              <w:rPr>
                <w:rFonts w:ascii="Arial" w:cs="Arial" w:eastAsia="Arial" w:hAnsi="Arial"/>
                <w:sz w:val="18"/>
                <w:szCs w:val="18"/>
                <w:b w:val="1"/>
                <w:bCs w:val="1"/>
                <w:color w:val="auto"/>
                <w:w w:val="93"/>
              </w:rPr>
              <w:t>Annual Report on Form 10-K</w:t>
            </w: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940" w:type="dxa"/>
            <w:vAlign w:val="bottom"/>
            <w:gridSpan w:val="8"/>
          </w:tcPr>
          <w:p>
            <w:pPr>
              <w:jc w:val="center"/>
              <w:ind w:right="1520"/>
              <w:spacing w:after="0"/>
              <w:rPr>
                <w:sz w:val="20"/>
                <w:szCs w:val="20"/>
                <w:color w:val="auto"/>
              </w:rPr>
            </w:pPr>
            <w:r>
              <w:rPr>
                <w:rFonts w:ascii="Arial" w:cs="Arial" w:eastAsia="Arial" w:hAnsi="Arial"/>
                <w:sz w:val="18"/>
                <w:szCs w:val="18"/>
                <w:b w:val="1"/>
                <w:bCs w:val="1"/>
                <w:color w:val="auto"/>
                <w:w w:val="90"/>
              </w:rPr>
              <w:t>For the Fiscal Year Ended December 31, 2017</w:t>
            </w:r>
          </w:p>
        </w:tc>
        <w:tc>
          <w:tcPr>
            <w:tcW w:w="1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6"/>
          </w:tcPr>
          <w:p>
            <w:pPr>
              <w:jc w:val="center"/>
              <w:ind w:right="2660"/>
              <w:spacing w:after="0"/>
              <w:rPr>
                <w:sz w:val="20"/>
                <w:szCs w:val="20"/>
                <w:color w:val="auto"/>
              </w:rPr>
            </w:pPr>
            <w:r>
              <w:rPr>
                <w:rFonts w:ascii="Arial" w:cs="Arial" w:eastAsia="Arial" w:hAnsi="Arial"/>
                <w:sz w:val="18"/>
                <w:szCs w:val="18"/>
                <w:b w:val="1"/>
                <w:bCs w:val="1"/>
                <w:color w:val="auto"/>
                <w:w w:val="89"/>
              </w:rPr>
              <w:t>Table of Contents</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7"/>
        </w:trPr>
        <w:tc>
          <w:tcPr>
            <w:tcW w:w="9400" w:type="dxa"/>
            <w:vAlign w:val="bottom"/>
            <w:gridSpan w:val="24"/>
          </w:tcPr>
          <w:p>
            <w:pPr>
              <w:spacing w:after="0"/>
              <w:rPr>
                <w:sz w:val="20"/>
                <w:szCs w:val="20"/>
                <w:color w:val="auto"/>
              </w:rPr>
            </w:pPr>
            <w:r>
              <w:rPr>
                <w:rFonts w:ascii="Arial" w:cs="Arial" w:eastAsia="Arial" w:hAnsi="Arial"/>
                <w:sz w:val="14"/>
                <w:szCs w:val="14"/>
                <w:b w:val="1"/>
                <w:bCs w:val="1"/>
                <w:color w:val="auto"/>
              </w:rPr>
              <w:t>Item</w:t>
            </w:r>
          </w:p>
        </w:tc>
        <w:tc>
          <w:tcPr>
            <w:tcW w:w="1220" w:type="dxa"/>
            <w:vAlign w:val="bottom"/>
          </w:tcPr>
          <w:p>
            <w:pPr>
              <w:spacing w:after="0"/>
              <w:rPr>
                <w:sz w:val="24"/>
                <w:szCs w:val="24"/>
                <w:color w:val="auto"/>
              </w:rPr>
            </w:pPr>
          </w:p>
        </w:tc>
        <w:tc>
          <w:tcPr>
            <w:tcW w:w="74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rPr>
              <w:t>Page</w:t>
            </w:r>
          </w:p>
        </w:tc>
      </w:tr>
      <w:tr>
        <w:trPr>
          <w:trHeight w:val="158"/>
        </w:trPr>
        <w:tc>
          <w:tcPr>
            <w:tcW w:w="9400" w:type="dxa"/>
            <w:vAlign w:val="bottom"/>
            <w:gridSpan w:val="24"/>
          </w:tcPr>
          <w:p>
            <w:pPr>
              <w:spacing w:after="0" w:line="158" w:lineRule="exact"/>
              <w:rPr>
                <w:sz w:val="20"/>
                <w:szCs w:val="20"/>
                <w:color w:val="auto"/>
              </w:rPr>
            </w:pPr>
            <w:r>
              <w:rPr>
                <w:rFonts w:ascii="Arial" w:cs="Arial" w:eastAsia="Arial" w:hAnsi="Arial"/>
                <w:sz w:val="14"/>
                <w:szCs w:val="14"/>
                <w:b w:val="1"/>
                <w:bCs w:val="1"/>
                <w:color w:val="auto"/>
              </w:rPr>
              <w:t>Number</w:t>
            </w:r>
          </w:p>
        </w:tc>
        <w:tc>
          <w:tcPr>
            <w:tcW w:w="1960" w:type="dxa"/>
            <w:vAlign w:val="bottom"/>
            <w:gridSpan w:val="5"/>
          </w:tcPr>
          <w:p>
            <w:pPr>
              <w:jc w:val="right"/>
              <w:ind w:right="150"/>
              <w:spacing w:after="0" w:line="158" w:lineRule="exact"/>
              <w:rPr>
                <w:sz w:val="20"/>
                <w:szCs w:val="20"/>
                <w:color w:val="auto"/>
              </w:rPr>
            </w:pPr>
            <w:r>
              <w:rPr>
                <w:rFonts w:ascii="Arial" w:cs="Arial" w:eastAsia="Arial" w:hAnsi="Arial"/>
                <w:sz w:val="14"/>
                <w:szCs w:val="14"/>
                <w:b w:val="1"/>
                <w:bCs w:val="1"/>
                <w:color w:val="auto"/>
              </w:rPr>
              <w:t>Number</w:t>
            </w:r>
          </w:p>
        </w:tc>
      </w:tr>
      <w:tr>
        <w:trPr>
          <w:trHeight w:val="264"/>
        </w:trPr>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780" w:type="dxa"/>
            <w:vAlign w:val="bottom"/>
            <w:gridSpan w:val="6"/>
          </w:tcPr>
          <w:p>
            <w:pPr>
              <w:jc w:val="center"/>
              <w:ind w:right="2680"/>
              <w:spacing w:after="0"/>
              <w:rPr>
                <w:sz w:val="20"/>
                <w:szCs w:val="20"/>
                <w:color w:val="auto"/>
              </w:rPr>
            </w:pPr>
            <w:r>
              <w:rPr>
                <w:rFonts w:ascii="Arial" w:cs="Arial" w:eastAsia="Arial" w:hAnsi="Arial"/>
                <w:sz w:val="18"/>
                <w:szCs w:val="18"/>
                <w:b w:val="1"/>
                <w:bCs w:val="1"/>
                <w:color w:val="auto"/>
                <w:w w:val="98"/>
              </w:rPr>
              <w:t>PART I</w:t>
            </w:r>
          </w:p>
        </w:tc>
        <w:tc>
          <w:tcPr>
            <w:tcW w:w="122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635"/>
        </w:trPr>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680" w:type="dxa"/>
            <w:vAlign w:val="bottom"/>
            <w:tcBorders>
              <w:bottom w:val="single" w:sz="8" w:color="0000EE"/>
            </w:tcBorders>
            <w:gridSpan w:val="3"/>
          </w:tcPr>
          <w:p>
            <w:pPr>
              <w:ind w:left="40"/>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620" w:type="dxa"/>
            <w:vAlign w:val="bottom"/>
            <w:gridSpan w:val="20"/>
          </w:tcPr>
          <w:p>
            <w:pPr>
              <w:spacing w:after="0"/>
              <w:rPr>
                <w:sz w:val="24"/>
                <w:szCs w:val="24"/>
                <w:color w:val="auto"/>
              </w:rPr>
            </w:pPr>
          </w:p>
        </w:tc>
        <w:tc>
          <w:tcPr>
            <w:tcW w:w="1860" w:type="dxa"/>
            <w:vAlign w:val="bottom"/>
            <w:gridSpan w:val="4"/>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r>
      <w:tr>
        <w:trPr>
          <w:trHeight w:val="250"/>
        </w:trPr>
        <w:tc>
          <w:tcPr>
            <w:tcW w:w="9400" w:type="dxa"/>
            <w:vAlign w:val="bottom"/>
            <w:gridSpan w:val="24"/>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1A Risk Factors</w:t>
              </w:r>
            </w:hyperlink>
          </w:p>
        </w:tc>
        <w:tc>
          <w:tcPr>
            <w:tcW w:w="1960" w:type="dxa"/>
            <w:vAlign w:val="bottom"/>
            <w:gridSpan w:val="5"/>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9</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300" w:type="dxa"/>
            <w:vAlign w:val="bottom"/>
            <w:gridSpan w:val="12"/>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1B Unresolved Staff Comments</w:t>
              </w:r>
            </w:hyperlink>
          </w:p>
        </w:tc>
        <w:tc>
          <w:tcPr>
            <w:tcW w:w="7100" w:type="dxa"/>
            <w:vAlign w:val="bottom"/>
            <w:gridSpan w:val="12"/>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w:t>
              </w:r>
            </w:hyperlink>
          </w:p>
        </w:tc>
        <w:tc>
          <w:tcPr>
            <w:tcW w:w="760" w:type="dxa"/>
            <w:vAlign w:val="bottom"/>
            <w:gridSpan w:val="4"/>
          </w:tcPr>
          <w:p>
            <w:pPr>
              <w:ind w:left="40"/>
              <w:spacing w:after="0"/>
              <w:rPr>
                <w:rFonts w:ascii="Arial" w:cs="Arial" w:eastAsia="Arial" w:hAnsi="Arial"/>
                <w:sz w:val="18"/>
                <w:szCs w:val="18"/>
                <w:color w:val="0000EE"/>
                <w:w w:val="85"/>
              </w:rPr>
            </w:pPr>
            <w:hyperlink w:anchor="page24">
              <w:r>
                <w:rPr>
                  <w:rFonts w:ascii="Arial" w:cs="Arial" w:eastAsia="Arial" w:hAnsi="Arial"/>
                  <w:sz w:val="18"/>
                  <w:szCs w:val="18"/>
                  <w:color w:val="0000EE"/>
                  <w:w w:val="85"/>
                </w:rPr>
                <w:t>Properties</w:t>
              </w:r>
            </w:hyperlink>
          </w:p>
        </w:tc>
        <w:tc>
          <w:tcPr>
            <w:tcW w:w="1440" w:type="dxa"/>
            <w:vAlign w:val="bottom"/>
            <w:gridSpan w:val="7"/>
          </w:tcPr>
          <w:p>
            <w:pPr>
              <w:spacing w:after="0"/>
              <w:rPr>
                <w:sz w:val="21"/>
                <w:szCs w:val="21"/>
                <w:color w:val="auto"/>
              </w:rPr>
            </w:pPr>
          </w:p>
        </w:tc>
        <w:tc>
          <w:tcPr>
            <w:tcW w:w="7100" w:type="dxa"/>
            <w:vAlign w:val="bottom"/>
            <w:gridSpan w:val="12"/>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23</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3</w:t>
              </w:r>
            </w:hyperlink>
          </w:p>
        </w:tc>
        <w:tc>
          <w:tcPr>
            <w:tcW w:w="9300" w:type="dxa"/>
            <w:vAlign w:val="bottom"/>
            <w:gridSpan w:val="23"/>
          </w:tcPr>
          <w:p>
            <w:pPr>
              <w:ind w:left="40"/>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1960" w:type="dxa"/>
            <w:vAlign w:val="bottom"/>
            <w:gridSpan w:val="5"/>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23</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4</w:t>
              </w:r>
            </w:hyperlink>
          </w:p>
        </w:tc>
        <w:tc>
          <w:tcPr>
            <w:tcW w:w="9300" w:type="dxa"/>
            <w:vAlign w:val="bottom"/>
            <w:gridSpan w:val="23"/>
          </w:tcPr>
          <w:p>
            <w:pPr>
              <w:ind w:left="40"/>
              <w:spacing w:after="0"/>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1960" w:type="dxa"/>
            <w:vAlign w:val="bottom"/>
            <w:gridSpan w:val="5"/>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23</w:t>
              </w:r>
            </w:hyperlink>
          </w:p>
        </w:tc>
      </w:tr>
      <w:tr>
        <w:trPr>
          <w:trHeight w:val="696"/>
        </w:trPr>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6"/>
          </w:tcPr>
          <w:p>
            <w:pPr>
              <w:jc w:val="center"/>
              <w:ind w:right="2680"/>
              <w:spacing w:after="0"/>
              <w:rPr>
                <w:sz w:val="20"/>
                <w:szCs w:val="20"/>
                <w:color w:val="auto"/>
              </w:rPr>
            </w:pPr>
            <w:r>
              <w:rPr>
                <w:rFonts w:ascii="Arial" w:cs="Arial" w:eastAsia="Arial" w:hAnsi="Arial"/>
                <w:sz w:val="18"/>
                <w:szCs w:val="18"/>
                <w:b w:val="1"/>
                <w:bCs w:val="1"/>
                <w:color w:val="auto"/>
              </w:rPr>
              <w:t>PART II</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635"/>
        </w:trPr>
        <w:tc>
          <w:tcPr>
            <w:tcW w:w="100" w:type="dxa"/>
            <w:vAlign w:val="bottom"/>
          </w:tcPr>
          <w:p>
            <w:pPr>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5</w:t>
              </w:r>
            </w:hyperlink>
          </w:p>
        </w:tc>
        <w:tc>
          <w:tcPr>
            <w:tcW w:w="9300" w:type="dxa"/>
            <w:vAlign w:val="bottom"/>
            <w:gridSpan w:val="23"/>
          </w:tcPr>
          <w:p>
            <w:pPr>
              <w:ind w:left="40"/>
              <w:spacing w:after="0"/>
              <w:rPr>
                <w:rFonts w:ascii="Arial" w:cs="Arial" w:eastAsia="Arial" w:hAnsi="Arial"/>
                <w:sz w:val="18"/>
                <w:szCs w:val="18"/>
                <w:color w:val="0000EE"/>
              </w:rPr>
            </w:pPr>
            <w:hyperlink w:anchor="page25">
              <w:r>
                <w:rPr>
                  <w:rFonts w:ascii="Arial" w:cs="Arial" w:eastAsia="Arial" w:hAnsi="Arial"/>
                  <w:sz w:val="18"/>
                  <w:szCs w:val="18"/>
                  <w:color w:val="0000EE"/>
                </w:rPr>
                <w:t>Market for Registrant's Common Equity, Related Stockholder Matters and Issuer Purchases of Equity Securities</w:t>
              </w:r>
            </w:hyperlink>
          </w:p>
        </w:tc>
        <w:tc>
          <w:tcPr>
            <w:tcW w:w="1960" w:type="dxa"/>
            <w:vAlign w:val="bottom"/>
            <w:gridSpan w:val="5"/>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24</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6</w:t>
              </w:r>
            </w:hyperlink>
          </w:p>
        </w:tc>
        <w:tc>
          <w:tcPr>
            <w:tcW w:w="2740" w:type="dxa"/>
            <w:vAlign w:val="bottom"/>
            <w:gridSpan w:val="12"/>
          </w:tcPr>
          <w:p>
            <w:pPr>
              <w:ind w:left="4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Selected Consolidated Financial Data</w:t>
              </w:r>
            </w:hyperlink>
          </w:p>
        </w:tc>
        <w:tc>
          <w:tcPr>
            <w:tcW w:w="5340" w:type="dxa"/>
            <w:vAlign w:val="bottom"/>
            <w:gridSpan w:val="10"/>
          </w:tcPr>
          <w:p>
            <w:pPr>
              <w:spacing w:after="0"/>
              <w:rPr>
                <w:sz w:val="21"/>
                <w:szCs w:val="21"/>
                <w:color w:val="auto"/>
              </w:rPr>
            </w:pPr>
          </w:p>
        </w:tc>
        <w:tc>
          <w:tcPr>
            <w:tcW w:w="1220" w:type="dxa"/>
            <w:vAlign w:val="bottom"/>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7</w:t>
              </w:r>
            </w:hyperlink>
          </w:p>
        </w:tc>
        <w:tc>
          <w:tcPr>
            <w:tcW w:w="6480" w:type="dxa"/>
            <w:vAlign w:val="bottom"/>
            <w:gridSpan w:val="19"/>
          </w:tcPr>
          <w:p>
            <w:pPr>
              <w:ind w:left="40"/>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Management's Discussion and Analysis of Financial Condition and Results of Operations</w:t>
              </w:r>
            </w:hyperlink>
          </w:p>
        </w:tc>
        <w:tc>
          <w:tcPr>
            <w:tcW w:w="2820" w:type="dxa"/>
            <w:vAlign w:val="bottom"/>
            <w:gridSpan w:val="4"/>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27</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620" w:type="dxa"/>
            <w:vAlign w:val="bottom"/>
            <w:gridSpan w:val="18"/>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7A Quantitative and Qualitative Disclosures About Market Risk</w:t>
              </w:r>
            </w:hyperlink>
          </w:p>
        </w:tc>
        <w:tc>
          <w:tcPr>
            <w:tcW w:w="1960" w:type="dxa"/>
            <w:vAlign w:val="bottom"/>
            <w:gridSpan w:val="2"/>
          </w:tcPr>
          <w:p>
            <w:pPr>
              <w:spacing w:after="0"/>
              <w:rPr>
                <w:sz w:val="21"/>
                <w:szCs w:val="21"/>
                <w:color w:val="auto"/>
              </w:rPr>
            </w:pPr>
          </w:p>
        </w:tc>
        <w:tc>
          <w:tcPr>
            <w:tcW w:w="2820" w:type="dxa"/>
            <w:vAlign w:val="bottom"/>
            <w:gridSpan w:val="4"/>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8</w:t>
              </w:r>
            </w:hyperlink>
          </w:p>
        </w:tc>
        <w:tc>
          <w:tcPr>
            <w:tcW w:w="3360" w:type="dxa"/>
            <w:vAlign w:val="bottom"/>
            <w:gridSpan w:val="15"/>
          </w:tcPr>
          <w:p>
            <w:pPr>
              <w:ind w:left="40"/>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Financial Statements and Supplementary Data</w:t>
              </w:r>
            </w:hyperlink>
          </w:p>
        </w:tc>
        <w:tc>
          <w:tcPr>
            <w:tcW w:w="1160" w:type="dxa"/>
            <w:vAlign w:val="bottom"/>
            <w:gridSpan w:val="2"/>
          </w:tcPr>
          <w:p>
            <w:pPr>
              <w:spacing w:after="0"/>
              <w:rPr>
                <w:sz w:val="21"/>
                <w:szCs w:val="21"/>
                <w:color w:val="auto"/>
              </w:rPr>
            </w:pPr>
          </w:p>
        </w:tc>
        <w:tc>
          <w:tcPr>
            <w:tcW w:w="4780" w:type="dxa"/>
            <w:vAlign w:val="bottom"/>
            <w:gridSpan w:val="6"/>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80">
              <w:r>
                <w:rPr>
                  <w:rFonts w:ascii="Arial" w:cs="Arial" w:eastAsia="Arial" w:hAnsi="Arial"/>
                  <w:sz w:val="18"/>
                  <w:szCs w:val="18"/>
                  <w:color w:val="0000EE"/>
                  <w:w w:val="79"/>
                </w:rPr>
                <w:t>9</w:t>
              </w:r>
            </w:hyperlink>
          </w:p>
        </w:tc>
        <w:tc>
          <w:tcPr>
            <w:tcW w:w="9300" w:type="dxa"/>
            <w:vAlign w:val="bottom"/>
            <w:gridSpan w:val="23"/>
          </w:tcPr>
          <w:p>
            <w:pPr>
              <w:ind w:left="40"/>
              <w:spacing w:after="0"/>
              <w:rPr>
                <w:rFonts w:ascii="Arial" w:cs="Arial" w:eastAsia="Arial" w:hAnsi="Arial"/>
                <w:sz w:val="18"/>
                <w:szCs w:val="18"/>
                <w:color w:val="0000EE"/>
              </w:rPr>
            </w:pPr>
            <w:hyperlink w:anchor="page80">
              <w:r>
                <w:rPr>
                  <w:rFonts w:ascii="Arial" w:cs="Arial" w:eastAsia="Arial" w:hAnsi="Arial"/>
                  <w:sz w:val="18"/>
                  <w:szCs w:val="18"/>
                  <w:color w:val="0000EE"/>
                </w:rPr>
                <w:t>Changes in and Disagreements with Accountants on Accounting and Financial Disclosure</w:t>
              </w:r>
            </w:hyperlink>
          </w:p>
        </w:tc>
        <w:tc>
          <w:tcPr>
            <w:tcW w:w="1960" w:type="dxa"/>
            <w:vAlign w:val="bottom"/>
            <w:gridSpan w:val="5"/>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79</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020" w:type="dxa"/>
            <w:vAlign w:val="bottom"/>
            <w:gridSpan w:val="11"/>
          </w:tcPr>
          <w:p>
            <w:pPr>
              <w:spacing w:after="0"/>
              <w:rPr>
                <w:rFonts w:ascii="Arial" w:cs="Arial" w:eastAsia="Arial" w:hAnsi="Arial"/>
                <w:sz w:val="18"/>
                <w:szCs w:val="18"/>
                <w:color w:val="0000EE"/>
                <w:w w:val="87"/>
              </w:rPr>
            </w:pPr>
            <w:hyperlink w:anchor="page80">
              <w:r>
                <w:rPr>
                  <w:rFonts w:ascii="Arial" w:cs="Arial" w:eastAsia="Arial" w:hAnsi="Arial"/>
                  <w:sz w:val="18"/>
                  <w:szCs w:val="18"/>
                  <w:color w:val="0000EE"/>
                  <w:w w:val="87"/>
                </w:rPr>
                <w:t>9A Controls and Procedures</w:t>
              </w:r>
            </w:hyperlink>
          </w:p>
        </w:tc>
        <w:tc>
          <w:tcPr>
            <w:tcW w:w="4580" w:type="dxa"/>
            <w:vAlign w:val="bottom"/>
            <w:gridSpan w:val="10"/>
          </w:tcPr>
          <w:p>
            <w:pPr>
              <w:spacing w:after="0"/>
              <w:rPr>
                <w:sz w:val="21"/>
                <w:szCs w:val="21"/>
                <w:color w:val="auto"/>
              </w:rPr>
            </w:pPr>
          </w:p>
        </w:tc>
        <w:tc>
          <w:tcPr>
            <w:tcW w:w="2800" w:type="dxa"/>
            <w:vAlign w:val="bottom"/>
            <w:gridSpan w:val="3"/>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79</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020" w:type="dxa"/>
            <w:vAlign w:val="bottom"/>
            <w:gridSpan w:val="11"/>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9B Other Information</w:t>
              </w:r>
            </w:hyperlink>
          </w:p>
        </w:tc>
        <w:tc>
          <w:tcPr>
            <w:tcW w:w="7380" w:type="dxa"/>
            <w:vAlign w:val="bottom"/>
            <w:gridSpan w:val="13"/>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81</w:t>
              </w:r>
            </w:hyperlink>
          </w:p>
        </w:tc>
      </w:tr>
      <w:tr>
        <w:trPr>
          <w:trHeight w:val="696"/>
        </w:trPr>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6"/>
          </w:tcPr>
          <w:p>
            <w:pPr>
              <w:jc w:val="center"/>
              <w:ind w:right="2660"/>
              <w:spacing w:after="0"/>
              <w:rPr>
                <w:sz w:val="20"/>
                <w:szCs w:val="20"/>
                <w:color w:val="auto"/>
              </w:rPr>
            </w:pPr>
            <w:r>
              <w:rPr>
                <w:rFonts w:ascii="Arial" w:cs="Arial" w:eastAsia="Arial" w:hAnsi="Arial"/>
                <w:sz w:val="18"/>
                <w:szCs w:val="18"/>
                <w:b w:val="1"/>
                <w:bCs w:val="1"/>
                <w:color w:val="auto"/>
              </w:rPr>
              <w:t>PART III</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635"/>
        </w:trPr>
        <w:tc>
          <w:tcPr>
            <w:tcW w:w="4320" w:type="dxa"/>
            <w:vAlign w:val="bottom"/>
            <w:gridSpan w:val="17"/>
          </w:tcPr>
          <w:p>
            <w:pPr>
              <w:spacing w:after="0"/>
              <w:rPr>
                <w:rFonts w:ascii="Arial" w:cs="Arial" w:eastAsia="Arial" w:hAnsi="Arial"/>
                <w:sz w:val="18"/>
                <w:szCs w:val="18"/>
                <w:color w:val="0000EE"/>
                <w:w w:val="90"/>
              </w:rPr>
            </w:pPr>
            <w:hyperlink w:anchor="page82">
              <w:r>
                <w:rPr>
                  <w:rFonts w:ascii="Arial" w:cs="Arial" w:eastAsia="Arial" w:hAnsi="Arial"/>
                  <w:sz w:val="18"/>
                  <w:szCs w:val="18"/>
                  <w:color w:val="0000EE"/>
                  <w:w w:val="90"/>
                </w:rPr>
                <w:t>10 Directors, Executive Officers and Corporate Governance</w:t>
              </w:r>
            </w:hyperlink>
          </w:p>
        </w:tc>
        <w:tc>
          <w:tcPr>
            <w:tcW w:w="5080" w:type="dxa"/>
            <w:vAlign w:val="bottom"/>
            <w:gridSpan w:val="7"/>
          </w:tcPr>
          <w:p>
            <w:pPr>
              <w:spacing w:after="0"/>
              <w:rPr>
                <w:sz w:val="24"/>
                <w:szCs w:val="24"/>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81</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020" w:type="dxa"/>
            <w:vAlign w:val="bottom"/>
            <w:gridSpan w:val="11"/>
          </w:tcPr>
          <w:p>
            <w:pPr>
              <w:spacing w:after="0"/>
              <w:rPr>
                <w:rFonts w:ascii="Arial" w:cs="Arial" w:eastAsia="Arial" w:hAnsi="Arial"/>
                <w:sz w:val="18"/>
                <w:szCs w:val="18"/>
                <w:color w:val="0000EE"/>
                <w:w w:val="88"/>
              </w:rPr>
            </w:pPr>
            <w:hyperlink w:anchor="page82">
              <w:r>
                <w:rPr>
                  <w:rFonts w:ascii="Arial" w:cs="Arial" w:eastAsia="Arial" w:hAnsi="Arial"/>
                  <w:sz w:val="18"/>
                  <w:szCs w:val="18"/>
                  <w:color w:val="0000EE"/>
                  <w:w w:val="88"/>
                </w:rPr>
                <w:t>11 Executive Compensation</w:t>
              </w:r>
            </w:hyperlink>
          </w:p>
        </w:tc>
        <w:tc>
          <w:tcPr>
            <w:tcW w:w="2300" w:type="dxa"/>
            <w:vAlign w:val="bottom"/>
            <w:gridSpan w:val="6"/>
          </w:tcPr>
          <w:p>
            <w:pPr>
              <w:spacing w:after="0"/>
              <w:rPr>
                <w:sz w:val="21"/>
                <w:szCs w:val="21"/>
                <w:color w:val="auto"/>
              </w:rPr>
            </w:pPr>
          </w:p>
        </w:tc>
        <w:tc>
          <w:tcPr>
            <w:tcW w:w="5080" w:type="dxa"/>
            <w:vAlign w:val="bottom"/>
            <w:gridSpan w:val="7"/>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81</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520" w:type="dxa"/>
            <w:vAlign w:val="bottom"/>
            <w:gridSpan w:val="22"/>
          </w:tcPr>
          <w:p>
            <w:pPr>
              <w:spacing w:after="0"/>
              <w:rPr>
                <w:rFonts w:ascii="Arial" w:cs="Arial" w:eastAsia="Arial" w:hAnsi="Arial"/>
                <w:sz w:val="18"/>
                <w:szCs w:val="18"/>
                <w:color w:val="0000EE"/>
                <w:w w:val="90"/>
              </w:rPr>
            </w:pPr>
            <w:hyperlink w:anchor="page82">
              <w:r>
                <w:rPr>
                  <w:rFonts w:ascii="Arial" w:cs="Arial" w:eastAsia="Arial" w:hAnsi="Arial"/>
                  <w:sz w:val="18"/>
                  <w:szCs w:val="18"/>
                  <w:color w:val="0000EE"/>
                  <w:w w:val="90"/>
                </w:rPr>
                <w:t>12 Security Ownership of Certain Beneficial Owners and Management and Related Stockholder Matters</w:t>
              </w:r>
            </w:hyperlink>
          </w:p>
        </w:tc>
        <w:tc>
          <w:tcPr>
            <w:tcW w:w="1880" w:type="dxa"/>
            <w:vAlign w:val="bottom"/>
            <w:gridSpan w:val="2"/>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81</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680" w:type="dxa"/>
            <w:vAlign w:val="bottom"/>
            <w:gridSpan w:val="19"/>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13 Certain Relationships and Related Transactions, and Director Independence</w:t>
              </w:r>
            </w:hyperlink>
          </w:p>
        </w:tc>
        <w:tc>
          <w:tcPr>
            <w:tcW w:w="1840" w:type="dxa"/>
            <w:vAlign w:val="bottom"/>
            <w:gridSpan w:val="3"/>
          </w:tcPr>
          <w:p>
            <w:pPr>
              <w:spacing w:after="0"/>
              <w:rPr>
                <w:sz w:val="21"/>
                <w:szCs w:val="21"/>
                <w:color w:val="auto"/>
              </w:rPr>
            </w:pPr>
          </w:p>
        </w:tc>
        <w:tc>
          <w:tcPr>
            <w:tcW w:w="1880" w:type="dxa"/>
            <w:vAlign w:val="bottom"/>
            <w:gridSpan w:val="2"/>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82</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680" w:type="dxa"/>
            <w:vAlign w:val="bottom"/>
            <w:gridSpan w:val="19"/>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14 Principal Accounting Fees and Services</w:t>
              </w:r>
            </w:hyperlink>
          </w:p>
        </w:tc>
        <w:tc>
          <w:tcPr>
            <w:tcW w:w="3720" w:type="dxa"/>
            <w:vAlign w:val="bottom"/>
            <w:gridSpan w:val="5"/>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82</w:t>
              </w:r>
            </w:hyperlink>
          </w:p>
        </w:tc>
      </w:tr>
      <w:tr>
        <w:trPr>
          <w:trHeight w:val="696"/>
        </w:trPr>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6"/>
          </w:tcPr>
          <w:p>
            <w:pPr>
              <w:jc w:val="center"/>
              <w:ind w:right="2660"/>
              <w:spacing w:after="0"/>
              <w:rPr>
                <w:sz w:val="20"/>
                <w:szCs w:val="20"/>
                <w:color w:val="auto"/>
              </w:rPr>
            </w:pPr>
            <w:r>
              <w:rPr>
                <w:rFonts w:ascii="Arial" w:cs="Arial" w:eastAsia="Arial" w:hAnsi="Arial"/>
                <w:sz w:val="18"/>
                <w:szCs w:val="18"/>
                <w:b w:val="1"/>
                <w:bCs w:val="1"/>
                <w:color w:val="auto"/>
              </w:rPr>
              <w:t>PART IV</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635"/>
        </w:trPr>
        <w:tc>
          <w:tcPr>
            <w:tcW w:w="3380" w:type="dxa"/>
            <w:vAlign w:val="bottom"/>
            <w:gridSpan w:val="15"/>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15 Exhibits and Financial Statement Schedules</w:t>
              </w:r>
            </w:hyperlink>
          </w:p>
        </w:tc>
        <w:tc>
          <w:tcPr>
            <w:tcW w:w="6020" w:type="dxa"/>
            <w:vAlign w:val="bottom"/>
            <w:gridSpan w:val="9"/>
          </w:tcPr>
          <w:p>
            <w:pPr>
              <w:spacing w:after="0"/>
              <w:rPr>
                <w:sz w:val="24"/>
                <w:szCs w:val="24"/>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82</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6020" w:type="dxa"/>
            <w:vAlign w:val="bottom"/>
            <w:gridSpan w:val="9"/>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380" w:type="dxa"/>
            <w:vAlign w:val="bottom"/>
            <w:gridSpan w:val="15"/>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16 Form 10-K Summary</w:t>
              </w:r>
            </w:hyperlink>
          </w:p>
        </w:tc>
        <w:tc>
          <w:tcPr>
            <w:tcW w:w="6020" w:type="dxa"/>
            <w:vAlign w:val="bottom"/>
            <w:gridSpan w:val="9"/>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86</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7640" w:type="dxa"/>
            <w:vAlign w:val="bottom"/>
            <w:gridSpan w:val="15"/>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7"/>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Signatures</w:t>
              </w:r>
            </w:hyperlink>
          </w:p>
        </w:tc>
        <w:tc>
          <w:tcPr>
            <w:tcW w:w="7640" w:type="dxa"/>
            <w:vAlign w:val="bottom"/>
            <w:gridSpan w:val="15"/>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88">
              <w:r>
                <w:rPr>
                  <w:rFonts w:ascii="Arial" w:cs="Arial" w:eastAsia="Arial" w:hAnsi="Arial"/>
                  <w:sz w:val="18"/>
                  <w:szCs w:val="18"/>
                  <w:color w:val="0000EE"/>
                </w:rPr>
                <w:t>87</w:t>
              </w:r>
            </w:hyperlink>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00"/>
          </w:cols>
          <w:pgMar w:left="240" w:top="118" w:right="25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of Universal Electronics Inc.</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Universal Electronics Inc. ("UEI") was incorporated under the laws of Delaware in 1986 and began operations in 1987. The principal executive offices are located at 201 E. Sandpointe Avenue, 8th Floor, Santa Ana, California 92707. As used herein, the terms "we", "us" and "our" refer to UEI and its subsidiaries unless the context indicates to the contrary.</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 information regarding UEI may be obtained at www.uei.com. Our website address is not intended to function as a hyperlink and the information available at our website address is not incorporated by reference into this Annual Report on Form 10-K. We make our periodic and current reports, together with amendments to these reports, available on our website, free of charge, as soon as reasonably practicable after such material is electronically filed with, or furnished to, the U.S. Securities and Exchange Commission ("SEC"). The SEC maintains a website at www.sec.gov that contains the reports, proxy and other information that we file electronically with the SEC.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Universal Electronics Inc. develops control and sensor technology solutions and manufactures a broad line of pre-programmed and universal control products, audio-video ("AV") accessories, and intelligent wireless security and smart home products dedicated to redefining the home entertainment, automation and security experience. Our offerings include:</w:t>
      </w:r>
    </w:p>
    <w:p>
      <w:pPr>
        <w:spacing w:after="0" w:line="19" w:lineRule="exact"/>
        <w:rPr>
          <w:sz w:val="20"/>
          <w:szCs w:val="20"/>
          <w:color w:val="auto"/>
        </w:rPr>
      </w:pPr>
    </w:p>
    <w:p>
      <w:pPr>
        <w:jc w:val="both"/>
        <w:ind w:left="98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easy-to-use, pre-programmed universal infrared ("IR") and radio frequency ("RF") remote controls that are sold primarily to subscription broadcasting providers (cable, satellite and Internet Protocol television ("IPTV")), original equipment manufacturers ("OEMs"), retailers, and private label customers;</w:t>
      </w:r>
    </w:p>
    <w:p>
      <w:pPr>
        <w:spacing w:after="0" w:line="1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integrated circuits, on which our software and universal device control database is embedded, sold primarily to OEMs, subscription broadcasting providers, and private label customers;</w:t>
      </w:r>
    </w:p>
    <w:p>
      <w:pPr>
        <w:spacing w:after="0" w:line="8" w:lineRule="exact"/>
        <w:rPr>
          <w:rFonts w:ascii="Arial" w:cs="Arial" w:eastAsia="Arial" w:hAnsi="Arial"/>
          <w:sz w:val="18"/>
          <w:szCs w:val="18"/>
          <w:color w:val="auto"/>
        </w:rPr>
      </w:pPr>
    </w:p>
    <w:p>
      <w:pPr>
        <w:jc w:val="both"/>
        <w:ind w:left="980" w:right="2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software, firmware and technology solutions that can enable devices such as TVs, set-top boxes, audio systems, smartphones, tablets, game controllers and other consumer electronic devices to wirelessly connect and interact with home networks and interactive services to control and deliver digital entertainment and information;</w:t>
      </w:r>
    </w:p>
    <w:p>
      <w:pPr>
        <w:spacing w:after="0" w:line="1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intellectual property which we license primarily to OEMs, software development companies, private label customers, and subscription broadcasting providers;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proprietary and standards-based RF sensors designed for residential security, safety and automation applications;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wall-mount and handheld thermostat controllers and connected accessories for intelligent energy management systems, primarily to OEM customers as well as hospitality system integrators;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 accessories sold, directly and indirectly, to consumers.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comprised of one reportable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Products and Markets</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principal markets are the subscription broadcast, consumer and mobile electronics and residential security markets where our customers include subscription broadcasters, OEMs, international retailers, private label brands, pro-security dealers and companies in the computing industry.</w:t>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provide subscription broadcasting providers, both domestically and internationally, with our universal remote control devices and integrated circuits, on which our software and device code libraries are embedded. We also sell integrated circuits, on which our software and device control code libraries are embedded, and license our device control database to OEMs that manufacture televisions, digital audio and video players, streamer boxes, cable converters, satellite receivers, set-top boxes, room and central heating, ventilation and air conditioning ("HVAC") equipment, game consoles, and wireless mobile phones and tablets.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place significant emphasis on expanding our sales and marketing efforts to subscription broadcasters and OEMs in Asia, Latin America and Europe. Owning and operating our own factories in the People's Republic of China ("PRC") has enhanced our ability to compete in the OEM and subscription broadcasting markets. In addition, we have subsidiaries in Brazil and Mexico, which have allowed us to increase our reach and better compete in the Central and Latin American subscription broadcast market. We plan to continue to add new sales and administrative personnel to support anticipated sales growth in international markets over the next few years.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pursue further penetration of the more traditional OEM consumer electronics markets as well as newer product categories in the smart home and Internet of Things ("IoT") markets such as lighting, window coverings, and bathroom controllers. Customers in these markets integrate our products and technology into their products to enhance their consumer lifestyle ecosystems. Growth in these markets has been driven by the increasing demand for more energy efficient homes and the increasing proliferation of connected smart devices.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2015, we acquired Ecolink Intelligent Technology, Inc. ("Ecolink"), a leading developer of smart home technology. Ecolink provides a wide range of intelligent wireless security and automation components dedicated to redefining the home security experience. Ecolink has over 20 years of wireless engineering expertise in the home security and automation market and currently holds more than 50 related pending and issued patents. UEI’s current subscription broadcasting customers are adding home security and automation to their list of service offerings. Our acquisition of Ecolink, a premise equipment supplier to this market, enables us to broaden our design expertise and product portfolio to add home security and automation sensors to our capabilities.</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6, 2017, we acquired Residential Control Systems, Inc. ("RCS"), a U.S.-based designer and manufacturer of energy management and control products for the residential, small commercial and hospitality markets. The acquisition of RCS, allows us to expand our product offering to include smart thermostat, sensing and monitoring products and enables us to broaden our technology and design expertise in these product categories. Smart and connected thermostats are critical components of the smart home that help deliver energy-efficiency and an enhanced consumer lifestyle.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years ended December 31, 2017, 2016, and 2015, our sales to Comcast accounted for 23.0%, 22.9%, and 21.5% of our net sales, respectively. For the years ended December 31, 2017, 2016, and 2015 our sales to AT&amp;T (formerly DIRECTV) and its sub-contractors collectively accounted for 11.2%, 11.5%, and 13.4% of our net sales, respectively.</w:t>
      </w:r>
    </w:p>
    <w:p>
      <w:pPr>
        <w:spacing w:after="0" w:line="127" w:lineRule="exact"/>
        <w:rPr>
          <w:sz w:val="20"/>
          <w:szCs w:val="20"/>
          <w:color w:val="auto"/>
        </w:rPr>
      </w:pPr>
    </w:p>
    <w:p>
      <w:pPr>
        <w:jc w:val="both"/>
        <w:ind w:right="20"/>
        <w:spacing w:after="0" w:line="216"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One For All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name remote controls and accessories sold within the international retail markets accounted for 7.1%, 7.2%, and 8.1% of our total net sales for the years ended December 31, 2017, 2016, and 2015, respectively.</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information relating to our international operations for the years ended December 31, 2017, 2016, and 2015 is included in "ITEM 8. FINANCIAL STATEMENTS AND SUPPLEMENTARY DATA - Notes to Consolidated Financial Statements - Note 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and Technology</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hold a number of patents in the United States and abroad related to our products and technology, and have filed domestic and foreign applications for other patents that are pending. At the end of 2017, we had over 400 issued and pending United States patents related to remote control, home security, safety and automation as well as hundreds of foreign counterpart patents and applications in various territories around the world.</w:t>
      </w:r>
    </w:p>
    <w:p>
      <w:pPr>
        <w:spacing w:after="0" w:line="1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patents have remaining lives ranging from one to 18 years. We have also obtained copyright registration and claim copyright protection for certain proprietary software and libraries of our device control codes. Additionally, the names of many of our products are registered, or are being registered, as trademarks in the United States Patent and Trademark Office and in most of the other countries in which such products are sold. These registrations are valid for terms ranging up to 20 years and may be renewed as long as the trademarks continue to be used and are deemed by management to be important to our operations. While we follow the practice of obtaining patent, copyright and trademark registrations on new developments whenever advisable, in certain cases we have elected common law trade secret protection in lieu of obtaining such other protection.</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key factor in creating products and software for control of entertainment devices is the device control code database. Since our beginning in 1986, we have compiled an extensive device control code database that covers over one million individual device functions and approximately 8,100 individual consumer electronic equipment brand names, including virtually all IR controlled set-top boxes, televisions, audio components, DVD players, Blu-Ray players, and other remote controlled home entertainment devices and home automation control modules, as well as wired Consumer Electronics Control ("CEC") and wireless Internet Protocol ("IP") control protocols commonly found on many of the latest HDMI and internet connected devices. Our proprietary software automatically detects, identifies and enables the appropriate control commands for any given home entertainment, automation and air conditioning device in the home. Our libraries are continuously updated with device control codes used in newly introduced AV and IoT devices. These control codes are captured directly from original remote control devices or from the manufacturer's written specifications to ensure the accuracy and integrity of the database. Our proprietary software and know-how permit us to offer a device control code database that is more robust and efficient than similarly priced products of our competitors.</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goal is to provide universal control solutions that require minimal or no user set-up and deliver consistent and intuitive one-touch control of all connected content sources and devices. QuickSet® is a software application that is currently embedded in hundreds of millions of devices worldwide. QuickSet may be embedded in an AV device, set-top box, or other host device, 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delivered as a Cloud-based service to enable universal remote setup and control. QuickSet enables universal device control set-up using automated and guided on-screen instructions and a wireless two-way communication link between the remote and the QuickSet enabled device. The two-way connection allows device control code data and configuration settings to be sent to the remote control from the device and greatly simplifies the universal control set-up process and can enable other time saving features. QuickSet utilizes data transmitted over HDMI or IP networks to automatically detect various attributes of the connected device and downloads the appropriate control codes and functions into the remote control without the need for the user to enter any additional information. The user does not need to know the brand or model number to set up the device in the remote. Any compatible new device that is connected is recognized. Consumers can quickly and easily set up their control interface to control multiple devices. Recently added features in QuickSet address common consumer challenges in universal device control, such as mode confusion and input switching. With QuickSet, consumers switch easily between activities and reliably view their chosen content source with a single touch. QuickSet handles the device-specific control. A QuickSet user experience can be delivered via a tactile remote, touchscreen interface, on-screen graphical user interface ("GUI") or voice-enabled system. Licensees of QuickSet include service providers such as Comcast, AT&amp;T and Echostar Technologies; smart TV manufacturers such as Sony and Samsung; leading game console manufacturer Microsoft on its Xbox One game system; and mobile and tablet device manufacturers LG, OPPO, Huawei and LeTV on some of their mobile handset platforms.</w:t>
      </w:r>
    </w:p>
    <w:p>
      <w:pPr>
        <w:spacing w:after="0" w:line="11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Smart devices are becoming a more prevalent part of the home entertainment experience, and UEI offers several solutions to enable entertainment device control with a smart phone, tablet or smart TV. In its smart device control solutions, UEI offers all of the elements needed for device control ranging from IR and RF controller chips to device control libraries to graphical and voice user interfaces, as well as artificial intelligence systems that deliver context aware device interactions. Designed for Android, Nevo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Home is UEI's device and service discovery and control application, currently available for download at Google Play.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Methods of Distribution</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Distribution methods for our control solutions vary depending on the sales channel. We distribute remote control devices, sensors, connected thermostats and AV accessories directly to subscription broadcasters and OEMs, both domestically and internationally. We also distribute home security sensors to pro-security installers in the United States through a network of dealers. Outside of North America, we sell our wireless control devices and AV accessories under the One For All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private label brand names to retailers through our international subsidiaries. We utilize third-party distributors for the retail channel in countries where we do not have subsidiaries.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developed a broad portfolio of patented technologies and the industry's leading database of device control codes. We ship integrated circuits, on which our software and control code database are embedded, directly to manufacturers for inclusion in their products. In addition, we license our software and technology to manufacturers. Licenses are delivered upon the transfer of a product master or on a per unit basis when the software or technology is used in a customer device.</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provide domestic and international consumer support to our various universal control marketers, including manufacturers, cable and satellite providers, retail distributors, and audio and video OEMs through our live and automated call centers. We also make available a web-based support resource, www.urcsupport.com, designed specifically for subscription broadcasters. This solution offers videos and online tools to help users easily set up their universal remote controls, and as a result reduce call volume at customer support centers. Additionally, the UEI Technical Support Services call center provides customer interaction management services from technical service and support to customer retention. Services include pre-repair calls, post-install surveys, and inbound calls for cable customers to provide greater bottom-line efficiencies.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Our 24 international subsidiaries are the following:</w:t>
      </w:r>
    </w:p>
    <w:p>
      <w:pPr>
        <w:spacing w:after="0" w:line="63"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C.G. Development Ltd., established in Hong Kong;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CG Mexico Remote Controls, S.R.L. de C.V., established in Mexico;</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Enson Assets Ltd., established in the British Virgin Islands;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Gemstar Polyfirst Ltd., established in Hong Kong;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Gemstar Technology (China) Co. Ltd., established in the PRC;</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Gemstar Technology (Qinzhou) Co. Ltd., established in the PRC;</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Gemstar Technology (Yangzhou) Co. Ltd., established in the PRC;</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Guangzhou Universal Electronics Service Co., Ltd., established in the PRC;</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For All Argentina S.R.L., established in Argentina;</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For All France S.A.S., established in France;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For All GmbH, established in Germany;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for All Iberia S.L., established in Spain;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For All UK Ltd., established in the United Kingdom;</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 Japan Ltd., established in Japan;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 Singapore Pte. Ltd., established in Singapore;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UEI Cayman Inc., established in the Cayman Islands;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UEI do Brasil Controles Remotos Ltda., established in Brazil;</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UEI Electronics Pte. Ltd., established in India;</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UEI Hong Kong Pte. Ltd., established in Hong Kong;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 Korea Ltd., established in South Korea;</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Universal Electronics B.V., established in the Netherlands;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Universal Electronics Italia S.R.L., established in Italy;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Universal Electronics Trading Co., Ltd., established in the PRC;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Universal Electronics Yangzhou Co. Ltd., established in the PRC.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Dependence on Suppliers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utilize our own manufacturing plants and third-party manufacturers and suppliers primarily located within the PRC to produce our control and sensor products. In 2017 and 2016, Texas Instruments provided 10.0% and 11.7% of our total inventory purchases. In 2015, no single supplier provided more than 10% of our total inventory purchases.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 though we operate three factories in the PRC and assembly plants in Brazil and Mexico, we continue to evaluate additional contract manufacturers and sources of supply. During 2017, we utilized multiple contract manufacturers and maintained duplicate tooling for certain of our products. Where possible we utilize standard parts and components, which are available from multiple sources.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continually seek additional sources to reduce our dependence on our integrated circuit suppliers. To further manage our integrated circuit supplier dependence, we include flash microcontroller technology in most of our products. Flash microcontrollers can have shorter lead times than standard microcontrollers and may be reprogrammed, if necessary. This allows us flexibility during any unforeseen shipping delays and has the added benefit of potentially reducing excess and obsolete inventory exposure. This diversification lessens our dependence on any one supplier and allows us to negotiate more favorable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Historically, our business has been influenced by the retail sales cycle, with increased sales in the second half of the year. We expect this pattern to be repeated during 2018.</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23" for further details regarding our quarterly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competitors in the subscription broadcasting market are Remote Solutions, Omni Remotes (formerly Philips Home Control Singapore PTE, Ltd.), SMK, and Ruwido. In the international retail and private label markets for wireless controls we</w:t>
      </w:r>
    </w:p>
    <w:p>
      <w:pPr>
        <w:sectPr>
          <w:pgSz w:w="11900" w:h="16838" w:orient="portrait"/>
          <w:cols w:equalWidth="0" w:num="1">
            <w:col w:w="11420"/>
          </w:cols>
          <w:pgMar w:left="240" w:top="11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18" w:right="239" w:bottom="1440" w:gutter="0" w:footer="0" w:header="0"/>
          <w:type w:val="continuous"/>
        </w:sectPr>
      </w:pPr>
    </w:p>
    <w:bookmarkStart w:id="7" w:name="page8"/>
    <w:bookmarkEnd w:id="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compete with Logitech and Sony, as well as various manufacturers of wireless controls in Asia. Our primary competitors in the OEM market are the original equipment manufacturers themselves and various wireless control manufacturers in Asia. In home security, safety and automation, we offer universal sub-gigahertz products that are compatible with the top security panel manufacturers, such as Honeywell, GE, Tyco/DSC and 2GIG. In the connected smart home market we compete with the OEMs themselves as well as wireless manufacturers in Asia. We compete in our markets on the basis of product quality, features, price, intellectual property, design and development expertise and customer support. We believe that we will need to continue to introduce new and innovative products and software solutions to remain competitive and to recruit and retain competent personnel to successfully accomplish our future objectives.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Engineering, Research and Development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During 2017, our engineering efforts focused on the following:</w:t>
      </w:r>
    </w:p>
    <w:p>
      <w:pPr>
        <w:spacing w:after="0" w:line="63"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broadening our product portfolio;</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launching new embedded software solutions designed to simplify set-up and control features;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modifying existing products and technologies to improve features and lower costs;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formulating measures to protect our proprietary technology and general know-how;</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improving our control solutions software;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updating our library of device codes to include codes for new features and devices introduced worldwide;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creating innovative products that address consumer challenges in home entertainment control and security sensing.</w:t>
      </w:r>
    </w:p>
    <w:p>
      <w:pPr>
        <w:spacing w:after="0" w:line="171" w:lineRule="exact"/>
        <w:rPr>
          <w:sz w:val="20"/>
          <w:szCs w:val="20"/>
          <w:color w:val="auto"/>
        </w:rPr>
      </w:pPr>
    </w:p>
    <w:p>
      <w:pPr>
        <w:jc w:val="both"/>
        <w:ind w:left="60"/>
        <w:spacing w:after="0" w:line="276" w:lineRule="auto"/>
        <w:rPr>
          <w:sz w:val="20"/>
          <w:szCs w:val="20"/>
          <w:color w:val="auto"/>
        </w:rPr>
      </w:pPr>
      <w:r>
        <w:rPr>
          <w:rFonts w:ascii="Arial" w:cs="Arial" w:eastAsia="Arial" w:hAnsi="Arial"/>
          <w:sz w:val="17"/>
          <w:szCs w:val="17"/>
          <w:color w:val="auto"/>
        </w:rPr>
        <w:t>During 2017, our advanced engineering efforts focused on further developing our existing products, services and technologies. We released software updates to our embedded QuickSet application, and continued development initiatives around emerging RF technologies, such as RF4CE, Bluetooth, and Bluetooth Smart. We introduced a versatile, low power dual-RF chip platform that is deployed across a range of our custom and standard products, allowing for broader flexibility and easier implementation of multiple communication protocols. Additionally, we released several new advanced remote control products that incorporate voice search capabilities in our subscription broadcast and OEM channels.</w:t>
      </w:r>
    </w:p>
    <w:p>
      <w:pPr>
        <w:spacing w:after="0" w:line="11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personnel are involved with various industry organizations and bodies, which are in the process of setting standards for IR, RF, telephone and cable communications and networking in the home. Because of the nature of research and development activities, there can be no assurance that any of our research and development projects will be successfully completed or ultimately achieve commercial success.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Our expenditures on engineering, research and development were: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w:t>
            </w:r>
          </w:p>
        </w:tc>
      </w:tr>
      <w:tr>
        <w:trPr>
          <w:trHeight w:val="270"/>
        </w:trPr>
        <w:tc>
          <w:tcPr>
            <w:tcW w:w="74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Engineering </w:t>
            </w:r>
            <w:r>
              <w:rPr>
                <w:rFonts w:ascii="Arial" w:cs="Arial" w:eastAsia="Arial" w:hAnsi="Arial"/>
                <w:sz w:val="25"/>
                <w:szCs w:val="25"/>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9.5</w:t>
            </w:r>
          </w:p>
        </w:tc>
      </w:tr>
      <w:tr>
        <w:trPr>
          <w:trHeight w:val="269"/>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engineering, research and development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540" w:hanging="235"/>
        <w:spacing w:after="0"/>
        <w:tabs>
          <w:tab w:leader="none" w:pos="54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Engineering costs are included in selling, 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Many of our products are subject to various federal, state, local and international laws governing chemical substances in products, including laws regulating the manufacturing and distribution of chemical substances and laws restricting the presence of certain substances in electronics products. We may incur substantial costs, including cleanup costs, fines and civil or criminal sanctions, third-party damages or personal injury claims, if we were to violate or become liable under environmental laws or if our products become non-compliant with environmental laws. We also face increasing complexity in our product design and procurement operations as we adjust to new and future requirements relating to the materials composition of our products.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also face significant costs and liabilities in connection with product take-back legislation. The European Union's Waste Electrical and Electronic Equipment Directive ("WEEE") makes producers of electrical goods financially responsible for specified collection, recycling, treatment and disposal of past and future covered products. Our European subsidiaries are WEEE compliant. Similar legislation has been or may be enacted in other jurisdictions, including in the United States, Canada, Mexico, the PRC and Japan.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we have materially complied with all currently existing international and domestic federal, state and local statutes and regulations regarding environmental standards and occupational safety and health matters to which we are subject. During the years ended December 31, 2017, 2016 and 2015, the amounts incurred in complying with federal, state and local statutes and regulations pertaining to environmental standards and occupational safety and health laws and regulations did not materially affect our earnings or financial condition. However, future events, such as changes in existing laws and regulations or enforcement policies, may give rise to additional compliance costs that may have a material adverse effect upon our capital expenditures, earnings or financial condition.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2017, we employed 3,010 employees, of which 554 worked in engineering and research and development, 115 in sales and marketing, 63 in consumer service and support, 1,988 in operations and warehousing and 290 in executive and administrative functions. In addition, our factories in the PRC and our Asian operations engaged an additional 7,612 staff contracted through agency agreements.</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Labor unions represent approximately 14.3% of our 3,010 employees at December 31, 2017. Some unionized workers, employed in Manaus, Brazil, are represented under contract with the Sindicato dos Trabalhadores nas Industrias Metalugicas, Mecanicas e de Materiais Eletricos de Manaus. Other unionized workers, employed in Monterrey, Mexico, are represented under contract with the Sindicato Industrial de Trabajadores de Nuevo León adherido a la Federación Nacional de Sindicatos Independientes. Our business units are subject to various laws and regulations relating to their relationships with their employees. These laws and regulations are specific to the location of each business unit. We believe that our relationships with employees and their representative organizations are good.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Financial information relating to our international operations for the years ended December 31, 2017, 2016 and 2015 is incorporated by reference to "ITEM 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AND SUPPLEMENTARY DATA — Notes to Consolidated Financial Statements — Note 15".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r>
        <w:rPr>
          <w:rFonts w:ascii="Arial" w:cs="Arial" w:eastAsia="Arial" w:hAnsi="Arial"/>
          <w:sz w:val="25"/>
          <w:szCs w:val="25"/>
          <w:color w:val="auto"/>
          <w:vertAlign w:val="superscript"/>
        </w:rPr>
        <w:t>(1)</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executive officers on March 12, 2018:</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Borders>
              <w:bottom w:val="single" w:sz="8" w:color="CCEEFF"/>
            </w:tcBorders>
          </w:tcPr>
          <w:p>
            <w:pPr>
              <w:spacing w:after="0"/>
              <w:rPr>
                <w:sz w:val="16"/>
                <w:szCs w:val="16"/>
                <w:color w:val="auto"/>
              </w:rPr>
            </w:pPr>
          </w:p>
        </w:tc>
        <w:tc>
          <w:tcPr>
            <w:tcW w:w="7760" w:type="dxa"/>
            <w:vAlign w:val="bottom"/>
            <w:tcBorders>
              <w:bottom w:val="single" w:sz="8" w:color="auto"/>
            </w:tcBorders>
          </w:tcPr>
          <w:p>
            <w:pPr>
              <w:ind w:left="3640"/>
              <w:spacing w:after="0"/>
              <w:rPr>
                <w:sz w:val="20"/>
                <w:szCs w:val="20"/>
                <w:color w:val="auto"/>
              </w:rPr>
            </w:pPr>
            <w:r>
              <w:rPr>
                <w:rFonts w:ascii="Arial" w:cs="Arial" w:eastAsia="Arial" w:hAnsi="Arial"/>
                <w:sz w:val="14"/>
                <w:szCs w:val="14"/>
                <w:b w:val="1"/>
                <w:bCs w:val="1"/>
                <w:color w:val="auto"/>
              </w:rPr>
              <w:t>Position</w:t>
            </w: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Paul D. Arling</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Chairman of the Board and Chief Executive Officer</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David Chong</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21"/>
                <w:szCs w:val="21"/>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Executive Vice President, Asia</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Louis S. Hughes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Chief Operating Officer</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Richard A. Firehammer, Jr.</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21"/>
                <w:szCs w:val="21"/>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Senior Vice President, General Counsel and Secretary</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Bryan M. Hackworth</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Vice President and Chief Financial Officer</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Menno V. Koopmans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tcPr>
          <w:p>
            <w:pPr>
              <w:spacing w:after="0"/>
              <w:rPr>
                <w:sz w:val="21"/>
                <w:szCs w:val="21"/>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Managing Director, EMEA</w:t>
            </w:r>
          </w:p>
        </w:tc>
      </w:tr>
    </w:tbl>
    <w:p>
      <w:pPr>
        <w:spacing w:after="0" w:line="172" w:lineRule="exact"/>
        <w:rPr>
          <w:sz w:val="20"/>
          <w:szCs w:val="20"/>
          <w:color w:val="auto"/>
        </w:rPr>
      </w:pPr>
    </w:p>
    <w:p>
      <w:pPr>
        <w:ind w:left="540" w:hanging="235"/>
        <w:spacing w:after="0"/>
        <w:tabs>
          <w:tab w:leader="none" w:pos="54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Included pursuant to Instruction 3 to Item 401(b) of Regulation S-K.</w:t>
      </w:r>
    </w:p>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Paul D. Arling </w:t>
      </w:r>
      <w:r>
        <w:rPr>
          <w:rFonts w:ascii="Arial" w:cs="Arial" w:eastAsia="Arial" w:hAnsi="Arial"/>
          <w:sz w:val="16"/>
          <w:szCs w:val="16"/>
          <w:color w:val="auto"/>
        </w:rPr>
        <w:t>is our Chairman and Chief Executive Officer. He joined us in May 1996 as Chief Financial Officer and was named to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in August 1996. He was appointed President and Chief Operating Officer in September 1998, was promoted to Chief Executive Officer in October 2000 and appointed as Chairman in July 2001. At the 2017 Annual Meeting of Stockholders, Mr. Arling was re-elected as our Chairman to serve until the 2018 Annual Meeting of Stockholders. From 1993 through May 1996, he served in various capacities at LESCO, Inc. (a manufacturer and distributor of professional turf care products). Prior to LESCO, he worked for Imperial Wall coverings (a manufacturer and distributor of wall covering products) as Director of Planning and The Michael Allen Company (a strategic management consulting company) where he was employed as a management consultant.</w:t>
      </w:r>
    </w:p>
    <w:p>
      <w:pPr>
        <w:spacing w:after="0" w:line="1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David Chong </w:t>
      </w:r>
      <w:r>
        <w:rPr>
          <w:rFonts w:ascii="Arial" w:cs="Arial" w:eastAsia="Arial" w:hAnsi="Arial"/>
          <w:sz w:val="16"/>
          <w:szCs w:val="16"/>
          <w:color w:val="auto"/>
        </w:rPr>
        <w:t>is our Executive Vice President, Asia. He is responsible for general management of our Asia region and Global Operations. Mr. Chong joined</w:t>
      </w:r>
      <w:r>
        <w:rPr>
          <w:rFonts w:ascii="Arial" w:cs="Arial" w:eastAsia="Arial" w:hAnsi="Arial"/>
          <w:sz w:val="16"/>
          <w:szCs w:val="16"/>
          <w:i w:val="1"/>
          <w:iCs w:val="1"/>
          <w:color w:val="auto"/>
        </w:rPr>
        <w:t xml:space="preserve"> </w:t>
      </w:r>
      <w:r>
        <w:rPr>
          <w:rFonts w:ascii="Arial" w:cs="Arial" w:eastAsia="Arial" w:hAnsi="Arial"/>
          <w:sz w:val="16"/>
          <w:szCs w:val="16"/>
          <w:color w:val="auto"/>
        </w:rPr>
        <w:t>us in January 2009 as Senior Vice President of Global OEM. Prior to joining us, Mr. Chong served as Senior Vice President at Philips Consumer Electronics Division and as the Chief Marketing Officer of the business group Philips Display (Philips TV and computer monitor business). At Philips Display, he led the re-engineering of the Product Creation, Marketing and Sales Organization to compete successfully in the LCD TV space. Prior to this, he also served as Vice President and General Manager of the Audio Video Business in Asia, Vice President and Global Business Line Manager for Audio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various senior management positions at Philips' CE Division. Mr. Chong started at Philips Research Lab in 1984 as a research scientist working in the area of VLSI design methodologies. He also served as Managing Director for Asia at InVue Security Product before joining us at the present position. Mr. Chong had his senior education in The United Kingdom, holding a B.S. in Electrical and Electronics Engineering with High Honors from University of Nottingham.</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Louis S. Hughes </w:t>
      </w:r>
      <w:r>
        <w:rPr>
          <w:rFonts w:ascii="Arial" w:cs="Arial" w:eastAsia="Arial" w:hAnsi="Arial"/>
          <w:sz w:val="18"/>
          <w:szCs w:val="18"/>
          <w:color w:val="auto"/>
        </w:rPr>
        <w:t>is our Chief Operating Officer. He joined us in 2004 as General Manager of Simple Devices as part of our acquisition of Simples Devices,</w:t>
      </w:r>
      <w:r>
        <w:rPr>
          <w:rFonts w:ascii="Arial" w:cs="Arial" w:eastAsia="Arial" w:hAnsi="Arial"/>
          <w:sz w:val="18"/>
          <w:szCs w:val="18"/>
          <w:i w:val="1"/>
          <w:iCs w:val="1"/>
          <w:color w:val="auto"/>
        </w:rPr>
        <w:t xml:space="preserve"> </w:t>
      </w:r>
      <w:r>
        <w:rPr>
          <w:rFonts w:ascii="Arial" w:cs="Arial" w:eastAsia="Arial" w:hAnsi="Arial"/>
          <w:sz w:val="18"/>
          <w:szCs w:val="18"/>
          <w:color w:val="auto"/>
        </w:rPr>
        <w:t>Inc. in that same year. From 2008 to 2011, he was our Vice President Corporate Development. From 2011 to 2014, he was our Senior Vice President - Americas, and from 2015 to November 1, 2016 he was our Executive Vice President - Americas until promoted to his current position. Prior to joining us, Mr. Hughes co-founded SimpleDevices, Inc. (a company that pioneered local area network digital media distribution to a wide variety of consumer electronics devices) and Supplybase (a company that provided enterprise wide, web-based supply chain management systems and information). He also held various positions with General Electric Company over a ten-year period.</w:t>
      </w:r>
    </w:p>
    <w:p>
      <w:pPr>
        <w:spacing w:after="0" w:line="13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Richard A. Firehammer, Jr., Esq. </w:t>
      </w:r>
      <w:r>
        <w:rPr>
          <w:rFonts w:ascii="Arial" w:cs="Arial" w:eastAsia="Arial" w:hAnsi="Arial"/>
          <w:sz w:val="16"/>
          <w:szCs w:val="16"/>
          <w:color w:val="auto"/>
        </w:rPr>
        <w:t>is our Senior Vice President, General Counsel and Secretary. He joined us in October 1993 as General Counsel. He became</w:t>
      </w:r>
      <w:r>
        <w:rPr>
          <w:rFonts w:ascii="Arial" w:cs="Arial" w:eastAsia="Arial" w:hAnsi="Arial"/>
          <w:sz w:val="16"/>
          <w:szCs w:val="16"/>
          <w:i w:val="1"/>
          <w:iCs w:val="1"/>
          <w:color w:val="auto"/>
        </w:rPr>
        <w:t xml:space="preserve"> </w:t>
      </w:r>
      <w:r>
        <w:rPr>
          <w:rFonts w:ascii="Arial" w:cs="Arial" w:eastAsia="Arial" w:hAnsi="Arial"/>
          <w:sz w:val="16"/>
          <w:szCs w:val="16"/>
          <w:color w:val="auto"/>
        </w:rPr>
        <w:t>our Secretary in February 1994. He was our Vice President from May 1997 until August 1998, and served as counsel to us from September 1998 until February 1999 at which time he was promoted to his current position. From November 1992 to September 1993, he was associated with the Chicago, Illinois law firm, Shefsky &amp; Froelich, Ltd. From 1987 to 1992, he was with the law firm Vedder, Price, Kaufman &amp; Kammholz in Chicago, Illinois.</w:t>
      </w:r>
    </w:p>
    <w:p>
      <w:pPr>
        <w:spacing w:after="0" w:line="10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i w:val="1"/>
          <w:iCs w:val="1"/>
          <w:color w:val="auto"/>
        </w:rPr>
        <w:t xml:space="preserve">Bryan M. Hackworth </w:t>
      </w:r>
      <w:r>
        <w:rPr>
          <w:rFonts w:ascii="Arial" w:cs="Arial" w:eastAsia="Arial" w:hAnsi="Arial"/>
          <w:sz w:val="16"/>
          <w:szCs w:val="16"/>
          <w:color w:val="auto"/>
        </w:rPr>
        <w:t>is our Senior Vice President and Chief Financial Officer. He was promoted to Chief Financial Officer in August 2006. Mr. Hackworth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joined us in June 2004 as Corporate Controller and subsequently assumed the role of Chief Accounting Officer in May 2006. Before joining us in 2004, he spent five years at Mars, Inc., a privately held international manufacturer and distributor of consumer products and served in several financial and strategic roles (Controller — Ice Cream Division; Strategic Planning Manager for the WHISKAS </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and various other financial management positions. Prior to joining Mars, Inc., Mr. Hackworth spent six years at Deloitte &amp; Touche LLP as an auditor, specializing in the manufacturing and retail industries.</w:t>
      </w:r>
    </w:p>
    <w:p>
      <w:pPr>
        <w:spacing w:after="0" w:line="11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Menno V. Koopmans </w:t>
      </w:r>
      <w:r>
        <w:rPr>
          <w:rFonts w:ascii="Arial" w:cs="Arial" w:eastAsia="Arial" w:hAnsi="Arial"/>
          <w:sz w:val="17"/>
          <w:szCs w:val="17"/>
          <w:color w:val="auto"/>
        </w:rPr>
        <w:t>is our Managing Director, EMEA. From 2014 to the end of 2016, he was our Senior Vice President for subscription broadcasting</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in Europe and India where he led the customer transition into smart remote controls. From 2005 until 2013, he was the head of our worldwide consumer business and our One For All® brand. Prior to joining us, Mr. Koopmans worked at Mars, Sony Europe and Royal Philips Electronics in different product, marketing and sales management roles in both fast-moving consumer goods and durable consumer goods categories. Mr. Koopmans received his Masters in Science of Business Administration from Erasmus University in Rotterdam, The Netherlands.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make forward-looking statements in Management's Discussion and Analysis of Financial Condition and Results of Operations and elsewhere in this report based on the beliefs and assumptions of our management and on information currently available to us. Forward-looking statements include information about our possible or assumed future results of operations, which follow under the headings "Business", "Liquidity and Capital Resources", and other statements throughout this report preceded by, followed by or that include the words "believes", "expects", "anticipates", "intends", "plans", "estimates" or similar expressions.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number of risks and uncertainties could cause actual results to differ materially from those we express in our forward-looking statements, including the risks and uncertainties we describe below and other factors we describe from time to time in our periodic filings with the U.S. Securities and Exchange Commission (the "SEC"). We therefore caution you not to rely unduly on any forward-looking statement. The forward-looking statements in this report speak only as of the date of this report, and we undertake no obligation to update or revise any forward-looking statement, whether as a result of new information, future developments,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and Uncertainties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various risks that could have a negative effect on us or on our financial condition. You should understand that these risks could cause results to differ materially from those we express in forward-looking statements contained in this report or in other Company communications. Because there is no way to determine in advance whether, or to what extent, any present uncertainty will ultimately impact our business, you should give equal weight to each of the following: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Related to Doing Business in the PRC</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manufacture a majority of our products in our factories in the PRC. Additionally, many of our contract manufacturers are located in the PRC. Doing business in the PRC carries a number of risks including the following:</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Changes in the policies of the PRC government may have a significant impact upon the business we may be able to conduct in the PRC and the profitability of such business.</w:t>
      </w:r>
    </w:p>
    <w:p>
      <w:pPr>
        <w:spacing w:after="0" w:line="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 operations may be adversely affected by the current and future political environment in the PRC. The government of the PRC has exercised and continues to exercise substantial control over virtually every sector of the Chinese economy, through regulation and state ownership. Our ability to operate in the PRC may be adversely affected by changes in Chinese laws and regulations, including those relating to taxation, labor and social insurance, import and export tariffs, raw materials, environmental regulations, land use rights, property and other matters.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PRC laws and regulations governing our current business operations are sometimes vague and uncertain. Any changes in such PRC laws and regulations may harm our business.</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are substantial uncertainties regarding the interpretation and application of PRC laws and regulations, including but not limited to the laws and regulations governing our business, or the enforcement and performance of our arrangements with customers in the event of the imposition of statutory liens, death, bankruptcy and criminal proceedings. We cannot predict what effect the interpretation of existing or new PRC laws or regulations may have on our business. If the relevant authorities find that we are in violation of PRC laws or regulations, they would have broad discretion in dealing with such a violation, including, without limitation:</w:t>
      </w:r>
    </w:p>
    <w:p>
      <w:pPr>
        <w:spacing w:after="0" w:line="26"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levying fines;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revoking our business and other licenses;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requiring that we restructure our ownership or operations;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requiring that we discontinue any portion or all of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fluctuation of the Chinese Yuan Renminbi may harm your investment.</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Chinese monetary policy, the Chinese Yuan Renminbi is permitted to fluctuate within a managed band against a basket of certain foreign currencies and has resulted in a 23.5% appreciation of the Chinese Yuan Renminbi against the U.S. Dollar during the period from July 21, 2005 to December 31, 2017. While the international reaction to the Chinese Yuan Renminbi revaluation has been positive, there remains international pressure on the PRC government to adopt an even more flexible currency policy, which may result in a further and more significant appreciation of the Chinese Yuan Renminbi against the U.S. Dollar, which could lead to higher manufacturing costs for our products.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PRC's legal and judicial system may not adequately protect our business and operations and the rights of foreign investors.</w:t>
      </w:r>
    </w:p>
    <w:p>
      <w:pPr>
        <w:spacing w:after="0" w:line="9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PRC legal and judicial system may negatively impact foreign investors, with enforcement of existing laws inconsistent. In addition, the promulgation of new laws, changes to existing laws and the pre-emption of local regulations by national laws may adversely affect foreign investors.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Availability of adequate workforce levels</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Presently, the vast majority of workers at our PRC factories are obtained from third-party employment agencies. As the labor laws, social insurance and wage levels continue to mature and grow and the workers become more sophisticated, our costs to employ these and other workers in the PRC may grow beyond that anticipated by management. While we have already experienced increases in labor rates in the PRC, as the PRC market continues to open up and grow, we may experience an increase in competition for the same workers, resulting in either an inability to attract and retain an adequate number of qualified workers or an increase in our employment costs to obtain and retain these workers.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Expansion in the PRC</w:t>
      </w:r>
    </w:p>
    <w:p>
      <w:pPr>
        <w:spacing w:after="0" w:line="9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our global business grows, we may decide to expand in China to meet demand. This would be dependent on our ability to locate suitable facilities to support this expansion, to obtain the necessary permits and funding, to attract and retain adequate levels of qualified workers, and to enter into a long-term land lease that is common in the PRC.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Guangzhou factory</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26, 2016, we entered into an agreement to sell our Guangzhou manufacturing facility. While the buyer has completed its due diligence review, the parties are discussing a small number of open items. Management continues to expect this sale to close in the first half of 2018. In anticipation of a successful closing of the sale, we completed the shutdown of all operations at our Guangzhou facility in 2017 and have largely completed the transition of manufacturing activities from this factory to our other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China factories. As a result of this transition, we experienced numerous factory inefficiencies related to hiring, training and other transition activities to allow us to manufacture all of the products previously manufactured in Guangzhou at our other China factories. If we are unsuccessful at completing this transition, this could continue to have a material adverse effect on our results of operations and financial condition. Additionally, if the sale does not close, we may incur unexpected costs associated with an unutilized factory, we may incur additional costs to sell the factory to another buyer, and we may be forced to sell the factory at a less favorable price.</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Risks and Uncertainties Associated with Our Expansion Into and Our Operations Outside of the United States May Adversely Affect Our Results of Operations, Cash Flow, Liquidity or Financial Condition</w:t>
      </w:r>
    </w:p>
    <w:p>
      <w:pPr>
        <w:spacing w:after="0" w:line="3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Net external sales of our consolidated foreign subsidiaries totaled approximately 44.3%, 41.0% and 43.5% of our total consolidated net sales in 2017, 2016 and 2015, respectively. We expect that the international share of our total revenues will continue to make up a significant part of our current business and future strategic plans. Additionally, we operate factories in the PRC, Brazil and Mexico, as well as an engineering center in India. As a result, we are increasingly exposed to the challenges and risks of doing business outside the United States, which could reduce our revenues or profits, increase our costs, result in significant liabilities or sanctions, or otherwise disrupt our business. These challenges include: (1) compliance with complex and changing laws, regulations and policies of governments that may impact our operations, such as foreign ownership restrictions, import and export controls, tariffs, and trade restrictions; (2) compliance with U.S. and foreign laws that affect the activities of companies abroad, such as anti-corruption laws, competition laws, currency regulations, and laws affecting dealings with certain nations; (3) limitations on our ability to repatriate non-U.S. earnings in a tax effective manner; (4) the difficulties involved in managing an organization doing business in many different countries; (5) uncertainties as to the enforceability of contract and intellectual property rights under local laws; (6) rapid changes in government policy, political or civil unrest in the Middle East and elsewhere, acts of terrorism, or the threat of international boycotts or U.S. anti-boycott legislation; and (7) currency exchange rate fluctuations.</w:t>
      </w:r>
    </w:p>
    <w:p>
      <w:pPr>
        <w:spacing w:after="0" w:line="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also exposed to risks relating to U.S. policy with respect to companies doing business in foreign jurisdictions, particularly in light of the current U.S. presidential administration. For example, the passage of the Tax Cuts and Jobs Act on December 22, 2017, significantly changed U.S. income tax law. While we are still assessing the long-term impact these changes will have on our overall income tax liability under our existing business structure, these recent changes in the U.S. tax laws could increase our U.S. income tax liability and adversely affect our consolidated after-tax profitability. In addition, the current U.S. presidential administration has introduced greater uncertainty with respect to future trade regulations and trade agreements. Changes in tax policy, trade regulations or trade agreements could have a material adverse effect on our business and results of operations.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Failure by Our International Operations to Comply With Anti-Corruption Laws or Trade Sanctions Could Increase Our Costs, Reduce Our Profits, Limit Our Growth, Harm Our Reputation, or Subject us to Broader Liability</w:t>
      </w:r>
    </w:p>
    <w:p>
      <w:pPr>
        <w:spacing w:after="0" w:line="3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subject to restrictions imposed by the U.S. Foreign Corrupt Practices Act and anti-corruption laws and regulations of other countries applicable to our operations. Anti-corruption laws and regulations generally prohibit companies and their intermediaries from making improper payments to government officials or other persons in order to receive or retain business. The compliance programs, internal controls and policies we maintain and enforce to promote compliance with applicable anti-bribery and anti-corruption laws may not prevent our associates, contractors or agents from acting in ways prohibited by these laws and regulations. We are also subject to trade sanctions administered by the Office of Foreign Assets Control and the U.S. Department of Commerce. Our compliance programs and internal controls also may not prevent conduct that is prohibited under these rules. The United States may impose additional sanctions at any time against any country in which or with whom we do business. Depending on the nature of the sanctions imposed, our operations in the relevant country could be restricted or otherwise adversely affected. Any violations of anti-corruption laws and regulations or trade sanctions could result in significant civil and criminal penalties, reduce our profits, disrupt our business or damage our reputation. In addition, an imposition of further restrictions in these areas could increase our cost of operations, reduce our profits or cause us to forgo development opportunities that would otherwise support growth.</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Fluctuations in Foreign Currency Exchange Rates May Adversely Affect Our Results of Operations, Cash Flow, Liquidity or Financial Condition.</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of our international operations, we are exposed to risk associated with interest rates and value changes in foreign currencies, which may adversely affect our business. Historically, our reported net sales, earnings, cash flow and financial condition have been subjected to fluctuations in foreign exchange rates. Our exchange rate exposure is in the Argentinian Peso, Brazilian Real, British Pound, Chinese Yuan Renminbi, Euro, Hong Kong Dollar, Indian Rupee, Japanese Yen, Korean Won and Mexican Peso. While we actively manage the exposure of our foreign currency risk as part of our overall financial risk management policy, we believe we may experience losses from foreign currency exchange rate fluctuations, and such losses may adversely affect our sales, earnings, cash flow, liquidity or financial condition.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u w:val="single" w:color="auto"/>
          <w:color w:val="auto"/>
        </w:rPr>
        <w:t>Risks Relating to Natural or Man-made Disasters, Contagious Disease, Terrorist Activity, and War May Adversely Affect Our Business, Financial Condition and Results of Operations</w:t>
      </w:r>
    </w:p>
    <w:p>
      <w:pPr>
        <w:spacing w:after="0" w:line="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including manufacturing or distribution capabilities, and that of our suppliers, business partners and contract manufacturers, to make, move and sell products is critical to our success. So called “Acts of God,” such as hurricanes, earthquakes, tsunamis, and other natural disasters, as well as the potential spread of contagious diseases in locations where we or they own or operate significant operations could cause a disruption in our or our third party’s production and distribution capabilities or a decline in demand for our products and services. In addition, actual or threatened war, terrorist activity, political unrest, or civil strife, such as recent events in Ukraine and Russia, the Middle East, North Korea and other geopolitical uncertainty could have a similar effect. Any one or more of these events may reduce our ability to produce or sell our products which may adversely affect our business, financial condition and results of operations, as well as require additional resources to restore our supply chain.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Foreign Manufacturing</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we own and operate factories in the PRC, Brazil and Mexico, third-party manufacturers located in Asia continue to manufacture a portion of our products. Our arrangements with these foreign manufacturers are subject to the risks of doing business abroad, such as tariffs, environmental and trade restrictions, intellectual property protection and enforcement, export license requirements, work stoppages, political and social instability, economic and labor conditions, foreign currency exchange rate fluctuations, changes in laws and policies (including fiscal policies), and other factors, which may have a material adverse effect on our business, results of operations and cash flows. We believe that the loss of any one or more of our manufacturers would not have a long-term material adverse effect on our business, results of operations and cash flows, because numerous other manufacturers are available to fulfill our requirements; however, the loss of any of our major third-party manufacturers may adversely affect our business, operating results, financial condition and cash flows until alternative manufacturing arrangements are secured.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Key Suppliers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Most of the components used in our products are available from multiple sources. However, we purchase integrated circuits, used principally in our wireless control products, from a small number of key suppliers. To reduce our dependence on our integrated circuit suppliers we continually seek additional sources. We maintain inventories of our integrated circuits, which may be used in part to mitigate, but not eliminate, delays resulting from supply interruptions.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identified alternative sources of supply for our integrated circuit, component parts, and finished goods needs; however, there can be no assurance that we will be able to continue to obtain these inventory purchases on a timely basis. Any extended interruption, shortage or termination in the supply of any of the components used in our products, or a reduction in their quality or reliability, or a significant increase in prices of components, would have an adverse effect on our operating results, financial position and 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Patents, Trademarks, and Copyrights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procedures by which we identify, document and file for patent, trademark, and copyright protection are based solely on engineering and management judgment, with no assurance that a specific filing will be issued, or if issued, will deliver any lasting value to us. Because of the rapid innovation of products and technologies that is characteristic of our industry, there can be no assurance that rights granted under any patent will provide competitive advantages to us or will be adequate to safeguard and maintain our proprietary rights. Moreover, the laws of certain countries in which our products are or may be manufactured or sold may not offer protection on such products and associated intellectual property to the same extent that the United States legal system may offer.</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our intellectual property holdings as well as our engineering, production, and marketing skills and the experience of our personnel are of equal importance to our market position. We further believe that our business is not materially dependent upon any single patent, copyright, trademark, or trade secret.</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 of our products include or use technology and/or components of third parties. While it may be necessary in the future to seek or renew licenses relating to various aspects of such products, we believe that, based upon past experience and industry practice, such licenses may be obtained on commercially reasonable terms; however, there can be no guarantee that such licenses may be obtained on such terms or at all. Because of technological changes in the wireless and home control industry, current extensive patent coverage, and the rapid rate of issuance of new patents, it is possible certain components of our products and business methods may unknowingly infringe upon the patents of others.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for Litigation</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is typical in our industry and for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they may not bear any reasonable relationship to the merits of the claims or the extent of any real risk of court awards assessed against us or in our favor.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 Changes in Wireless Control and Sensing</w:t>
      </w:r>
    </w:p>
    <w:p>
      <w:pPr>
        <w:spacing w:after="0" w:line="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currently derive substantial revenue from the sale of wireless remote controls, sensors and home automation products based on IR and RF and other technologies. Other control technologies exist or may be developed that may compete with this technology. In addition, we develop and maintain our own database of IR and RF codes. There are other IR and RF libraries offered by companies that we compete with in the marketplace. The advantage that we may have compared to our competitors is difficult to measure. In addition, if competing wireless control and sensing technology and products gain acceptance and start to be integrated into home electronics devices and home security and automation products that are currently utilizing our remote controllers and sensors, demand for our products may decrease, resulting in decreased operating results, financial condition, and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Technology Development Activities May Experience Delays.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experience technical, financial, resource or other difficulties or delays related to the further development of our technologies. Delays may have adverse financial effects and may allow competitors with comparable technology offerings to gain an advantage over us in the marketplace or in the standards setting arena. There can be no assurance that we will continue to have adequate staffing or that our development efforts will ultimately be successful. Moreover, certain of our technologies have not been fully tested in commercial use, and it is possible that they may not perform as expected. In such cases, our business, financial condition and operating results may be adversely affected, and our ability to secure new licensees and other business opportunities may be diminished.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Competition and Pricing</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Even with having our own factories, we will continue to rely on third-party manufacturers to build a portion of our universal wireless control products. Price is always an issue in winning and retaining business. If customers become increasingly price sensitive, new competition may arise from manufacturers who decide to go into direct competition with us or from current competitors who perform their own manufacturing. If such a trend develops, we may experience downward pressure on our pricing or lose sales, which may have a material adverse effect on our operating results, financial condition and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Related to Adverse Changes in General Business and Economic Conditions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Adverse changes in general business and economic conditions in the United States and worldwide may reduce the demand for some of our products and adversely affect our results of operations, cash flow, liquidity or financial condition. Higher inflation rates, interest rates, tax rates and unemployment rates, higher labor and health care costs, recessions, changing governmental policies, laws and regulations, increased tariffs, and other economic factors may adversely affect our results of operations, cash flow, liquidity or financial condition. Any such changes may impact our business in a number of ways, including: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deferment of purchases and orders by customers and cyclical nature of portions of our business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Uncertainty about current and future global economic conditions may cause consumers, businesses and governments to defer purchases in response to tighter credit, decreased cash availability and declining consumer confidence. Accordingly, future demand for our products may differ materially from our current expectations.</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portions of our business involve the sale of products to sectors of the economy that are cyclical in nature, particularly the retail sector. Our sales to these sectors are affected by the levels of discretionary consumer and business spending. During economic downturns, the levels of consumer and business discretionary spending in these sectors may decrease, and the recovery of these sectors may lag behind the recovery of the overall economy. This decrease in spending will likely reduce the demand for some of our products and may adversely affect our sales, earnings, cash flow or financial condition. Although many of our end markets have shown signs of stabilization and modest improvement from the recent global economic downturn, the recovery has been erratic. A worsening in these sectors may cause a reduction in the demand for some of our products and may adversely impact sales, earnings, cash flow and financial condition.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 inability to obtain financing to make purchases from us and/or maintain their business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Some of our customers require substantial financing in order to fund their operations and make purchases from us. The inability of these customers to obtain sufficient credit to finance purchases of our products may adversely impact our financial results. In addition, an economic downturn could result in insolvencies for our customers, which may adversely impact our financial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impact on trade receivables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Credit market conditions may slow our collection efforts as customers experience increased difficulty in obtaining requisite financing, leading to higher than normal accounts receivable balances and longer days sales outstanding. Continuation of these conditions may limit our ability to collect our accounts receivable, which may result in greater expense associated with collection efforts and increased bad debt expense.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impact from increased financial pressures on third-party dealers, distributors and retailers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make sales in certain regions of the world through third-party dealers, distributors and retailers. Although many of these third parties have significant operations and maintain access to available credit, others are smaller and more likely to be impacted by a significant decrease in available credit. If credit pressures or other financial difficulties result in insolvency for these third parties and we are unable to successfully transition our end customers to purchase products from other third parties or from us directly, it may adversely impact our financial results.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impact from increased financial pressures on key suppliers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meet customers' demands depends, in part, on our ability to obtain timely and adequate delivery of quality materials, parts and components from our suppliers. Certain of our components are available only from a single source or limited sources. If certain key suppliers were to become capacity constrained or insolvent as a result of an economic downturn, it may result in a reduction or interruption in supplies or a significant increase in the price of supplies and adversely impact our financial results. In addition, credit constraints at key suppliers may result in accelerated payment of accounts payable by us, impacting our cash flow.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Fluctuations in Quarterly Results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from time to time increase our operating expenses to fund greater levels of research and development, sales and marketing activities, development of new distribution channels, improvements in our operational and financial systems and development of our customer support capabilities, and to support our efforts to comply with various government regulations. To the extent such expenses precede or are not subsequently followed by increased revenues, our business, operating results, financial condition and cash flows will be adversely affected.</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we may experience significant fluctuations in future quarterly operating results that may be caused by many other factors, including demand for our products, introduction or enhancement of products by us and our competitors, the loss or acquisition of any significant customers, market acceptance of new products, price reductions by us or our competitors, mix of distribution channels through which our products are sold, product or supply constraints, level of product returns, mix of customers and products sold, component pricing, mix of international and domestic revenues, foreign currency exchange rate fluctuations and general economic conditions. In addition, as a strategic response to changes in the competitive environment, we may from time to time make certain pricing or marketing decisions or acquisitions that may have a material adverse effect on our business, results of operations or financial condition. As a result, we believe period-to-period comparisons of our results of operations are not necessarily meaningful and should not be relied upon as an indication of future performance.</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Due to all of the foregoing factors, it is possible that in some future quarters our operating results will be below the expectations of public market analysts and investors. If this happens the price of our common stock may be materially adversely affected.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Our Ability to Generate Cash Depends on Many Factors Beyond Our Control. We Also Depend on the Business of Our Subsidiaries to Satisfy Our Cash Needs.</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historical financial results have been, and we anticipate that our future financial results will be, subject to fluctuations. Our ability to generate cash is subject to general economic, financial, competitive, legislative, regulatory and other factors that are beyond our control. We cannot assure you that our business will generate sufficient cash flow from our operations or that future borrowings will be available to us in an amount sufficient to enable us to make payments of our debt, fund our other liquidity needs and make planned capital expenditures.</w:t>
      </w:r>
    </w:p>
    <w:p>
      <w:pPr>
        <w:spacing w:after="0" w:line="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our operations are conducted through our subsidiaries. As a result, our ability to generate sufficient cash flow for our needs is dependent on the earnings of our subsidiaries and the payment of those earnings to us in the form of dividends, loans or advances and through repayment of loans or advances from us. Our subsidiaries are separate and distinct legal entities. Our subsidiaries have no obligation to pay any amounts due on our debt or to provide us with funds to meet our cash flow needs,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whether in the form of dividends, distributions, loans or other payments. In addition, any payment of dividends, loans or advances by our subsidiaries may be subject to statutory or contractual restrictions. Payments to us by our subsidiaries will also be contingent upon our subsidiaries' earnings and business considerations. Our right to receive any assets of any of our subsidiaries upon their liquidation or reorganization will be effectively subordinated to the claims of that subsidiary's creditors, including trade creditors. In addition, even if we are a creditor of any of our subsidiaries, our rights as a creditor would be subordinate to any security interest in the assets of our subsidiaries and any indebtedness of our subsidiaries senior to that held by us. Further, changes in the laws of foreign jurisdictions in which we operate may adversely affect the ability of some of our foreign subsidiaries to repatriate funds to us.</w:t>
      </w:r>
    </w:p>
    <w:p>
      <w:pPr>
        <w:spacing w:after="0" w:line="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we may fund a portion of our seasonal working capital needs and obtain funding for other general corporate purposes through short-term borrowings backed by our revolving credit facility and other financing facilities. If any of the banks in these credit and financing facilities are unable to perform on their commitments, which may adversely affect our ability to fund seasonal working capital needs and obtain funding for other general corporate purposes, our cash flow, liquidity or financial condition may be adversely impacted. Although we currently have available credit facilities to fund our current operating needs, we cannot be certain that we will be able to replace our existing credit facilities or refinance our existing or future debt when necessary. Our cost of borrowing and ability to access the capital markets are affected not only by market conditions, but also by our debt and credit ratings assigned by the major credit rating agencies. Downgrades in these ratings will increase our cost of borrowing and may have an adverse effect on our access to the capital markets, including our access to the commercial paper market. An inability to access the capital markets may have a material adverse effect on our results of operations, cash flow, liquidity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Price of Our Common Stock is Volatile and May Decline Regardless of Our Operating Performance.</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Historically, we have had large fluctuations in the price of our common stock, and such fluctuations may continue. The market price for our common stock is volatile and may fluctuate significantly in response to a number of factors, most of which we cannot control, including:</w:t>
      </w:r>
    </w:p>
    <w:p>
      <w:pPr>
        <w:spacing w:after="0" w:line="8" w:lineRule="exact"/>
        <w:rPr>
          <w:sz w:val="20"/>
          <w:szCs w:val="20"/>
          <w:color w:val="auto"/>
        </w:rPr>
      </w:pPr>
    </w:p>
    <w:p>
      <w:pPr>
        <w:jc w:val="both"/>
        <w:ind w:left="9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 and announcements relating to product and technology development, relationships with new and existing customers, litigation and other legal proceedings in which we are involved and intellectual property impacting us or our business;</w:t>
      </w:r>
    </w:p>
    <w:p>
      <w:pPr>
        <w:spacing w:after="0" w:line="1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concerning strategic transactions, such as spin-offs, joint ventures and acquisitions or divestitures;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financial estimates or ratings by any securities analysts who follow our common stock, our failure to meet these estimates or failure of those analysts to initiate or maintain coverage of our common stock;</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investor perceptions as to the likelihood of achievement of near-term goals;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market share of significant customers;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or content providing companies generally;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conditions or trends in our industry or the economy as a whole.</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past, stockholders have instituted securities class action litigation following periods of market volatility. If we were involved in securities litigation, we may incur substantial costs and our resources and the attention of management may be diverted from our business.</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officers and directors periodically sell shares of our common stock which they own, many times pursuant to trading plans established under Rule 10b5-1 of the Securities Exchange Act of 1934, as amended, or the Exchange Act. Sales of shares by our officers and directors may not be indicative of their respective opinions of our performance at the time of sale or of our potential future performance. Nonetheless, the market price of our stock may be affected by such sales of shares by our officers and directors.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If Securities or Industry Analysts Fail to Continue Publishing Research About Our Business, Our Stock Price and Trading Volume May Decline.</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trading market for our common stock has historically been at low volumes and is influenced by the research and reports that industry or securities analysts publish about us or our business. If one or more of these analysts cease coverage of our company or fail to publish reports on us regularly, we may lose visibility in the financial markets, which in turn may cause our stock price or trading volume to decline.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Future Sales of Our Equity May Depress the Market Price of Our Common Stock.</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several institutional stockholders that own significant blocks of our common stock. If one or more of these stockholders were to sell large portions of their holdings in a relatively short time, for liquidity or other reasons, the prevailing market price of our common stock may be negatively affected. Further, due to our historically low trading volumes, such large stockholders may not be able to sell the number of shares they wish to sell and/or in the time frame in which they wish to sell. Moreover, while such large stockholders are attempting to sell their shares, other stockholders may not be able to sell their shares at the price and time that such other stockholders desire due to the low trading volumes of our stock. Additionally, in March 2016, we issued common stock purchase warrants to Comcast Corporation ("Comcast") to purchase up to 725,000 shares of our common stock at a price of $54.55 per share. The right to exercise the warrants is subject to vesting over three successive two-year periods (the first two-year period commenced on January 1, 2016 and ended on December 31, 2017) based on the level of purchases of goods and services from us by Comcast and its affiliates, as defined in the warrants. To the extent that the warrants vest and Comcast exercises the warrants and sells any of the shares of common stock issuable upon exercise, or the perception that such sales may occur, could adversely affect the market price and/or trading volume of our common stock. Based upon the volume of goods and services purchased by Comcast during the first two-year period which ended on December 31, 2017, Comcast vested in 175,000 of the warrants.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Approved Stock Repurchase Programs May Not Result in a Positive Return of Capital to Stockholders.</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Periodically, our Board approves programs to repurchase our common stock based upon an assessment of then current value as compared to then trading ranges and investor analyst reports. Also considered in this decision is the effect any such repurchases may have on our cash balances and needs, cash flow, and short- and long-term borrowing. Our stock price has experienced substantial price volatility in the past and may continue to do so in the future. Additionally, we, the technology industry and the stock market as a whole have experienced extreme stock price and volume fluctuations that have affected stock prices in ways that may have been unrelated to our and these companies’ operating performance. Price volatility over a given period may cause the average price at which we repurchase our own stock to exceed the stock’s price at a given point in time. While we believe our stock price should reflect expectations of future growth and profitability, we also believe our stock price should reflect expectations that our share repurchase program will be fully consummated even though our share repurchase program does not obligate us to acquire any specific number of shares. If we fail to meet expectations related to future growth, profitability, share repurchases or other market expectations, our stock price may decline significantly, which could have a material adverse impact on investor confidence.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Consumer Preference</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susceptible to fluctuations in our business based upon consumer demand for our products. In addition, we cannot guarantee that increases in demand for our products associated with increases in the deployment of new technology will continue. We believe that our success depends on our ability to anticipate, gauge and respond to fluctuations in consumer preferences. However, it is impossible to predict with complete accuracy the occurrence and effect of fluctuations in consumer demand over a product's life cycle. Moreover, any growth in revenues that we achieve may be transitory and should not be relied upon as an indication of future performance.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Demand for Consumer Service and Support</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continually provided domestic and international consumer service and support to our customers to add overall value and to help differentiate us from our competitors. We continually review our service and support group and are marketing our expertise in this area to other potential customers. There can be no assurance that we will be able to attract new customers in the future.</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certain of our products have more features and are more complex than others and therefore require more end-user technical support. In some instances, we rely on distributors or dealers to provide the initial level of technical support to the end-users. We provide the second level of technical support for bug fixes and other issues at no additional charge. Therefore, as the mix of our products includes more of these complex product lines, support costs may increase, which may have an adverse effect on our business, operating results, financial condition and cash flows.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New Product Introduction</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remain competitive in the wireless control, AV accessory, home security and home automation markets will depend considerably upon our ability to successfully identify new product opportunities, as well as develop and introduce these products and enhancements on a timely and cost effective basis. There can be no assurance that we will be successful at developing and marketing new products or enhancing our existing products, or that these new or enhanced products will achieve consumer acceptance and, if achieved, will sustain that acceptance. In addition, there can be no assurance that products developed by others will not render our products non-competitive or obsolete or that we will be able to obtain or maintain the rights to use proprietary technologies developed by others which are incorporated in our products. Any failure to anticipate or respond adequately to technological developments and customer requirements, or any significant delays in product development or introduction, may have a material adverse effect on our operating results, financial condition and cash flows.</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introduction of new products may require significant expenditures for research and development, tooling, manufacturing processes, inventory and marketing. In order to achieve high volume production of any new product, we may have to make substantial investments in inventory and expand our production capabilities.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Major Customers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economic strength and weakness of our worldwide customers affect our performance. We sell our wireless control products, AV accessory products, and proprietary technologies to subscription broadcasters, original equipment manufacturers, retailers and private label customers. We also supply our products to our wholly owned, non-U.S. subsidiaries and to independent foreign distributors, who in turn distribute our products worldwide, with Europe, Asia and Latin America currently representing our principal foreign markets.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years ended December 31, 2017, 2016 and 2015, we had sales in excess of 10% of our net sales to Comcast and to AT&amp;T. The loss of any of these customers or of any other key customer, either in the United States or abroad or our inability to maintain order volume with these customers, may have an adverse effect on our operating results, financial condition and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Outsourced Labor</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continue to use outside resources to assist us in the development of some of our products and technologies. While we believe that such outside services will continue to be available to us, if they cease to be available, the development of these products and technologies may be substantially delayed, which may have a material adverse effect on our operating results, financial condition and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Disruptions Caused by Labor Disputes or Organized Labor Activities Could Materially Harm our Business and Reputation</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Currently, approximately 400 of our Brazil and Mexico employees are represented by labor unions. Disputes with the current labor unions or new union organizing activities could lead to production slowdowns or stoppages and make it difficult or impossible for us to meet scheduled delivery times for product shipments to some of our customers, which could result in a loss of business and material damage to our reputation. In addition, union activity and compliance with international labor standards could result in higher labor costs, which could have a material adverse effect on our financial position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Competition</w:t>
      </w:r>
    </w:p>
    <w:p>
      <w:pPr>
        <w:spacing w:after="0" w:line="9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Competition within the wireless control industry is based primarily on product availability, price, speed of delivery, ability to tailor specific solutions to customer needs, quality, and depth of product lines. Our competition is fragmented across our products, and, accordingly, we do not compete with any one company across all product lines. We compete with a variety of entities, some of which have greater financial resources. Other competitors are smaller and may be able to offer more specialized products. Our ability to remain competitive in this industry depends in part on our ability to successfully identify new product opportunities, develop and introduce new products and enhancements on a timely and cost effective basis, as well as our ability to successfully identify and enter into strategic alliances with entities doing business within the industries we serve. Competition in any of these areas may reduce our sales and adversely affect our earnings or cash flow by resulting in decreased sales volumes, reduced prices and increased costs of manufacturing, distributing and selling our products. There can be no assurance that our product offerings will be, and/or will remain, competitive or that strategic alliances, if any, will achieve the type, extent, and amount of success or business that we expect them to achieve. The sales of our products and technology may not occur or grow in the manner we expect, and thus we may not recoup costs incurred in the research and development of these products as quickly as we expect, if at all.</w:t>
      </w: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home security and automation industry is highly fragmented and subject to significant competition and pricing pressures. In particular, the monitored security industry providers have highly recognized brands which may drive increased awareness of their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security/automation offerings rather than ours, have access to greater capital and resources than us, and may spend significantly more on advertising, marketing and promotional resources which could have a material adverse effect on our ability to drive awareness and demand for our products and services. In addition, cable and telecommunications companies have expanded into the monitored security industry and are bundling their existing offerings with monitored security services. We also face competition from Do-It-Yourself ("DIY") companies that are increasingly providing products which enable customers to self-monitor and control their environments without third-party involvement. Further, DIY providers may also offer professional monitoring with the purchase of their systems and equipment or new IoT devices and services with automated features and capabilities that may be appealing to customers. Continued pricing pressure, improvements in technology and shifts in customer preferences towards self-monitoring or DIY could adversely impact our customer base and/or pricing structure and have a material adverse effect on our business, financial condition, results of operations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 are Exposed to Greater Risks of Liability for Omissions or System Failures</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a customer or third party believes that he or she has suffered harm to person or property due to an actual or alleged security system failure, he or she (or their insurers) may pursue legal action against us, and the cost of defending the legal action and of any judgment against us could be substantial. In particular, because some of our products and services are intended to help protect lives and real and personal property, we may have greater exposure to litigation risks than businesses that provide other consumer and small business products and services. While our customer contracts contain a series of risk-mitigation provisions that are aimed at limiting our liability and/or limiting a claimant’s ability to pursue legal action against us, in the event of litigation with respect to such matters it is possible that these risk-mitigation provisions may be deemed not applicable or unenforceable and, regardless of the ultimate outcome, we may incur significant costs of defense that could materially and adversely affect our business, financial condition, results of operations and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Brand Quality and Reputation</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depends on the quality and reputation of our brands, and any deterioration in the quality or reputation of these brands may have an adverse impact on our market share, reputation, business, financial condition or results of operations. Events that may be beyond our control may affect the reputation of one or more of our products or more generally impact the reputation of our brands. If the reputation or perceived quality of our brands declines, our market share, reputation, business, financial condition or results of operations may be affected.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Unanticipated Changes in Tax and Other Laws and Regulations</w:t>
      </w:r>
    </w:p>
    <w:p>
      <w:pPr>
        <w:spacing w:after="0" w:line="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business is subject to regulation under a wide variety of laws, regulations and policies in jurisdictions around the world. In response to continued economic challenges, we anticipate that many of the jurisdictions in which we do business will continue to review tax and other revenue raising laws, regulations and policies, and any resulting changes may impose new restrictions, costs or prohibitions on our current practices and reduce our profits. In particular, governments may revise tax laws, regulations or official interpretations in ways that may have a significant impact on us, including modifications that may reduce the profits that we can effectively realize from our non-U.S. operations, or that may require costly changes to those operations, or the way in which they are structured. If changes in tax laws, regulations or interpretations significantly increase the tax rates on non-U.S. income, our effective tax rate may increase and our profits may be reduced. If such increases resulted from our status as a U.S. company, those changes may place us at a disadvantage to our non-U.S. competitors if those competitors remain subject to lower local tax rates. Further, the recent passage of the Tax Cuts and Jobs Act in the U.S. significantly changes U.S. income tax law and could increase the tax rate on our non-U.S. income, which may increase our overall effective tax rate.</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from time to time, we are subject to tax audits in various jurisdictions. Tax authorities may disagree with our intercompany charges or other matters and assess additional taxes. We assess the likely outcomes of these audits in order to determine the appropriateness of the tax provision. However, there can be no assurance that we will accurately predict or calculate the outcomes of these audits, and the actual outcomes of these audits may have a material impact on our financial condition, results of operations and cash flows. In addition, our effective tax rate in the future may be adversely affected by changes in the mix of earnings in countries with differing statutory tax rates, changes in the valuation of deferred tax assets and liabilities, changes in tax laws and the discovery of new information in the course of our tax return preparation process. Furthermore, our tax provisions may be adversely affected as a result of any new interpretative accounting guidance related to accounting for uncertain tax positions.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Environmental Matters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Many of our products are subject to various federal, state, local and international laws governing chemical substances in products, including laws regulating the manufacture and distribution of chemical substances and restricting the presence of certain substances in electronics products. In addition, many of these laws and regulations make producers of electrical goods responsible for collection, recycling, treatment and disposal of recovered products. As a result, we may face significant costs and liabilities in complying with these laws and any future laws and regulations or enforcement policies that may have a material adverse effect upon our operating results, financial condition,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Leased Property</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lease all of the properties used in our business. We can give no assurance that we will enter into new or renewal leases, or that, if entered into, the new lease terms will be similar to the existing terms or that the terms of any such new or renewal leases will not have a significant and material adverse effect on our operating results, financial condition and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Failure to Recruit, Hire, and Retain Key Personnel</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achieve growth in the future will depend, in part, on our success at recruiting, hiring, training, developing and retaining highly skilled engineering, managerial, operational, sales and marketing personnel. If our salary and benefits fail to stay competitive it may negatively impact our ability to hire and retain key personnel and we may experience low morale, inefficiency or internal control failures. The inability to recruit, hire, train, develop and retain qualified personnel, or the loss of any key personnel, may make it difficult to meet key objectives, such as timely and effective product introductions, and also limit our ability to grow and expand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Transportation Costs, Tariffs, and Impact of Oil Prices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ship products from our factories and foreign manufacturers via ocean and air transport. It is sometimes difficult to forecast swings in demand or delays in production and, as a result, products may be shipped via air which is more costly than ocean shipments. We typically cannot recover the increased cost of air freight from our customers. Additionally, tariffs and other export fees may be incurred to ship products from foreign manufacturers to the customer. The inability to predict swings in demand or delays in production may increase the cost of freight which may have a material adverse effect on our product margins.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an exposure to oil prices in two forms. The first is in the prices of oil-based materials in our products, which are primarily the plastics and other components that we include in our finished products. The second is in the cost of delivery and freight, which would be passed on by the carriers that we use in the form of higher rates. We record freight-in as a cost of sales and freight-out in operating expenses. Rising oil prices may have an adverse effect on cost of sales and operating expenses.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Proprietary Technologies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produce highly complex products that incorporate leading-edge technology, including hardware, firmware, and software. Firmware and software may contain bugs that may unexpectedly interfere with product operation. There can be no assurance that our testing programs will detect all defects in individual products or defects that may affect numerous shipments. The presence of defects may harm customer satisfaction, reduce sales opportunities, or increase warranty claims and/or returns. An inability to cure or repair such a defect may result in the failure of a product line, temporary or permanent withdrawal of a product or market, damage to our reputation, increased inventory costs, or product re-engineering expenses, any of which may have a material impact on our operating results, financial condition and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Strategic Business Transactions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from time to time, pursue strategic alliances, joint ventures, business acquisitions, products or technologies ("strategic business transactions") that complement or expand our existing operations, including those that may be material in size and scope. Strategic business transactions involve many risks, including the diversion of management's attention away from day-to-day operations. There is also the risk that we will not be able to successfully integrate the strategic business transaction with our operations, personnel, customer base, products or technologies. Such strategic business transactions may also have adverse short-term effects on our operating results, and may result in dilutive issuances of equity securities, the incurrence of debt, and the loss of key employees. In addition, these strategic business transactions are subject to specific accounting guidelines that may adversely affect our financial condition, results of operations and cash flow.</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Growth Projections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Management has made projections required for the preparation of financial statements in conformity with accounting principles generally accepted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("GAAP") regarding future events and the financial performance of the Company, including those involving:</w:t>
      </w:r>
    </w:p>
    <w:p>
      <w:pPr>
        <w:spacing w:after="0" w:line="49" w:lineRule="exact"/>
        <w:rPr>
          <w:sz w:val="20"/>
          <w:szCs w:val="20"/>
          <w:color w:val="auto"/>
        </w:rPr>
      </w:pPr>
    </w:p>
    <w:p>
      <w:pPr>
        <w:ind w:left="90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benefits the Company expects as a result of the development and success of products and technologies, including new products and technologies;</w:t>
      </w:r>
    </w:p>
    <w:p>
      <w:pPr>
        <w:spacing w:after="0" w:line="8"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benefits expected by conducting business in Asian and Latin American markets, without which, we may not be able to recover the costs we incur to enter into such markets;</w:t>
      </w:r>
    </w:p>
    <w:p>
      <w:pPr>
        <w:spacing w:after="0" w:line="8"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contracts with new and existing customers and new market penetrations;</w:t>
      </w:r>
    </w:p>
    <w:p>
      <w:pPr>
        <w:spacing w:after="0" w:line="63"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expected continued adoption of the Company's technologies in gaming consoles, mobile devices, and other home entertainment and control devices;</w:t>
      </w:r>
    </w:p>
    <w:p>
      <w:pPr>
        <w:spacing w:after="0" w:line="8"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expected continued growth in digital TVs, DVRs, PVRs and overall growth in the Company's industry;</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competitors and OTT providers may have on our business; and</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effects we may experience due to current global and regional economic conditions.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Actual events or results may be unfavorable to management's projections, which may have a material adverse effect on our projected operating results, financial condition and cash flows.</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Additionally, we have goodwill and intangible assets recorded on our balance sheet. We periodically evaluate the recoverability of the carrying value of our goodwill and intangible assets whenever events or changes in circumstances indicate that such value may not be recoverable. Impairment assessment involves judgment as to assumptions regarding future sales and cash flows and the impact of market conditions on those assumptions. Future events and changing market conditions may impact our assumptions and may result in changes in our estimates of future sales and cash flows that may result in us incurring substantial impairment charges, which would adversely affect our results of operations or financial condition.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Market Projections and Data are Forward-looking in Nature.</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strategy is based on our own projections and on analyst, industry observer and expert projections, which are forward-looking in nature and are inherently subject to risks and uncertainties. The validity of their and our assumptions, the timing and scope of the markets within which we compete, economic conditions, customer buying patterns, the timeliness of equipment development, pricing of products, and availability of capital for infrastructure improvements may affect these predictions. In addition, market data upon which we rely is based on third party reports that may be inaccurate. The inaccuracy of any of these projections and/or market data may adversely affect our operating results and financial condition.</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Cybersecurity Issues: Failure to Maintain the Integrity of and Protect Internal or Customer Data May Result in Faulty Business Decisions, Operational Inefficiencies, Damage to our Reputation and/or Subject Us to Costs, Fines, or Lawsuits</w:t>
      </w:r>
    </w:p>
    <w:p>
      <w:pPr>
        <w:spacing w:after="0" w:line="3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business requires collection and retention of large volumes of internal and customer data, including personally identifiable information of our customers in various information systems that we maintain and in those maintained by third parties with whom we contract to provide services, including in areas such as customer product servicing, human resources outsourcing, website hosting, and various forms of electronic communications. We and third parties who provide services to us also maintain personally identifiable information about our employees. The integrity and protection of that customer, employee, and company data, including proprietary information, is critical to us. If that data is inaccurate or incomplete, we may make faulty decisions. Our customers and employees also have a high expectation that we and our service providers will adequately protect their personal information. The information, security and privacy requirements imposed by governmental regulation is also increasingly demanding, in both the United States and other jurisdictions where we operate. For example, the European Union’s General Data Protection Regulation is considered to be one of the most stringent data privacy regulations and becomes enforceable on May 25, 2018. Our systems and those of our service providers may be unable to satisfy these changing requirements and employee and customer expectations, or may require significant additional investments or time in order to do so.</w:t>
      </w:r>
    </w:p>
    <w:p>
      <w:pPr>
        <w:spacing w:after="0" w:line="16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Further, proprietary information key to the development of our products is susceptible to the vulnerability of cybersecurity. Efforts to hack or breach security measures, failures of systems or software to operate as designed or intended, viruses, operator error, or inadvertent releases of data may materially impact our and our service providers' information systems and records and could disrupt our business. Our reliance on computer, Internet-based and mobile systems and communications and the frequency and sophistication of efforts by hackers to gain unauthorized access to such systems have increased significantly in recent years. A significant theft, loss, or fraudulent use of customer, employee, or company data maintained by us or by a service provider could adversely impact our reputation, cause harm to our business generally, and could result in remedial and other expenses, fines, or litigation. Breaches in the security of our information systems or those of our service providers 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other disruptions in data services could lead to an interruption in the operation of our systems, resulting in a loss of data, operational inefficiencies and a loss of profits.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Effectiveness of Our Internal Control Over Financial Reporting</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Section 404 of the Sarbanes-Oxley Act of 2002, we are required to include our assessment of the effectiveness of our internal control over financial reporting in our Annual Report on Form 10-K. Furthermore, our independent registered public accounting firm is required to audit our internal control over financial reporting and separately report on whether it believes we maintain, in all material respects, effective internal control over financial reporting. Although we believe that we currently have adequate internal control procedures in place, we cannot be certain that future material changes to our internal control over financial reporting will be effective. Additionally, in 2016 we began implementing a new global ERP system which has impacted our internal controls in 2017, primarily in the U.S., where the ERP system went live in February 2017. We continue to implement the ERP system globally and expect it to impact our control environment in Asia when the system goes live there in 2018. If we cannot adequately maintain the effectiveness of our internal control over financial reporting, we may be subject to sanctions or investigation by regulatory authorities, such as the SEC. Any such action may adversely affect our financial results and the market price of our common stock.</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Our Governing Corporate Documents Contain, and Our Board of Directors May Implement, Antitakeover Provisions that May Deter Takeover Attempts</w:t>
      </w:r>
    </w:p>
    <w:p>
      <w:pPr>
        <w:spacing w:after="0" w:line="237"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Our governing corporate documents, among other things, require super-majority votes in connection with certain mergers and similar transactions. In addition, our Board of Directors may, without stockholder approval, implement other anti-takeover defenses, such as a stockholder's rights plan.</w:t>
      </w:r>
    </w:p>
    <w:p>
      <w:pPr>
        <w:spacing w:after="0" w:line="36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u w:val="single" w:color="auto"/>
          <w:color w:val="auto"/>
        </w:rPr>
        <w:t>Regulations Related to the Use of Conflict-Free Minerals May Increase Our Costs and Expenses, and an Inability to Certify that Our Products are Conflict-Free May Adversely Affect Customer Relationships</w:t>
      </w:r>
    </w:p>
    <w:p>
      <w:pPr>
        <w:spacing w:after="0" w:line="3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Dodd-Frank Wall Street Reform and Consumer Protection Act contains provisions to improve the transparency and accountability of the use by public companies in their products of minerals mined in certain countries and to prevent the sourcing of such "conflict" minerals. As a result, the SEC enacted new annual disclosure and reporting requirements for public companies that use these minerals in their products, which apply to us. Under the final rules, we are required to conduct due diligence to determine the source of any conflict minerals used in our products and to make annual disclosures in filings with the SEC. Because our supply chain is broad-based and complex, we may not be able to easily verify the origins for all minerals used in our products. In addition, the new rules may reduce the number of suppliers who provide components and products containing conflict-free minerals and thus may increase the cost of the components used in manufacturing our products and the costs of our products to us. Any increased costs and expenses may have a material adverse impact on our financial condition and results of operations. Further, if we are unable to certify that our products are conflict free, we may face challenges with our customers, which may place us at a competitive disadvantage, and our reputation may be harmed.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 are Subject to a Wide Variety of Complex Domestic and Foreign Laws and Regulations.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a wide variety of complex domestic and foreign laws and regulations, and legal compliance risks, including securities laws, tax laws, employment and pension-related laws, competition laws, U.S. and foreign export and trading laws, and laws governing improper business practices. We are affected by new laws and regulations, and changes to existing laws and regulations, including interpretations by courts and regulators. From time to time, our Company, our operations and the industries in which we operate are being reviewed or investigated by regulators, which may lead to enforcement actions or the assertion of private litigation claims and damages.</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that we have adopted appropriate risk management and compliance programs to mitigate these risks, the global and diverse nature of our operations means that compliance risks will continue to exist. Investigations, examinations and other proceedings, the nature and outcome of which cannot be predicted, will likely arise from time to time. These investigations, examinations and other proceedings may subject us to significant liability and require us to make significant accruals or pay significant settlements, fines and penalties, which may have a material adverse effect on our results of operations, cash flow or financial condition.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We are Required to Comply with Numerous Complex and Increasingly Stringent Domestic and Foreign Health, Safety and Environmental Laws and Regulations, the Cost of Which is Likely to Increase.</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are subject to various domestic and foreign health, safety and environmental laws and regulations. These laws and regulations not only govern our current operations and products, but also impose potential liability on us for our past operations. We expect health, safety and environmental laws and regulations to impose increasingly stringent requirements upon our industry and us in the future. Our costs to comply with these laws and regulations may increase as these requirements become more stringent in the future, and these increased costs may adversely affect our results of operations, cash flow or financial condition.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Financial Accounting Standards or Policies May Affect Our Reported Financial Condition or Results of Operations.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the Financial Accounting Standards Board (the "FASB") and the SEC change their guidance governing the form and content of our external financial statements. In addition, accounting standard setters and those who interpret GAAP, such as the FASB and the SEC may change or even reverse their previous interpretations or positions with regard to how these standards should be applied. A change in accounting principles or their interpretation can have a significant effect on our reported results. In certain cases, the company may be required to apply new or revised guidance retroactively or apply existing guidance differently. For example, in May 2014, the FASB issued ASU 2014-09, "Revenue from Contracts with Customers," which will impact the timing of revenue recognition for certain new and existing contracts with customers beginning January 1, 2018. Additionally, in February 2016, the FASB issued ASU 2016-02, “Leases,” which changes the accounting for leases. These and other potential changes in reporting standards may substantially change our reporting practices in a number of areas, including revenue recognition and recording of assets and liabilities, and affect our reported financial condition or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global headquarters is located in Santa Ana, California. We utilize the following facilities: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Location</w:t>
            </w:r>
          </w:p>
        </w:tc>
        <w:tc>
          <w:tcPr>
            <w:tcW w:w="120" w:type="dxa"/>
            <w:vAlign w:val="bottom"/>
            <w:vMerge w:val="restart"/>
          </w:tcPr>
          <w:p>
            <w:pPr>
              <w:spacing w:after="0"/>
              <w:rPr>
                <w:sz w:val="14"/>
                <w:szCs w:val="14"/>
                <w:color w:val="auto"/>
              </w:rPr>
            </w:pPr>
          </w:p>
        </w:tc>
        <w:tc>
          <w:tcPr>
            <w:tcW w:w="390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Purpose or Use</w:t>
            </w:r>
          </w:p>
        </w:tc>
        <w:tc>
          <w:tcPr>
            <w:tcW w:w="100" w:type="dxa"/>
            <w:vAlign w:val="bottom"/>
            <w:vMerge w:val="restart"/>
          </w:tcPr>
          <w:p>
            <w:pPr>
              <w:spacing w:after="0"/>
              <w:rPr>
                <w:sz w:val="14"/>
                <w:szCs w:val="1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b w:val="1"/>
                <w:bCs w:val="1"/>
                <w:color w:val="auto"/>
              </w:rPr>
              <w:t>Square</w:t>
            </w:r>
          </w:p>
        </w:tc>
        <w:tc>
          <w:tcPr>
            <w:tcW w:w="3760" w:type="dxa"/>
            <w:vAlign w:val="bottom"/>
            <w:vMerge w:val="restart"/>
          </w:tcPr>
          <w:p>
            <w:pPr>
              <w:ind w:left="170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Feet</w:t>
            </w:r>
          </w:p>
        </w:tc>
        <w:tc>
          <w:tcPr>
            <w:tcW w:w="100" w:type="dxa"/>
            <w:vAlign w:val="bottom"/>
            <w:tcBorders>
              <w:bottom w:val="single" w:sz="8" w:color="CCEEFF"/>
            </w:tcBorders>
          </w:tcPr>
          <w:p>
            <w:pPr>
              <w:spacing w:after="0"/>
              <w:rPr>
                <w:sz w:val="16"/>
                <w:szCs w:val="16"/>
                <w:color w:val="auto"/>
              </w:rPr>
            </w:pPr>
          </w:p>
        </w:tc>
        <w:tc>
          <w:tcPr>
            <w:tcW w:w="3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Santa Ana, California</w:t>
            </w:r>
          </w:p>
        </w:tc>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Corporate headquarters, engineering, research and</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36,184</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Leased, expires October 31, 2022</w:t>
            </w: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development</w:t>
            </w: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Euclid, Ohio</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Call center</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12,728</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June 30, 2025</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Carlsbad, California</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Engineering, research and development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27,141</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Leased, expires November 30, 2019</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San Mateo, California</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Engineering, research and development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5,826</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January 31, 2023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Poway, California</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Engineering, research and development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7,891</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Leased, expires November 30, 2018</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Enschede, Netherlands</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European headquarters and call center</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19,137</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February 28, 2024</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Bangalore, India</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Engineering, research and development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21,326</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Leased, expires February 28, 2018</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Hong Kong, PRC</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Asian headquarters</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June 30, 2019</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Suzhou, PRC</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Engineering, research and development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4,908</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Leased, expires December 31, 2018</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Suzhou, PRC</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Engineering, research and development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5,705</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December 31, 2020</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Yangzhou, PRC </w:t>
            </w:r>
            <w:r>
              <w:rPr>
                <w:rFonts w:ascii="Arial" w:cs="Arial" w:eastAsia="Arial" w:hAnsi="Arial"/>
                <w:sz w:val="25"/>
                <w:szCs w:val="25"/>
                <w:color w:val="auto"/>
                <w:vertAlign w:val="superscript"/>
              </w:rPr>
              <w:t>(1)</w:t>
            </w:r>
          </w:p>
        </w:tc>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Manufacturing facility</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1,204,697</w:t>
            </w:r>
          </w:p>
        </w:tc>
        <w:tc>
          <w:tcPr>
            <w:tcW w:w="100" w:type="dxa"/>
            <w:vAlign w:val="bottom"/>
            <w:shd w:val="clear" w:color="auto" w:fill="CCEEFF"/>
          </w:tcPr>
          <w:p>
            <w:pPr>
              <w:spacing w:after="0"/>
              <w:rPr>
                <w:sz w:val="23"/>
                <w:szCs w:val="23"/>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leased, expires July 31, 2055</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Yangzhou, PRC</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Manufacturing facility</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77,888</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October 31, 2025</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Yangzhou, PRC</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Manufacturing facility</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90,201</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Leased, expires September 30, 2022</w:t>
            </w:r>
          </w:p>
        </w:tc>
        <w:tc>
          <w:tcPr>
            <w:tcW w:w="0" w:type="dxa"/>
            <w:vAlign w:val="bottom"/>
          </w:tcPr>
          <w:p>
            <w:pPr>
              <w:spacing w:after="0"/>
              <w:rPr>
                <w:sz w:val="1"/>
                <w:szCs w:val="1"/>
                <w:color w:val="auto"/>
              </w:rPr>
            </w:pPr>
          </w:p>
        </w:tc>
      </w:tr>
      <w:tr>
        <w:trPr>
          <w:trHeight w:val="270"/>
        </w:trPr>
        <w:tc>
          <w:tcPr>
            <w:tcW w:w="24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Guangzhou, PRC </w:t>
            </w:r>
            <w:r>
              <w:rPr>
                <w:rFonts w:ascii="Arial" w:cs="Arial" w:eastAsia="Arial" w:hAnsi="Arial"/>
                <w:sz w:val="25"/>
                <w:szCs w:val="25"/>
                <w:color w:val="auto"/>
                <w:vertAlign w:val="superscript"/>
              </w:rPr>
              <w:t>(1) (2)</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Manufacturing facility</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710,203</w:t>
            </w:r>
          </w:p>
        </w:tc>
        <w:tc>
          <w:tcPr>
            <w:tcW w:w="1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Land leased, expires June 30, 2044</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Guangzhou, PRC</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Center</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26,850</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Leased, expires April 14, 2020</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Qinzhou, PRC</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Manufacturing facility</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321,313</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May 31, 2018</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Qinzhou, PRC</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Manufacturing facility</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345,662</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Leased, expires February 28, 2022</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Manaus, Brazil</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Manufacturing facility</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56,120</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August 19, 2022</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Monterrey, Mexico</w:t>
            </w:r>
          </w:p>
        </w:tc>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Manufacturing facility</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21"/>
                <w:szCs w:val="21"/>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Leased, expires March 31, 2019</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16"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Private ownership of land in mainland PRC is not allowed. All land in the PRC is owned by the government and cannot be sold to any individual or entity. These facilities were developed on land which we lease from the PRC government.</w:t>
      </w:r>
    </w:p>
    <w:p>
      <w:pPr>
        <w:spacing w:after="0" w:line="1" w:lineRule="exact"/>
        <w:rPr>
          <w:rFonts w:ascii="Arial" w:cs="Arial" w:eastAsia="Arial" w:hAnsi="Arial"/>
          <w:sz w:val="25"/>
          <w:szCs w:val="25"/>
          <w:color w:val="auto"/>
          <w:vertAlign w:val="superscript"/>
        </w:rPr>
      </w:pPr>
    </w:p>
    <w:p>
      <w:pPr>
        <w:ind w:left="660" w:hanging="328"/>
        <w:spacing w:after="0" w:line="209"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As discussed in "ITEM 8. FINANCIAL STATEMENTS AND SUPPLEMENTARY DATA - Notes to Consolidated Financial Statements - Note 13", this facility is subject to a pending sale that is expected to close in 2018.</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facilities listed above, we lease space in various international locations, primarily for use as sales offices.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Upon expiration of our facilities leases, we believe we will obtain lease agreements under similar terms; however, there can be no assurance that we will receive similar terms or that any offer to renew will be accepted.</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12" for additional information regarding our obligations under leases.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in "ITEM 8. FINANCIAL STATEMENTS AND SUPPLEMENTARY DATA — Notes to Consolidated Financial Statements — Note 13" is incorporated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8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common stock trades on the NASDAQ Global Select Market under the symbol UEIC. The closing price of our common stock as reported by NASDAQ on March 8, 2018 was $53.50. Our stockholders of record on March 8, 2018 numbered 120. We have never paid cash dividends on our common stock, nor do we currently intend to pay any cash dividends on our common stock in the foreseeable future. We intend to retain our earnings, if any, for the future operation and expansion of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the high and low sale prices for our common stock, as reported by NASDAQ:</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89"/>
              </w:rPr>
              <w:t>2017</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6"/>
              </w:rPr>
              <w:t>2016</w:t>
            </w: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74.85</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45.20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57.10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58.97</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70.02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46.05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52.90</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fourth quarter, our total stock repurchases, average price paid per share and the maximum number of shares that may yet be purchased under our plans or programs: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 Shares</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 xml:space="preserve">Shares Purchased </w:t>
            </w:r>
            <w:r>
              <w:rPr>
                <w:rFonts w:ascii="Arial" w:cs="Arial" w:eastAsia="Arial" w:hAnsi="Arial"/>
                <w:sz w:val="8"/>
                <w:szCs w:val="8"/>
                <w:b w:val="1"/>
                <w:bCs w:val="1"/>
                <w:color w:val="auto"/>
                <w:w w:val="95"/>
              </w:rPr>
              <w:t>(1)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4"/>
              </w:rPr>
              <w:t xml:space="preserve">per Share </w:t>
            </w:r>
            <w:r>
              <w:rPr>
                <w:rFonts w:ascii="Arial" w:cs="Arial" w:eastAsia="Arial" w:hAnsi="Arial"/>
                <w:sz w:val="8"/>
                <w:szCs w:val="8"/>
                <w:b w:val="1"/>
                <w:bCs w:val="1"/>
                <w:color w:val="auto"/>
                <w:w w:val="94"/>
              </w:rPr>
              <w:t>(2)</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(3)</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2017 - October 31, 2017</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32,190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64.76</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30,837</w:t>
            </w:r>
          </w:p>
        </w:tc>
        <w:tc>
          <w:tcPr>
            <w:tcW w:w="2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383,434</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November 1, 2017 - November 30, 2017</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301,076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53.03</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19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2017 - December 31, 2017</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17,057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47.83</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2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350,323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53.86</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330,837</w:t>
            </w:r>
          </w:p>
        </w:tc>
        <w:tc>
          <w:tcPr>
            <w:tcW w:w="100" w:type="dxa"/>
            <w:vAlign w:val="bottom"/>
          </w:tcPr>
          <w:p>
            <w:pPr>
              <w:spacing w:after="0"/>
              <w:rPr>
                <w:sz w:val="22"/>
                <w:szCs w:val="22"/>
                <w:color w:val="auto"/>
              </w:rPr>
            </w:pPr>
          </w:p>
        </w:tc>
        <w:tc>
          <w:tcPr>
            <w:tcW w:w="19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80" w:hanging="332"/>
        <w:spacing w:after="0" w:line="227" w:lineRule="auto"/>
        <w:tabs>
          <w:tab w:leader="none" w:pos="340" w:val="left"/>
        </w:tabs>
        <w:numPr>
          <w:ilvl w:val="0"/>
          <w:numId w:val="12"/>
        </w:numPr>
        <w:rPr>
          <w:rFonts w:ascii="Arial" w:cs="Arial" w:eastAsia="Arial" w:hAnsi="Arial"/>
          <w:sz w:val="24"/>
          <w:szCs w:val="24"/>
          <w:color w:val="auto"/>
          <w:vertAlign w:val="superscript"/>
        </w:rPr>
      </w:pPr>
      <w:r>
        <w:rPr>
          <w:rFonts w:ascii="Arial" w:cs="Arial" w:eastAsia="Arial" w:hAnsi="Arial"/>
          <w:sz w:val="17"/>
          <w:szCs w:val="17"/>
          <w:color w:val="auto"/>
        </w:rPr>
        <w:t>Of the repurchases in October, November and December, 1,353, 1,076 and 17,057 shares, respectively, represent common shares of the Company that were owned and tendered by employees to satisfy tax withholding obligations in connection with the vesting of restricted shares.</w:t>
      </w:r>
    </w:p>
    <w:p>
      <w:pPr>
        <w:spacing w:after="0" w:line="94" w:lineRule="exact"/>
        <w:rPr>
          <w:rFonts w:ascii="Arial" w:cs="Arial" w:eastAsia="Arial" w:hAnsi="Arial"/>
          <w:sz w:val="24"/>
          <w:szCs w:val="24"/>
          <w:color w:val="auto"/>
          <w:vertAlign w:val="superscript"/>
        </w:rPr>
      </w:pPr>
    </w:p>
    <w:p>
      <w:pPr>
        <w:ind w:left="340" w:hanging="332"/>
        <w:spacing w:after="0" w:line="216" w:lineRule="auto"/>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For shares tendered in connection with the vesting of restricted shares, the average price paid per share is an average calculated using the daily high and low of the Company's common stock at the time of vesting.</w:t>
      </w:r>
    </w:p>
    <w:p>
      <w:pPr>
        <w:spacing w:after="0" w:line="95" w:lineRule="exact"/>
        <w:rPr>
          <w:rFonts w:ascii="Arial" w:cs="Arial" w:eastAsia="Arial" w:hAnsi="Arial"/>
          <w:sz w:val="25"/>
          <w:szCs w:val="25"/>
          <w:color w:val="auto"/>
          <w:vertAlign w:val="superscript"/>
        </w:rPr>
      </w:pPr>
    </w:p>
    <w:p>
      <w:pPr>
        <w:ind w:left="340" w:hanging="332"/>
        <w:spacing w:after="0" w:line="252" w:lineRule="auto"/>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On November 7, 2017, the Company announced that it may purchase up to 300,000 shares from time to time in open market purchases or privately negotiated transactions. The 83,434 remaining shares available for repurchase under the third quarter Rule 10b5-1 plan expired on November 2, 2017.</w:t>
      </w:r>
    </w:p>
    <w:p>
      <w:pPr>
        <w:spacing w:after="0" w:line="2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year ended December 31, 2017, we repurchased 680,287 shares of our issued and outstanding common stock for $39.1 million under the ongoing and systematic programs approved by our Board of Directors. We make stock repurchases to manage the dilution created by shares issued under our stock incentive plans or when we deem a repurchase is a good use of our cash and the price to be paid is at or below a threshold approved by our Board from time to time based upon an assessment of then current value as compared to then trading ranges and investor analyst reports. Also considered in this decision is the effect any such repurchase may have on our cash balances and needs, cash flow, and short- and long-term borrowing. On December 31, 2017, we had no shares available for repurchase under the Board's authorizations. Throughout 2018, our Board will continue to assess the efficacy of a corporate stock repurchase program utilizing the same criteria as it had in the past; namely, comparing the then current value as compared to then trading ranges and investor analyst reports, as well as the effect any such repurchase may have on our cash balances and needs, cash flow, and short- and long-term borrowing. Any such approved repurchase program will not obligate us to acquire any specific number of shares and under any such program, shares may be repurchased in privately negotiated and/or open market transactions, including under plans complying with Rule 10b5-1 under the Securities Exchange Act of 1934, as amended (the “Exchange Act”).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regarding our equity compensation plans, including both stockholder approved plans and plans not approved by stockholders, is incorporated by reference to "ITEM 12. SECURITY OWNERSHIP OF CERTAIN BENEFICIAL OWNERS AND MANAGEMENT AND RELATED STOCKHOLDER MATTERS" under the caption "Equity Compensation Plan Information" and "ITEM 8. FINANCIAL STATEMENTS AND SUPPLEMENTARY DATA — Notes to Consolidated Financial Statements — Note 16".</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Chart</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graph and table compares the cumulative total stockholder return with respect to our common stock versus the cumulative total return of the Standard &amp; Poor's Small Cap 600 (the "S&amp;P Small Cap 600"), the NASDAQ Composite Index, and the Peer Group Index for the five-year period ended December 31, 2017. The comparison assumes that $100 was invested on December 31, 2012 in each of our common stock, S&amp;P Small Cap 600, the NASDAQ Composite Index, and the Peer Group Index and that all dividends were reinvested. We have not paid any dividends and, therefore, our cumulative total return calculation is based solely upon stock price appreciation and not upon reinvestment of dividends. The graph and table depicts year-end values based on actual market value increases and decreases relative to the initial investment of $100, based on information provided for each calendar year by the NASDAQ Stock Market and the New York Stock Exchange.</w:t>
      </w:r>
    </w:p>
    <w:p>
      <w:pPr>
        <w:spacing w:after="0" w:line="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comparisons in the graph and table below are based on historical data and are not intended to forecast the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83185</wp:posOffset>
            </wp:positionV>
            <wp:extent cx="5840095" cy="3302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0095" cy="330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9"/>
              </w:rPr>
              <w:t>12/31/2012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9"/>
              </w:rPr>
              <w:t>12/31/2013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12/31/2017</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Universal Electronics Inc.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S&amp;P Small Cap 600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196</w:t>
            </w: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NASDAQ Composite Index</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w:t>
            </w:r>
          </w:p>
        </w:tc>
      </w:tr>
      <w:tr>
        <w:trPr>
          <w:trHeight w:val="341"/>
        </w:trPr>
        <w:tc>
          <w:tcPr>
            <w:tcW w:w="4000" w:type="dxa"/>
            <w:vAlign w:val="bottom"/>
          </w:tcPr>
          <w:p>
            <w:pPr>
              <w:ind w:left="40"/>
              <w:spacing w:after="0"/>
              <w:rPr>
                <w:sz w:val="20"/>
                <w:szCs w:val="20"/>
                <w:color w:val="auto"/>
              </w:rPr>
            </w:pPr>
            <w:r>
              <w:rPr>
                <w:rFonts w:ascii="Arial" w:cs="Arial" w:eastAsia="Arial" w:hAnsi="Arial"/>
                <w:sz w:val="18"/>
                <w:szCs w:val="18"/>
                <w:color w:val="auto"/>
              </w:rPr>
              <w:t xml:space="preserve">Peer Group Index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207</w:t>
            </w:r>
          </w:p>
        </w:tc>
      </w:tr>
    </w:tbl>
    <w:p>
      <w:pPr>
        <w:spacing w:after="0" w:line="22" w:lineRule="exact"/>
        <w:rPr>
          <w:sz w:val="20"/>
          <w:szCs w:val="20"/>
          <w:color w:val="auto"/>
        </w:rPr>
      </w:pPr>
    </w:p>
    <w:p>
      <w:pPr>
        <w:ind w:left="820" w:hanging="326"/>
        <w:spacing w:after="0" w:line="238" w:lineRule="auto"/>
        <w:tabs>
          <w:tab w:leader="none" w:pos="690" w:val="left"/>
        </w:tabs>
        <w:numPr>
          <w:ilvl w:val="0"/>
          <w:numId w:val="13"/>
        </w:numPr>
        <w:rPr>
          <w:rFonts w:ascii="Arial" w:cs="Arial" w:eastAsia="Arial" w:hAnsi="Arial"/>
          <w:sz w:val="24"/>
          <w:szCs w:val="24"/>
          <w:color w:val="auto"/>
          <w:vertAlign w:val="superscript"/>
        </w:rPr>
      </w:pPr>
      <w:r>
        <w:rPr>
          <w:rFonts w:ascii="Arial" w:cs="Arial" w:eastAsia="Arial" w:hAnsi="Arial"/>
          <w:sz w:val="17"/>
          <w:szCs w:val="17"/>
          <w:color w:val="auto"/>
        </w:rPr>
        <w:t>Companies in the Peer Group Index are as follows: TiVo Corporation (formerly Rovi Corporation), Logitech International, Dolby Laboratories, Inc., and VOXX International Corp. Harman International Industries, Inc. was previously included in the Peer Group Index but has been removed due to its acquisition in March 2017 by Samsung Electronics.</w:t>
      </w:r>
    </w:p>
    <w:p>
      <w:pPr>
        <w:spacing w:after="0" w:line="9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information presented above is as of December 31, 2012 through December 31, 2017. This information should not be deemed to be "soliciting material" or to be "filed" with the SEC or subject to the liabilities of Section 18 of the Exchange Act nor should this information be incorporated by reference into any prior or future filings under the Securities Act of 1933 or the Exchange Act, except to the extent that we specifically incorporate it by reference into a filing.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information below is not necessarily indicative of the results of future operations and should be read in conjunction with "ITEM 7. MANAGEMENT’S DISCUSSION AND ANALYSIS OF FINANCIAL CONDITION AND RESULTS OF OPERATIONS", and the Consolidated Financial Statements and notes thereto included in "ITEM 8. FINANCIAL STATEMENTS AND SUPPLEMENTARY DATA", of this Form 10-K, which are incorporated herein by reference, in order to further understand the factors that may affect the comparability of the financial data presented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center"/>
              <w:ind w:left="872"/>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4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2013</w:t>
            </w: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695,790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651,371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602,833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562,329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529,354</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10,670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25,397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35,919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41,280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32,154</w:t>
            </w:r>
          </w:p>
        </w:tc>
      </w:tr>
      <w:tr>
        <w:trPr>
          <w:trHeight w:val="27"/>
        </w:trPr>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Net income (loss) attributable to Universal Electronics Inc.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(10,323)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20,354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29,174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32,534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22,963</w:t>
            </w:r>
          </w:p>
        </w:tc>
      </w:tr>
      <w:tr>
        <w:trPr>
          <w:trHeight w:val="229"/>
        </w:trPr>
        <w:tc>
          <w:tcPr>
            <w:tcW w:w="4380" w:type="dxa"/>
            <w:vAlign w:val="bottom"/>
          </w:tcPr>
          <w:p>
            <w:pPr>
              <w:ind w:left="40"/>
              <w:spacing w:after="0"/>
              <w:rPr>
                <w:sz w:val="20"/>
                <w:szCs w:val="20"/>
                <w:color w:val="auto"/>
              </w:rPr>
            </w:pPr>
            <w:r>
              <w:rPr>
                <w:rFonts w:ascii="Arial" w:cs="Arial" w:eastAsia="Arial" w:hAnsi="Arial"/>
                <w:sz w:val="18"/>
                <w:szCs w:val="18"/>
                <w:color w:val="auto"/>
              </w:rPr>
              <w:t>Earnings (loss) per share attributable to Universal</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380" w:type="dxa"/>
            <w:vAlign w:val="bottom"/>
          </w:tcPr>
          <w:p>
            <w:pPr>
              <w:ind w:left="40"/>
              <w:spacing w:after="0"/>
              <w:rPr>
                <w:sz w:val="20"/>
                <w:szCs w:val="20"/>
                <w:color w:val="auto"/>
              </w:rPr>
            </w:pPr>
            <w:r>
              <w:rPr>
                <w:rFonts w:ascii="Arial" w:cs="Arial" w:eastAsia="Arial" w:hAnsi="Arial"/>
                <w:sz w:val="18"/>
                <w:szCs w:val="18"/>
                <w:color w:val="auto"/>
              </w:rPr>
              <w:t>Electronics Inc.:</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1.51</w:t>
            </w:r>
          </w:p>
        </w:tc>
      </w:tr>
      <w:tr>
        <w:trPr>
          <w:trHeight w:val="243"/>
        </w:trPr>
        <w:tc>
          <w:tcPr>
            <w:tcW w:w="4380" w:type="dxa"/>
            <w:vAlign w:val="bottom"/>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1.47</w:t>
            </w:r>
          </w:p>
        </w:tc>
      </w:tr>
      <w:tr>
        <w:trPr>
          <w:trHeight w:val="27"/>
        </w:trPr>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computing earnings (loss)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1"/>
                <w:szCs w:val="21"/>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14,351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14,465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15,248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15,781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15,248</w:t>
            </w:r>
          </w:p>
        </w:tc>
      </w:tr>
      <w:tr>
        <w:trPr>
          <w:trHeight w:val="27"/>
        </w:trPr>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14,351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14,764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15,542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16,152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15,601</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34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Operating expenses as a % of net sales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7"/>
        </w:trPr>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Net income (loss) as a % of net sales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Return on average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521"/>
        </w:trPr>
        <w:tc>
          <w:tcPr>
            <w:tcW w:w="43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64"/>
        </w:trPr>
        <w:tc>
          <w:tcPr>
            <w:tcW w:w="4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2013</w:t>
            </w: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74,362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108,291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100,200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183,600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158,548</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Ratio of current assets to current liabilities</w:t>
            </w:r>
          </w:p>
        </w:tc>
        <w:tc>
          <w:tcPr>
            <w:tcW w:w="340" w:type="dxa"/>
            <w:vAlign w:val="bottom"/>
          </w:tcPr>
          <w:p>
            <w:pPr>
              <w:spacing w:after="0"/>
              <w:rPr>
                <w:sz w:val="21"/>
                <w:szCs w:val="21"/>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2.3</w:t>
            </w:r>
          </w:p>
        </w:tc>
      </w:tr>
      <w:tr>
        <w:trPr>
          <w:trHeight w:val="27"/>
        </w:trPr>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608,430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521,036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495,220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463,070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423,733</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62,438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50,611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52,966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112,521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76,174</w:t>
            </w:r>
          </w:p>
        </w:tc>
      </w:tr>
      <w:tr>
        <w:trPr>
          <w:trHeight w:val="27"/>
        </w:trPr>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Line of credit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138,000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49,987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253,549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280,510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257,908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315,621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291,270</w:t>
            </w:r>
          </w:p>
        </w:tc>
      </w:tr>
      <w:tr>
        <w:trPr>
          <w:trHeight w:val="27"/>
        </w:trPr>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Book value per share </w:t>
            </w:r>
            <w:r>
              <w:rPr>
                <w:rFonts w:ascii="Arial" w:cs="Arial" w:eastAsia="Arial" w:hAnsi="Arial"/>
                <w:sz w:val="25"/>
                <w:szCs w:val="25"/>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18.04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19.28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17.97</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19.85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18.55</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Ratio of liabilities to liabilities and stockholders’ equity</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58.3 %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w:t>
            </w:r>
          </w:p>
        </w:tc>
      </w:tr>
    </w:tbl>
    <w:p>
      <w:pPr>
        <w:spacing w:after="0" w:line="17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Book value per share is defined as stockholders’ equity divided by common shares issued less treasury stock.</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comparability of information for 2017, 2016 and 2015 compared to previous years is affected by the acquisitions of the net assets of Ecolink during the third quarter of 2015 and RCS during the second quarter of 2017. See "ITEM 8. FINANCIAL STATEMENTS AND SUPPLEMENTARY DATA — Notes to Consolidated Financial Statements — Note 22" for further information.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develop and manufacture a broad line of pre-programmed universal remote control products, AV accessories, software and intelligent wireless security, sensing and automation components dedicated to redefining the home entertainment and automation experience. Our customers operate primarily in the consumer electronics market and include subscription broadcasters, OEMs, international retailers, private label brands, pro-security installers and companies in the computing industry. We also sell integrated circuits, on which our software and device control database is embedded, and license our device control database to OEMs that manufacture televisions, digital audio and video players, streamer boxes, cable converters, satellite receivers, set-top boxes, room air conditioning equipment, game consoles, and wireless mobile phones and tablets.</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our beginning in 1986, we have compiled an extensive device control database that covers over one million individual device functions and approximately 8,100 unique consumer electronic brands. QuickSet®, our proprietary software, can automatically detect, identify and enable the appropriate control commands for home entertainment, automation and appliances like air conditioners. Our library is regularly updated with new control functions captured directly from devices, remote controls and manufacturer specifications to ensure the accuracy and integrity of our database and control engine. Our universal remote control library contains device codes that are capable of controlling virtually all set-top boxes, televisions, audio components, DVD players, Blu-Ray players, and CD players, as well as most other remote controlled home entertainment devices and home automation control modules worldwide.</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the wider adoption of more advanced control technologies, emerging RF technologies, such as RF4CE, Bluetooth, and Bluetooth Smart, have increasingly become a focus in our development efforts. Several new recently released platforms utilize RF to effectively implement popular features like voice search.</w:t>
      </w:r>
    </w:p>
    <w:p>
      <w:pPr>
        <w:spacing w:after="0" w:line="12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operate as one business segment. We have 24 international subsidiaries located in Argentina, Brazil, British Virgin Islands, Cayman Islands, France, Germany, Hong Kong (3), India, Italy, Japan, Korea, Mexico, the Netherlands, People's Republic of China (6), Singapore, Spain and the United Kingdom.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2017:</w:t>
      </w:r>
    </w:p>
    <w:p>
      <w:pPr>
        <w:spacing w:after="0" w:line="63"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sales increased 6.8% to $695.8 million in 2017 from $651.4 million in 2016.</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gross margin percentage decreased from 25.2% in 2016 to 23.8% in 2017.</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expenses, as a percent of sales, increased from 21.3% in 2016 to 22.3% in 2017</w:t>
      </w:r>
    </w:p>
    <w:p>
      <w:pPr>
        <w:spacing w:after="0" w:line="6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income decreased 58.0% to $10.7 million in 2017 from $25.4 million in 2016, and our operating margin percentage decreased to 1.5% in 2017, compared to 3.9% in 2016.</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effective tax rate increased to 241.6% in 2017 from 19.1% in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2018 include the following:</w:t>
      </w:r>
    </w:p>
    <w:p>
      <w:pPr>
        <w:spacing w:after="0" w:line="63"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develop and market the advanced remote control products and technologies our customer base is adopting;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broaden our home control and automation product offerings;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further penetrate international subscription broadcasting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our share with existing customers;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allowances for sales returns and doubtful accounts, inventory valuation, our review for impairment of long-lived assets, intangible assets and goodwill, business combinations, income taxes, stock-based compensation expense and performance-based common stock warrants. Actual results may differ from these judgments and estimates, and they may be adjusted as more information becomes available. Any adjustment may be significant and may have a material impact on our consolidated financial position or results of operations.</w:t>
      </w:r>
    </w:p>
    <w:p>
      <w:pPr>
        <w:spacing w:after="0" w:line="13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Management believes the following critical accounting policies affect our more significant judgments and estimates used in the preparation of our consolidated financial statements. In addition to the accounting policies mentioned below, see "ITEM 8. FINANCIAL STATEMENTS AND SUPPLEMENTARY DATA — Notes to Consolidated Financial Statements — Note 2" for other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revenue on the sale of products when title of the goods has transferred, there is persuasive evidence of an arrangement (such as a purchase order from the customer), the sales price is fixed or determinable and collectability is reasonably assured.</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provision is recorded for estimated sales returns and allowances and is deducted from gross sales to arrive at net sales in the period the related revenue is recorded. These estimates are based on historical sales returns and allowances, analysis of credit memo data and other known factors. Actual returns and claims in any future period are inherently uncertain and thus may differ from our estimates. If actual or expected future returns and claims are significantly greater or lower than the reserves that we have established, we will record a reduction or increase to net revenues in the period in which we make such a determination.</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accrue for discounts and rebates based on historical experience and our expectations regarding future sales to our customers. These accruals are recorded as a reduction to sales in the same period as the related revenues. Changes in such accruals may be required if future rebates and incentives differ from our estimates.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for the sale of tooling is recognized when the related tooling has been provided, customer acceptance documentation has been obtained, the sales price is fixed or determinable and collectability is reasonably assured.</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generate service revenue, which is paid monthly, as a result of providing consumer support programs to some of our customers through our call centers. These service revenues are recognized when services are performed, persuasive evidence of an arrangement exists (such as when a signed agreement is received from the customer), the sales price is fixed or determinable, and collectability is reasonably assured.</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license our intellectual property including our patented technologies, trademarks, and database of control codes. When our license fees are paid on a per unit basis we record license revenue when our customers ship a product incorporating our intellectual property, persuasive evidence of an arrangement exists, the sales price is fixed or determinable, and collectability is reasonably assured. When a fixed upfront license fee is received in exchange for the delivery of a particular database of infrared codes that represents the culmination of the earnings process, we record revenues when delivery has occurred, persuasive evidence of an arrangement exists, the sales price is fixed or determinable and collectability is reasonably assured. Revenue for term license fees is recognized on a straight-line basis over the effective term of the license when we cannot reliably predict in which periods, within the term of the license, the licensee will benefit from the use of our patented inventions.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an allowance for doubtful accounts for estimated losses resulting from the inability of our customers to make payments for products sold or services rendered. The allowance for doubtful accounts is estimated based on a variety of factors, including credit reviews, historical experience, length of time receivables are past due, current economic trends and changes in customer payment behavior. We also record specific provisions for individual accounts when we become aware of a customer's inability to meet its financial obligations to us, such as in the case of bankruptcy filings or deterioration in the customer's operating results or financial position. Our historical reserves have been sufficient to cover losses from uncollectible accounts. However, because we cannot predict future changes in the financial stability of our customers, actual future losses from uncollectible accounts may differ from our estimates and may have a material effect on our consolidated financial position, results of operations and cash flows.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finished good, component part, and raw material inventories are valued at the lower of cost or net realizable value. Cost is determined using the first-in, first-out method. We write-down our inventory for the estimated difference between cost and estimated net realizable value based upon our best estimates of future demand and market conditions. We carry inventory in amounts necessary to satisfy our customers' inventory requirements on a timely basis. We continually monitor our inventory status to control inventory levels and write-down any excess or obsolete inventories on hand. If actual market conditions are less favorable than those projected by management, additional inventory write-downs may be required which may have a material impact on our financial statements. Such circumstances may include, but are not limited to, the development of new competing technology that impedes the marketability of our products or the occurrence of significant price decreases in our raw material or component parts, such as integrated circuits. Each percentage point change in the ratio of excess and obsolete inventory reserve to inventory would impact cost of sales by approximately $1.7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Long-Lived Assets and Intangible Assets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assess long-lived and intangible assets for impairment whenever events or changes in circumstances indicate that their carrying value may not be recoverable. Factors considered important which may trigger an impairment review, if significant, include the following:</w:t>
      </w:r>
    </w:p>
    <w:p>
      <w:pPr>
        <w:spacing w:after="0" w:line="8"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underperformance relative to historical or projected future operating results;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manner of use of the assets;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strategy of our overall business;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industry or economic trends;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decline in our stock price for a sustained period;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variance between our market capitalization relative to net book value.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the carrying value of the asset is larger than its projected undiscounted future cash flows, the asset is impaired. The impairment is measured as the difference between the net book value of the asset and the asset's estimated fair value. Fair value is estimated utilizing the asset's projected discounted future cash flows. In assessing fair value, we must make assumptions regarding estimated future cash flows, the discount rate and other factors.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evaluate the carrying value of goodwill on December 31 of each year and between annual evaluations if events occur or circumstances change that would more likely than not reduce the fair value of the reporting unit below its carrying amount. Such circumstances may include, but are not limited to: (1) a significant adverse change in legal factors or in business climate, (2) unanticipated competition or (3) an adverse action or assessment by a regulator.</w:t>
      </w:r>
    </w:p>
    <w:p>
      <w:pPr>
        <w:spacing w:after="0" w:line="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evaluate whether goodwill is impaired, we conduct a two-step quantitative goodwill impairment test. In the first step we compare the estimated fair value of our single reporting unit to the reporting unit's carrying amount, including goodwill. We estimate the fair value of our reporting unit based on income and market approaches. Under the income approach, we calculate the fair value based on the present value of estimated future cash flows. Under the market approach, we estimate the fair value based on market multiples of enterprise value to EBITDA for comparable companies. If the carrying value of the net assets assigned to the reporting unit exceeds the fair value of the reporting unit, then we perform the second step of the impairment test in order to determine the implied fair value of the reporting unit's goodwill. To calculate the implied fair value of the reporting unit's goodwill, the fair value of the reporting unit is first allocated to all of the other assets and liabilities of that unit based on their fair values. The excess of the reporting unit's fair value over the amount assigned to its other assets and liabilities is the implied fair value of goodwill. An impairment loss would be recognized equal to the amount by which the carrying value of goodwill exceeds its implied fair value.</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Determining the fair value of a reporting unit is judgmental in nature and involves the use of significant estimates and assumptions. These estimates and assumptions include revenue growth rates and operating margins used to calculate projected future cash flows, risk-adjusted discount rates, future economic and market conditions and the determination of appropriate market comparables. In addition, we make certain judgments and assumptions in determining our reporting units. We base our fair value estimates on assumptions we believe to be reasonable but that are unpredictable and inherently uncertain. Actual future results may differ from those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allocate the purchase price of acquired businesses to the tangible and intangible assets and the liabilities assumed based on their estimated fair values on the acquisition date. The excess of the purchase price over the fair value of net assets acquired is recorded as goodwill. We engage independent third-party appraisal firms to assist us in determining the fair values of assets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acquired and liabilities assumed. Such valuations require management to make significant fair value estimates and assumptions, especially with respect to intangible assets and contingent consideration. Management estimates the fair value of certain intangible assets and contingent consideration by utilizing the following (but not limited to):</w:t>
      </w:r>
    </w:p>
    <w:p>
      <w:pPr>
        <w:spacing w:after="0" w:line="19" w:lineRule="exact"/>
        <w:rPr>
          <w:sz w:val="20"/>
          <w:szCs w:val="20"/>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cash flow from customer contracts, customer lists, distribution agreements, acquired developed technologies, trademarks, trade names and patents;</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expected costs to complete development of in-process technology into commercially viable products and cash flows from the products once they are completed;</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brand awareness and market position as well as assumptions regarding the period of time the brand will continue to be used in our product portfolio;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discount rates utilized in discounted cash flow models.</w:t>
      </w:r>
    </w:p>
    <w:p>
      <w:pPr>
        <w:spacing w:after="0" w:line="6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those circumstances where an acquisition involves a contingent consideration arrangement, we recognize a liability equal to the fair value of the contingent payments we expect to make as of the acquisition date. We re-measure this liability at each reporting period and record changes in the fair value within operating expenses. Increases or decreases in the fair value of the contingent consideration liability can result from changes in discount periods and rates, as well as changes in the timing and amount of earnings estimates or in the timing or likelihood of achieving earnings-based milestones.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estimates are based upon assumptions believed to be reasonable; however, unanticipated events or circumstances may occur which may affect the accuracy of our fair value estimates, including assumptions regarding industry economic factors and business strategies.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and cash flows of acquired businesses are included in our operating results from the date of acquisition.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calculate our current and deferred tax provisions based on estimates and assumptions that may differ from the actual results reflected in our income tax returns filed during the subsequent year. We record adjustments based on filed returns when we have identified and finalized them, which is generally in the third and fourth quarters of the subsequent year.</w:t>
      </w:r>
    </w:p>
    <w:p>
      <w:pPr>
        <w:spacing w:after="0" w:line="1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recognize deferred tax assets and liabilities for the expected tax consequences of temporary differences between the tax basis of assets and liabilities and their reported amounts using enacted tax rates in effect for the year in which we expect the differences to reverse. We record a valuation allowance to reduce the deferred tax assets to the amount that we are more likely than not to realize. We have considered future market growth, forecasted earnings and tax rates, future taxable income, the mix of earnings in the jurisdictions in which we operate and prudent tax planning strategies in determining the need for a valuation allowance. In the event we were to determine that we would not be able to realize all or part of our net deferred tax assets in the future, we would increase the valuation allowance and make a corresponding charge to earnings in the period in which we make such determination. Likewise, if we later determine that we are more likely than not to realize the net deferred tax assets, we would reverse the applicable portion of the previously provided valuation allowance. In order for us to realize our deferred tax assets we must be able to generate sufficient taxable income in the tax jurisdictions in which the deferred tax assets are located.</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effective tax rate includes the impact of certain undistributed foreign earnings for which we have not provided state income taxes or foreign withholding taxes because we plan to reinvest such earnings indefinitely outside the United States. The decision to reinvest our foreign earnings indefinitely outside the United States is based on our projected cash flow needs as well as the working capital and long-term investment requirements of our foreign subsidiaries and our domestic operations. Material changes in our estimates of cash, working capital and long-term investment requirements in the various jurisdictions in which we do business may impact our effective tax rate.</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income taxes in the United States and foreign countries, and we are subject to routine corporate income tax audits in many of these jurisdictions. We believe that our tax return positions are fully supported, but tax authorities are likely to challenge certain positions, which may not be fully sustained. However, our income tax expense includes amounts intended to satisfy income tax assessments that result from these challenges in accordance with the accounting for uncertainty in income taxes prescribed by GAAP. Determining the income tax expense for these potential assessments and recording the related assets and liabilities requires management judgments and estimates.</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maintain reserves for uncertain tax positions, including related interest and penalties. We review our reserves quarterly, and we may adjust such reserves due to proposed assessments by tax authorities, changes in facts and circumstances, issuance of new regulations or new case law, previously unavailable information obtained during the course of an examination, negotiations between tax authorities of different countries concerning our transfer prices, execution of advanced pricing agreements, resolution with respect to individual audit issues, the resolution of entire audits, or the expiration of statutes of limitations. The amounts ultimately paid upon resolution of audits may be materially different from the amounts previously included in our income tax expense and, therefore, may have a material impact on our operating results, financial position and cash flows.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the grant date fair value of stock-based compensation awards as expense, net of forfeitures, in proportion to vesting during the requisite service period, which ranges from one to four years. Forfeitures are deducted as they occur.</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determine the fair value of restricted stock awards utilizing the average of the high and low trade prices of our Company's shares on the date they were granted.</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fair value of stock options granted to employees and directors is determined utilizing the Black-Scholes option pricing model. The assumptions utilized in the Black-Scholes model include the risk-free interest rate, expected volatility, and expected life in years. The risk-free interest rate over the expected term is equal to the prevailing U.S. Treasury note rate over the same period. Expected volatility is determined utilizing historical volatility over a period of time equal to the expected life of the stock option. Expected life is computed utilizing historical exercise patterns and post-vesting behavior. The dividend yield is assumed to be zero since we have not historically declared dividends and do not have any plans to declare dividends in the future.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Common Stock Warrants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measurement date for performance-based common stock warrants is the date on which the warrants vest. We recognize the fair value of performance-based common stock warrants as a reduction to net sales ratably as the warrants vest based on the projected number of warrants that will vest, the proportion of the performance criteria achieved by the customer within the period relative to the total performance required (aggregate purchase levels) for the warrants to vest and the then-current fair value of the related unvested warrants. If we do not have a reliable forecast of future purchases to be made by the customer by which to estimate the number of warrants that will vest, then the maximum number of potential warrants is assumed until such time that a reliable forecast of future purchases is available. To the extent that our projections change in the future as to the number of warrants that will vest, a cumulative catch-up adjustment will be recorded in the period in which our estimates change.</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 of performance-based common stock warrants is determined utilizing the Black-Scholes option pricing model. The assumptions utilized in the Black-Scholes model include the price of our common stock, the risk-free interest rate, expected volatility, and expected life in years. The price of our common stock is equal to the average of the high and low trade prices of our common stock on the measurement date. The risk-free interest rate over the expected life is equal to the prevailing U.S. Treasury note rate over the same period. Expected volatility is determined utilizing historical volatility over a period of time equal to the expected life of the warrant. Expected life is equal to the remaining contractual term of the warrant. The dividend yield is assumed to be zero since we have not historically declared dividends and do not have any plans to declare dividends in the future.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a percentage of net sales for the periods indicated.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6"/>
              </w:rPr>
              <w:t>Year Ended December 31,</w:t>
            </w:r>
          </w:p>
        </w:tc>
        <w:tc>
          <w:tcPr>
            <w:tcW w:w="1780" w:type="dxa"/>
            <w:vAlign w:val="bottom"/>
            <w:tcBorders>
              <w:bottom w:val="single" w:sz="8" w:color="auto"/>
            </w:tcBorders>
          </w:tcPr>
          <w:p>
            <w:pPr>
              <w:spacing w:after="0"/>
              <w:rPr>
                <w:sz w:val="16"/>
                <w:szCs w:val="16"/>
                <w:color w:val="auto"/>
              </w:rPr>
            </w:pPr>
          </w:p>
        </w:tc>
      </w:tr>
      <w:tr>
        <w:trPr>
          <w:trHeight w:val="264"/>
        </w:trPr>
        <w:tc>
          <w:tcPr>
            <w:tcW w:w="7080" w:type="dxa"/>
            <w:vAlign w:val="bottom"/>
            <w:gridSpan w:val="2"/>
          </w:tcPr>
          <w:p>
            <w:pPr>
              <w:ind w:left="6760"/>
              <w:spacing w:after="0"/>
              <w:rPr>
                <w:sz w:val="20"/>
                <w:szCs w:val="20"/>
                <w:color w:val="auto"/>
              </w:rPr>
            </w:pPr>
            <w:r>
              <w:rPr>
                <w:rFonts w:ascii="Arial" w:cs="Arial" w:eastAsia="Arial" w:hAnsi="Arial"/>
                <w:sz w:val="14"/>
                <w:szCs w:val="14"/>
                <w:b w:val="1"/>
                <w:bCs w:val="1"/>
                <w:color w:val="auto"/>
                <w:w w:val="96"/>
              </w:rPr>
              <w:t>2017</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jc w:val="right"/>
              <w:ind w:right="59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780" w:type="dxa"/>
            <w:vAlign w:val="bottom"/>
          </w:tcPr>
          <w:p>
            <w:pPr>
              <w:jc w:val="right"/>
              <w:ind w:right="711"/>
              <w:spacing w:after="0"/>
              <w:rPr>
                <w:sz w:val="20"/>
                <w:szCs w:val="20"/>
                <w:color w:val="auto"/>
              </w:rPr>
            </w:pPr>
            <w:r>
              <w:rPr>
                <w:rFonts w:ascii="Arial" w:cs="Arial" w:eastAsia="Arial" w:hAnsi="Arial"/>
                <w:sz w:val="14"/>
                <w:szCs w:val="14"/>
                <w:b w:val="1"/>
                <w:bCs w:val="1"/>
                <w:color w:val="auto"/>
              </w:rPr>
              <w:t>2015</w:t>
            </w:r>
          </w:p>
        </w:tc>
      </w:tr>
      <w:tr>
        <w:trPr>
          <w:trHeight w:val="250"/>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21"/>
                <w:szCs w:val="21"/>
                <w:color w:val="auto"/>
              </w:rPr>
            </w:pPr>
          </w:p>
        </w:tc>
        <w:tc>
          <w:tcPr>
            <w:tcW w:w="1660" w:type="dxa"/>
            <w:vAlign w:val="bottom"/>
          </w:tcPr>
          <w:p>
            <w:pPr>
              <w:jc w:val="right"/>
              <w:ind w:right="132"/>
              <w:spacing w:after="0"/>
              <w:rPr>
                <w:sz w:val="20"/>
                <w:szCs w:val="20"/>
                <w:color w:val="auto"/>
              </w:rPr>
            </w:pPr>
            <w:r>
              <w:rPr>
                <w:rFonts w:ascii="Arial" w:cs="Arial" w:eastAsia="Arial" w:hAnsi="Arial"/>
                <w:sz w:val="18"/>
                <w:szCs w:val="18"/>
                <w:color w:val="auto"/>
              </w:rPr>
              <w:t>74.8</w:t>
            </w:r>
          </w:p>
        </w:tc>
        <w:tc>
          <w:tcPr>
            <w:tcW w:w="120" w:type="dxa"/>
            <w:vAlign w:val="bottom"/>
          </w:tcPr>
          <w:p>
            <w:pPr>
              <w:spacing w:after="0"/>
              <w:rPr>
                <w:sz w:val="21"/>
                <w:szCs w:val="21"/>
                <w:color w:val="auto"/>
              </w:rPr>
            </w:pPr>
          </w:p>
        </w:tc>
        <w:tc>
          <w:tcPr>
            <w:tcW w:w="1780" w:type="dxa"/>
            <w:vAlign w:val="bottom"/>
          </w:tcPr>
          <w:p>
            <w:pPr>
              <w:jc w:val="right"/>
              <w:ind w:right="131"/>
              <w:spacing w:after="0"/>
              <w:rPr>
                <w:sz w:val="20"/>
                <w:szCs w:val="20"/>
                <w:color w:val="auto"/>
              </w:rPr>
            </w:pPr>
            <w:r>
              <w:rPr>
                <w:rFonts w:ascii="Arial" w:cs="Arial" w:eastAsia="Arial" w:hAnsi="Arial"/>
                <w:sz w:val="18"/>
                <w:szCs w:val="18"/>
                <w:color w:val="auto"/>
              </w:rPr>
              <w:t>72.3</w:t>
            </w:r>
          </w:p>
        </w:tc>
      </w:tr>
      <w:tr>
        <w:trPr>
          <w:trHeight w:val="27"/>
        </w:trPr>
        <w:tc>
          <w:tcPr>
            <w:tcW w:w="60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27.7</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 expenses</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660" w:type="dxa"/>
            <w:vAlign w:val="bottom"/>
          </w:tcPr>
          <w:p>
            <w:pPr>
              <w:jc w:val="right"/>
              <w:ind w:right="13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780" w:type="dxa"/>
            <w:vAlign w:val="bottom"/>
          </w:tcPr>
          <w:p>
            <w:pPr>
              <w:jc w:val="right"/>
              <w:ind w:right="131"/>
              <w:spacing w:after="0"/>
              <w:rPr>
                <w:sz w:val="20"/>
                <w:szCs w:val="20"/>
                <w:color w:val="auto"/>
              </w:rPr>
            </w:pPr>
            <w:r>
              <w:rPr>
                <w:rFonts w:ascii="Arial" w:cs="Arial" w:eastAsia="Arial" w:hAnsi="Arial"/>
                <w:sz w:val="18"/>
                <w:szCs w:val="18"/>
                <w:color w:val="auto"/>
              </w:rPr>
              <w:t>3.1</w:t>
            </w:r>
          </w:p>
        </w:tc>
      </w:tr>
      <w:tr>
        <w:trPr>
          <w:trHeight w:val="27"/>
        </w:trPr>
        <w:tc>
          <w:tcPr>
            <w:tcW w:w="6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Factory transition restructuring charges</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1660" w:type="dxa"/>
            <w:vAlign w:val="bottom"/>
          </w:tcPr>
          <w:p>
            <w:pPr>
              <w:jc w:val="right"/>
              <w:ind w:right="132"/>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1780" w:type="dxa"/>
            <w:vAlign w:val="bottom"/>
          </w:tcPr>
          <w:p>
            <w:pPr>
              <w:jc w:val="right"/>
              <w:ind w:right="131"/>
              <w:spacing w:after="0"/>
              <w:rPr>
                <w:sz w:val="20"/>
                <w:szCs w:val="20"/>
                <w:color w:val="auto"/>
              </w:rPr>
            </w:pPr>
            <w:r>
              <w:rPr>
                <w:rFonts w:ascii="Arial" w:cs="Arial" w:eastAsia="Arial" w:hAnsi="Arial"/>
                <w:sz w:val="18"/>
                <w:szCs w:val="18"/>
                <w:color w:val="auto"/>
              </w:rPr>
              <w:t>18.7</w:t>
            </w:r>
          </w:p>
        </w:tc>
      </w:tr>
      <w:tr>
        <w:trPr>
          <w:trHeight w:val="27"/>
        </w:trPr>
        <w:tc>
          <w:tcPr>
            <w:tcW w:w="60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5.9</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Interest income (expense), net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660" w:type="dxa"/>
            <w:vAlign w:val="bottom"/>
          </w:tcPr>
          <w:p>
            <w:pPr>
              <w:jc w:val="right"/>
              <w:ind w:right="7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780" w:type="dxa"/>
            <w:vAlign w:val="bottom"/>
          </w:tcPr>
          <w:p>
            <w:pPr>
              <w:jc w:val="right"/>
              <w:ind w:right="131"/>
              <w:spacing w:after="0"/>
              <w:rPr>
                <w:sz w:val="20"/>
                <w:szCs w:val="20"/>
                <w:color w:val="auto"/>
              </w:rPr>
            </w:pPr>
            <w:r>
              <w:rPr>
                <w:rFonts w:ascii="Arial" w:cs="Arial" w:eastAsia="Arial" w:hAnsi="Arial"/>
                <w:sz w:val="18"/>
                <w:szCs w:val="18"/>
                <w:color w:val="auto"/>
              </w:rPr>
              <w:t>0.0</w:t>
            </w:r>
          </w:p>
        </w:tc>
      </w:tr>
      <w:tr>
        <w:trPr>
          <w:trHeight w:val="27"/>
        </w:trPr>
        <w:tc>
          <w:tcPr>
            <w:tcW w:w="6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(0.0)</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10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7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5.9</w:t>
            </w:r>
          </w:p>
        </w:tc>
      </w:tr>
      <w:tr>
        <w:trPr>
          <w:trHeight w:val="27"/>
        </w:trPr>
        <w:tc>
          <w:tcPr>
            <w:tcW w:w="6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0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17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4.8</w:t>
            </w:r>
          </w:p>
        </w:tc>
      </w:tr>
      <w:tr>
        <w:trPr>
          <w:trHeight w:val="27"/>
        </w:trPr>
        <w:tc>
          <w:tcPr>
            <w:tcW w:w="6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7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(0.0)</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Net income (loss) attributable to Universal Electronics Inc.</w:t>
            </w:r>
          </w:p>
        </w:tc>
        <w:tc>
          <w:tcPr>
            <w:tcW w:w="10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4.8 %</w:t>
            </w:r>
          </w:p>
        </w:tc>
      </w:tr>
      <w:tr>
        <w:trPr>
          <w:trHeight w:val="27"/>
        </w:trPr>
        <w:tc>
          <w:tcPr>
            <w:tcW w:w="60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2017 ("2017") Compared to Year Ended December 31, 2016 ("2016")</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2017 were $695.8 million, an increase of 6.8% compared to $651.4 million in 2016. Net sales by our business and consumer lines</w:t>
      </w:r>
      <w:r>
        <w:rPr>
          <w:rFonts w:ascii="Arial" w:cs="Arial" w:eastAsia="Arial" w:hAnsi="Arial"/>
          <w:sz w:val="18"/>
          <w:szCs w:val="18"/>
          <w:i w:val="1"/>
          <w:iCs w:val="1"/>
          <w:color w:val="auto"/>
        </w:rPr>
        <w:t xml:space="preserve"> </w:t>
      </w:r>
      <w:r>
        <w:rPr>
          <w:rFonts w:ascii="Arial" w:cs="Arial" w:eastAsia="Arial" w:hAnsi="Arial"/>
          <w:sz w:val="18"/>
          <w:szCs w:val="18"/>
          <w:color w:val="auto"/>
        </w:rPr>
        <w:t>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348"/>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2016</w:t>
            </w:r>
          </w:p>
        </w:tc>
      </w:tr>
      <w:tr>
        <w:trPr>
          <w:trHeight w:val="264"/>
        </w:trPr>
        <w:tc>
          <w:tcPr>
            <w:tcW w:w="50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3"/>
              </w:rPr>
              <w:t>(millions)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642.2</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601.7</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92.4%</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53.6</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49.7</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695.8</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651.4</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sales in our Business lines (subscription broadcasting, OEM, and computing companies) were 92.3% of net sales in 2017 compared to 92.4% in 2016. Net sales in our Business lines in 2017 increased by 6.7% to $642.2 million from $601.7 million in 2016 driven primarily by the rollout of higher end platforms in Europe, increased sales of home security products and increased sales to consumer electronics companies in Asia. These increases were partially offset by a decrease in sales to North American satellite broadcasting customers as certain customers were depleting existing prior generation inventory in preparation for the launch of their new advanced platforms.</w:t>
      </w:r>
    </w:p>
    <w:p>
      <w:pPr>
        <w:spacing w:after="0" w:line="134" w:lineRule="exact"/>
        <w:rPr>
          <w:sz w:val="20"/>
          <w:szCs w:val="20"/>
          <w:color w:val="auto"/>
        </w:rPr>
      </w:pPr>
    </w:p>
    <w:p>
      <w:pPr>
        <w:jc w:val="both"/>
        <w:ind w:right="20"/>
        <w:spacing w:after="0" w:line="227" w:lineRule="auto"/>
        <w:rPr>
          <w:sz w:val="20"/>
          <w:szCs w:val="20"/>
          <w:color w:val="auto"/>
        </w:rPr>
      </w:pPr>
      <w:r>
        <w:rPr>
          <w:rFonts w:ascii="Arial" w:cs="Arial" w:eastAsia="Arial" w:hAnsi="Arial"/>
          <w:sz w:val="17"/>
          <w:szCs w:val="17"/>
          <w:color w:val="auto"/>
        </w:rPr>
        <w:t>Net sales in our Consumer lines (</w:t>
      </w:r>
      <w:r>
        <w:rPr>
          <w:rFonts w:ascii="Arial" w:cs="Arial" w:eastAsia="Arial" w:hAnsi="Arial"/>
          <w:sz w:val="17"/>
          <w:szCs w:val="17"/>
          <w:i w:val="1"/>
          <w:iCs w:val="1"/>
          <w:color w:val="auto"/>
        </w:rPr>
        <w:t>One For All</w:t>
      </w:r>
      <w:r>
        <w:rPr>
          <w:rFonts w:ascii="Arial" w:cs="Arial" w:eastAsia="Arial" w:hAnsi="Arial"/>
          <w:sz w:val="24"/>
          <w:szCs w:val="24"/>
          <w:i w:val="1"/>
          <w:iCs w:val="1"/>
          <w:color w:val="auto"/>
          <w:vertAlign w:val="superscript"/>
        </w:rPr>
        <w:t>®</w:t>
      </w:r>
      <w:r>
        <w:rPr>
          <w:rFonts w:ascii="Arial" w:cs="Arial" w:eastAsia="Arial" w:hAnsi="Arial"/>
          <w:sz w:val="17"/>
          <w:szCs w:val="17"/>
          <w:color w:val="auto"/>
        </w:rPr>
        <w:t xml:space="preserve"> retail and private label) were 7.7% of net sales in 2017 compared to 7.6% in 2016. Net sales in our Consumer lines in 2017 increased by 7.8% to $53.6 million from $49.7 million in 2016 driven primarily by growth in markets outside of Europe.</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 2017 was $165.7 million compared to $164.1 million in 2016. Gross profit as a percent of sales decreased to 23.8% in 2017 from</w:t>
      </w:r>
      <w:r>
        <w:rPr>
          <w:rFonts w:ascii="Arial" w:cs="Arial" w:eastAsia="Arial" w:hAnsi="Arial"/>
          <w:sz w:val="18"/>
          <w:szCs w:val="18"/>
          <w:i w:val="1"/>
          <w:iCs w:val="1"/>
          <w:color w:val="auto"/>
        </w:rPr>
        <w:t xml:space="preserve"> </w:t>
      </w:r>
      <w:r>
        <w:rPr>
          <w:rFonts w:ascii="Arial" w:cs="Arial" w:eastAsia="Arial" w:hAnsi="Arial"/>
          <w:sz w:val="18"/>
          <w:szCs w:val="18"/>
          <w:color w:val="auto"/>
        </w:rPr>
        <w:t>25.2% in 2016. The gross margin percentage was unfavorably impacted by price reductions granted to certain large volume customers, impairment write-downs of underutilized factory equipment and manufacturing inefficiencies experienced due to our factory transition activities in China, which were completed in the fourth quarter of 2017. These unfavorable impacts were partially offset by the weakening of the Chinese Yuan Renminbi relative to the U.S. Dollar.</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increased 7.9% to $21.4 million in 2017 from $19.9 million in 2016 primarily driven by R&amp;D</w:t>
      </w:r>
      <w:r>
        <w:rPr>
          <w:rFonts w:ascii="Arial" w:cs="Arial" w:eastAsia="Arial" w:hAnsi="Arial"/>
          <w:sz w:val="18"/>
          <w:szCs w:val="18"/>
          <w:i w:val="1"/>
          <w:iCs w:val="1"/>
          <w:color w:val="auto"/>
        </w:rPr>
        <w:t xml:space="preserve"> </w:t>
      </w:r>
      <w:r>
        <w:rPr>
          <w:rFonts w:ascii="Arial" w:cs="Arial" w:eastAsia="Arial" w:hAnsi="Arial"/>
          <w:sz w:val="18"/>
          <w:szCs w:val="18"/>
          <w:color w:val="auto"/>
        </w:rPr>
        <w:t>efforts dedicated to developing new product offerings for new and existing product categories.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Factory transition restructuring charges. </w:t>
      </w:r>
      <w:r>
        <w:rPr>
          <w:rFonts w:ascii="Arial" w:cs="Arial" w:eastAsia="Arial" w:hAnsi="Arial"/>
          <w:sz w:val="18"/>
          <w:szCs w:val="18"/>
          <w:color w:val="auto"/>
        </w:rPr>
        <w:t>In the first quarter of 2016, we implemented a plan to reduce the impact of rising labor rates in China by</w:t>
      </w:r>
      <w:r>
        <w:rPr>
          <w:rFonts w:ascii="Arial" w:cs="Arial" w:eastAsia="Arial" w:hAnsi="Arial"/>
          <w:sz w:val="18"/>
          <w:szCs w:val="18"/>
          <w:i w:val="1"/>
          <w:iCs w:val="1"/>
          <w:color w:val="auto"/>
        </w:rPr>
        <w:t xml:space="preserve"> </w:t>
      </w:r>
      <w:r>
        <w:rPr>
          <w:rFonts w:ascii="Arial" w:cs="Arial" w:eastAsia="Arial" w:hAnsi="Arial"/>
          <w:sz w:val="18"/>
          <w:szCs w:val="18"/>
          <w:color w:val="auto"/>
        </w:rPr>
        <w:t>transitioning manufacturing activities from our southern-most China factory, located in the city of Guangzhou in the Guangdong province, to our other China factories where labor rates are rising at a slower rate. As a result, we incurred severance costs of $6.1 million and $4.5 million in 2017 and 2016, respectively. We ceased manufacturing operations in our Guangzhou factory during the third quarter of 2017 and as a result, we do not expect to incur additional severance costs associated with the transition of manufacturing activities from this location.</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Selling, general and administrative ("SG&amp;A") expenses. </w:t>
      </w:r>
      <w:r>
        <w:rPr>
          <w:rFonts w:ascii="Arial" w:cs="Arial" w:eastAsia="Arial" w:hAnsi="Arial"/>
          <w:sz w:val="17"/>
          <w:szCs w:val="17"/>
          <w:color w:val="auto"/>
        </w:rPr>
        <w:t>SG&amp;A expenses increased 11.4% to $127.5 million in 2017 from $114.4 million in 2016. This</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was driven primarily by incremental expense recorded to reflect an increase in the value of contingent consideration to be paid in connection with our acquisition of the net assets of Ecolink Intelligent Technology, Inc. ("Ecolink"); increased stock-based compensation expense; increased headcount and other direct costs associated with product development efforts as a result of an increase in the number of higher end customer products; additional expense to support our implementation of a new ERP system; and additional expense as a result of the acquisition of the net assets of Residential Control Systems, Inc. ("RCS") in April 2017. Partially offsetting these increases was a decrease in legal expense as a result of higher legal fees, including the recording of a $2.0 million legal settlement, in the prior year period related to patent litigation matters.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expense was $2.5 million in 2017 compared to net interest expense of $1.0 million in 2016. This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attributable to an increased level of borrowings on our line of credit.</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Net other expense was $0.8 million in 2017 compared to net other income of $0.8 million in 2016. This change was driven</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by a decrease in foreign currency gains associated with fluctuations in the Chinese Yuan Renminbi exchange rate versus the U.S. Dollar.</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was $17.6 million in 2017 compared to $4.8 million in 2016. Our effective tax rate was 241.6% in 2017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19.1% in 2016. The increase in our effective tax rate was driven by the recording of $16.6 million of income tax expense in 2017 representing the estimated tax impact of the U.S. Tax Cuts and Jobs Act that was enacted in December 2017.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2016 Compared to Year Ended December 31, 2015 ("2015")</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2016 were $651.4 million, an increase of 8.1% compared to $602.8 million in 2015. Net sales by our business and consumer lines</w:t>
      </w:r>
      <w:r>
        <w:rPr>
          <w:rFonts w:ascii="Arial" w:cs="Arial" w:eastAsia="Arial" w:hAnsi="Arial"/>
          <w:sz w:val="18"/>
          <w:szCs w:val="18"/>
          <w:i w:val="1"/>
          <w:iCs w:val="1"/>
          <w:color w:val="auto"/>
        </w:rPr>
        <w:t xml:space="preserve"> </w:t>
      </w:r>
      <w:r>
        <w:rPr>
          <w:rFonts w:ascii="Arial" w:cs="Arial" w:eastAsia="Arial" w:hAnsi="Arial"/>
          <w:sz w:val="18"/>
          <w:szCs w:val="18"/>
          <w:color w:val="auto"/>
        </w:rPr>
        <w:t>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348"/>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2015</w:t>
            </w:r>
          </w:p>
        </w:tc>
      </w:tr>
      <w:tr>
        <w:trPr>
          <w:trHeight w:val="264"/>
        </w:trPr>
        <w:tc>
          <w:tcPr>
            <w:tcW w:w="50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3"/>
              </w:rPr>
              <w:t>(millions)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601.7</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551.0</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91.4%</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49.7</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51.8</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651.4</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602.8</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sales in our Business lines (subscription broadcasting, OEM, and computing companies) were 92.4% of net sales in 2016 compared to 91.4% in 2015. Net sales in our Business lines in 2016 increased by 9.2% to $601.7 million from $551.0 million in 2015 driven by an increased demand in both the subscription broadcasting and OEM markets for our advanced products which include features such as voice control and two-way RF technologies.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sales in our Consumer lines (One For All</w:t>
      </w:r>
      <w:r>
        <w:rPr>
          <w:rFonts w:ascii="Arial" w:cs="Arial" w:eastAsia="Arial" w:hAnsi="Arial"/>
          <w:sz w:val="18"/>
          <w:szCs w:val="18"/>
          <w:i w:val="1"/>
          <w:iCs w:val="1"/>
          <w:color w:val="auto"/>
        </w:rPr>
        <w:t>®</w:t>
      </w:r>
      <w:r>
        <w:rPr>
          <w:rFonts w:ascii="Arial" w:cs="Arial" w:eastAsia="Arial" w:hAnsi="Arial"/>
          <w:sz w:val="18"/>
          <w:szCs w:val="18"/>
          <w:color w:val="auto"/>
        </w:rPr>
        <w:t xml:space="preserve"> retail and private label) were 7.6% of net sales in 2016 compared to 8.6% in 2015. Net sales in our Consumer lines in 2016 decreased by 4.1% to $49.7 million from $51.8 million in 2015. This decrease was driven primarily by the weakening of the British Pound compared to the U.S. Dollar, which negatively impacted sales in 2016 by $2.4 million.</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 2016 was $164.1 million compared to $166.7 million in 2015. Gross profit as a percent of sales decreased to 25.2% in 2016 from</w:t>
      </w:r>
      <w:r>
        <w:rPr>
          <w:rFonts w:ascii="Arial" w:cs="Arial" w:eastAsia="Arial" w:hAnsi="Arial"/>
          <w:sz w:val="18"/>
          <w:szCs w:val="18"/>
          <w:i w:val="1"/>
          <w:iCs w:val="1"/>
          <w:color w:val="auto"/>
        </w:rPr>
        <w:t xml:space="preserve"> </w:t>
      </w:r>
      <w:r>
        <w:rPr>
          <w:rFonts w:ascii="Arial" w:cs="Arial" w:eastAsia="Arial" w:hAnsi="Arial"/>
          <w:sz w:val="18"/>
          <w:szCs w:val="18"/>
          <w:color w:val="auto"/>
        </w:rPr>
        <w:t>27.7% in 2015. The gross margin percentage was unfavorably impacted in 2016 by an increase in sales to certain large customers that yield a lower gross margin rate than our company average. In addition, manufacturing inefficiencies were incurred resulting from the transition of production activities from our southern-most China factory to our other China factories. The impact of these unfavorable items was partially offset by the weakening of the Chinese Yuan Renminbi relative to the U.S. Dollar.</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R&amp;D expenses increased 9.4% to $19.9 million in 2016 from $18.1 million in 2015 as a result of our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efforts in existing categories as well as new categories including home security.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Factory transition restructuring charges. </w:t>
      </w:r>
      <w:r>
        <w:rPr>
          <w:rFonts w:ascii="Arial" w:cs="Arial" w:eastAsia="Arial" w:hAnsi="Arial"/>
          <w:sz w:val="18"/>
          <w:szCs w:val="18"/>
          <w:color w:val="auto"/>
        </w:rPr>
        <w:t>In the first quarter of 2016, we implemented a plan to reduce the impact of rising labor rates in China by</w:t>
      </w:r>
      <w:r>
        <w:rPr>
          <w:rFonts w:ascii="Arial" w:cs="Arial" w:eastAsia="Arial" w:hAnsi="Arial"/>
          <w:sz w:val="18"/>
          <w:szCs w:val="18"/>
          <w:i w:val="1"/>
          <w:iCs w:val="1"/>
          <w:color w:val="auto"/>
        </w:rPr>
        <w:t xml:space="preserve"> </w:t>
      </w:r>
      <w:r>
        <w:rPr>
          <w:rFonts w:ascii="Arial" w:cs="Arial" w:eastAsia="Arial" w:hAnsi="Arial"/>
          <w:sz w:val="18"/>
          <w:szCs w:val="18"/>
          <w:color w:val="auto"/>
        </w:rPr>
        <w:t>transitioning manufacturing activities from our southern-most China factory, located in the city of Guangzhou in the Guangdong province, to our other China factories where labor rates are rising at a slower rate. As a result, we incurred severance costs of $4.5 million in 2016.</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SG&amp;A expenses increased 1.5% to $114.4 million in 2016 from $112.7 million in 2015. This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driven primarily by increased operating costs associated with our August 2015 acquisition of Ecolink and increased payroll costs associated with additional headcount required to support product development efforts. These increases were partially offset by a lower level of patent litigation related costs as well as the weakening of the Chinese Yuan Renminbi versus the U.S. Dollar.</w:t>
      </w:r>
    </w:p>
    <w:p>
      <w:pPr>
        <w:spacing w:after="0" w:line="13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Interest income (expense), net</w:t>
      </w:r>
      <w:r>
        <w:rPr>
          <w:rFonts w:ascii="Arial" w:cs="Arial" w:eastAsia="Arial" w:hAnsi="Arial"/>
          <w:sz w:val="18"/>
          <w:szCs w:val="18"/>
          <w:color w:val="auto"/>
        </w:rPr>
        <w:t>. Net interest expense was $1.0 million in 2016 compared to net interest income of $63 thousand in 2015. This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attributable to an increased level of borrowings on our line of credit.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income was $0.8 million in 2016 compared to net other expense of $7 thousand in 2015. This change was driven</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by foreign currency gains associated with fluctuations in the Chinese Yuan Renminbi exchange rate versus the U.S. Dollar.</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was $4.8 million in 2016 compared to $6.8 million in 2015, and our effective tax rate was 19.1% in 2016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18.9% in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Year Ended</w:t>
            </w:r>
          </w:p>
        </w:tc>
        <w:tc>
          <w:tcPr>
            <w:tcW w:w="240" w:type="dxa"/>
            <w:vAlign w:val="bottom"/>
          </w:tcPr>
          <w:p>
            <w:pPr>
              <w:spacing w:after="0"/>
              <w:rPr>
                <w:sz w:val="14"/>
                <w:szCs w:val="14"/>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14"/>
                <w:szCs w:val="14"/>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232"/>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92"/>
        </w:trPr>
        <w:tc>
          <w:tcPr>
            <w:tcW w:w="4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December 31, 2017</w:t>
            </w:r>
          </w:p>
        </w:tc>
        <w:tc>
          <w:tcPr>
            <w:tcW w:w="240" w:type="dxa"/>
            <w:vAlign w:val="bottom"/>
          </w:tcPr>
          <w:p>
            <w:pPr>
              <w:spacing w:after="0"/>
              <w:rPr>
                <w:sz w:val="16"/>
                <w:szCs w:val="16"/>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26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December 31, 2016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(Decrease)</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6"/>
              </w:rPr>
              <w:t>December 31, 2015</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13,788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(35,755)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49,543</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26,094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 used for investing activities</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(51,227)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(8,712)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(42,515)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5,134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(47,649)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50,370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54,816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(4,446)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30,696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(35,142)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3,833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(4,937)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(2,079)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increase (decrease) in cash and cash</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11,827</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8"/>
                <w:szCs w:val="18"/>
                <w:color w:val="auto"/>
              </w:rPr>
              <w:t>14,182</w:t>
            </w: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14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57,200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(59,555)</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equivalents</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gridSpan w:val="2"/>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gridSpan w:val="4"/>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gridSpan w:val="2"/>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gridSpan w:val="4"/>
            <w:vMerge w:val="restart"/>
          </w:tcPr>
          <w:p>
            <w:pPr>
              <w:jc w:val="right"/>
              <w:ind w:right="92"/>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w w:val="92"/>
              </w:rPr>
              <w:t>(Decrease)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62,438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11,827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50,611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74,362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(33,929)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108,291</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Net cash provided by operating activities </w:t>
      </w:r>
      <w:r>
        <w:rPr>
          <w:rFonts w:ascii="Arial" w:cs="Arial" w:eastAsia="Arial" w:hAnsi="Arial"/>
          <w:sz w:val="16"/>
          <w:szCs w:val="16"/>
          <w:color w:val="auto"/>
        </w:rPr>
        <w:t>decreased $35.8 million in 2017 when compared to 2016, primarily due to the net loss reported in 2017 and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impact of changes in working capital needs associated with accounts receivable and inventories, partially offset by changes in the balances of income tax related assets and liabilities. With respect to accounts receivable, although net sales increased by 6.8% in 2017 compared to 2016, accounts receivable increased by 21.7% due to both collection timing and the timing of sales in 2017. At December 31, 2017, days sales outstanding was 75 days compared to 70 days at December 31, 2016. Cash outflows associated with inventories were greater in 2017 compared to 2016 primarily due to some buildup of inventory related to the anticipated rollout of higher end platforms to certain customers as well as strategic purchases of certain raw materials to take advantage of better pricing. Our inventory turns decreased from 3.8 turns at December 31, 2016 to 3.6 turns at December 31, 2017. These cash flow impacts were partially offset by favorable cash flows associated with income taxes, which were driven by the timing of income tax payments as well as the usage of a significant portion of our deferred income tax assets in 2017 as a result of the enactment of the U.S. Tax Cuts and Jobs Act in December 2017.</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operating activities increased $23.4 million in 2016 when compared to 2015, primarily due to the net impact of changes in working capital needs associated with inventories, accounts receivable and accounts payable. With respect to accounts receivable, although net sales increased by 8.1% in 2016 compared to 2015, accounts receivable only increased by 2.3% due to the timing of sales in 2016. Additionally, we experienced a greater growth in accounts receivable in 2015 as a result of us extending longer payment terms to certain significant customers. At December 31, 2016, days sales outstanding was 70 days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compared to 68 days at December 31, 2015. Cash outflows associated with inventories were greater in 2015 compared to 2016 primarily due to preparation in 2015 for the manufacturing transition of certain products from our southern China factory to our other China factories. The decrease in cash inflows associated with accounts payable were largely driven by the decrease in cash outflows associated with inventories.</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Net cash used for investing activities </w:t>
      </w:r>
      <w:r>
        <w:rPr>
          <w:rFonts w:ascii="Arial" w:cs="Arial" w:eastAsia="Arial" w:hAnsi="Arial"/>
          <w:sz w:val="17"/>
          <w:szCs w:val="17"/>
          <w:color w:val="auto"/>
        </w:rPr>
        <w:t>during 2017 was $51.2 million compared to $42.5 million and $47.6 million of net cash used during 2016 and 2015,</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Our 2017, 2016 and 2015 cash used for investing activities primarily included our investments in property, plant and equipment as well as internally developed patents. In 2017, cash used for investing activities also included our acquisition of the net assets of RCS for $8.9 million, and in 2015, cash used for investing activities included our acquisition of the net assets of Ecolink for $12.3 million, net of cash acquired.</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Net cash provided by financing activities </w:t>
      </w:r>
      <w:r>
        <w:rPr>
          <w:rFonts w:ascii="Arial" w:cs="Arial" w:eastAsia="Arial" w:hAnsi="Arial"/>
          <w:sz w:val="18"/>
          <w:szCs w:val="18"/>
          <w:color w:val="auto"/>
        </w:rPr>
        <w:t>was $50.4 million during 2017 compared to net cash used for financing activities of $4.4 million during 2016 and</w:t>
      </w:r>
      <w:r>
        <w:rPr>
          <w:rFonts w:ascii="Arial" w:cs="Arial" w:eastAsia="Arial" w:hAnsi="Arial"/>
          <w:sz w:val="18"/>
          <w:szCs w:val="18"/>
          <w:i w:val="1"/>
          <w:iCs w:val="1"/>
          <w:color w:val="auto"/>
        </w:rPr>
        <w:t xml:space="preserve"> </w:t>
      </w:r>
      <w:r>
        <w:rPr>
          <w:rFonts w:ascii="Arial" w:cs="Arial" w:eastAsia="Arial" w:hAnsi="Arial"/>
          <w:sz w:val="18"/>
          <w:szCs w:val="18"/>
          <w:color w:val="auto"/>
        </w:rPr>
        <w:t>net cash used for financing activities of $35.1 million during 2015. The primary drivers of our cash flows from financing activities in 2017, 2016 and 2015 were net borrowings on our line of credit and repurchases of shares of our common stock. Net borrowings on our line of credit were $88.0 million and $50.0 million in 2017 and 2015, respectively. We had no net borrowings or repayments on our line of credit in 2016. During 2017, we purchased 680,287 shares of our common stock at a cost of $39.1 million, compared to 197,819 and 1,816,293 shares at a cost of $12.6 million and $89.4 million during 2016 and 2015, respectively.</w:t>
      </w:r>
    </w:p>
    <w:p>
      <w:pPr>
        <w:spacing w:after="0" w:line="1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From time to time, our Board of Directors authorizes management to repurchase shares of our issued and outstanding common stock on the open market. Repurchases may be made to manage dilution created by shares issued under our stock incentive plans or whenever we deem a repurchase is a good use of our cash and the price to be paid is at or below a threshold approved by our Board from time to time based upon an assessment of then current value as compared to then trading ranges and investor analyst reports. Also considered in this decision is the effect any such repurchases may have on our cash balances and needs, cash flow, and short- and long-term borrowing. As of December 31, 2017, no shares were available for repurchase under the Board's authorizations. Throughout 2018, our Board will continue to assess the efficacy of a corporate stock repurchase program utilizing the same criteria as it had in the past; namely, comparing the then current value as compared to then trading ranges and investor analyst reports, as well as the effect any such repurchase may have on our cash balances and needs, cash flow, and short- and long-term borrowing. Any such approved repurchase program will not obligate us to acquire any specific number of shares and under any such program, shares may be repurchased in privately negotiated and/or open market transactions, including under plans complying with Rule 10b5-1 under the Exchange Act.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center"/>
              <w:ind w:right="196"/>
              <w:spacing w:after="0" w:line="153" w:lineRule="exact"/>
              <w:rPr>
                <w:sz w:val="20"/>
                <w:szCs w:val="20"/>
                <w:color w:val="auto"/>
              </w:rPr>
            </w:pPr>
            <w:r>
              <w:rPr>
                <w:rFonts w:ascii="Arial" w:cs="Arial" w:eastAsia="Arial" w:hAnsi="Arial"/>
                <w:sz w:val="14"/>
                <w:szCs w:val="14"/>
                <w:b w:val="1"/>
                <w:bCs w:val="1"/>
                <w:color w:val="auto"/>
                <w:w w:val="92"/>
              </w:rPr>
              <w:t>1 - 3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16"/>
              <w:spacing w:after="0" w:line="153" w:lineRule="exact"/>
              <w:rPr>
                <w:sz w:val="20"/>
                <w:szCs w:val="20"/>
                <w:color w:val="auto"/>
              </w:rPr>
            </w:pPr>
            <w:r>
              <w:rPr>
                <w:rFonts w:ascii="Arial" w:cs="Arial" w:eastAsia="Arial" w:hAnsi="Arial"/>
                <w:sz w:val="14"/>
                <w:szCs w:val="14"/>
                <w:b w:val="1"/>
                <w:bCs w:val="1"/>
                <w:color w:val="auto"/>
              </w:rPr>
              <w:t>4 - 5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76"/>
              <w:spacing w:after="0" w:line="15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4,411</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5,680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5,719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5,719</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color w:val="auto"/>
                <w:vertAlign w:val="superscript"/>
              </w:rPr>
              <w:t>(2)</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17,200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12,530</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 contractual 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37,306</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13,930</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18,210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4,723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Purchase obligations consist of contractual payments to purchase property, plant and equipment.</w:t>
      </w:r>
    </w:p>
    <w:p>
      <w:pPr>
        <w:spacing w:after="0" w:line="55" w:lineRule="exact"/>
        <w:rPr>
          <w:rFonts w:ascii="Arial" w:cs="Arial" w:eastAsia="Arial" w:hAnsi="Arial"/>
          <w:sz w:val="25"/>
          <w:szCs w:val="25"/>
          <w:color w:val="auto"/>
          <w:vertAlign w:val="superscript"/>
        </w:rPr>
      </w:pPr>
    </w:p>
    <w:p>
      <w:pPr>
        <w:ind w:left="660" w:hanging="328"/>
        <w:spacing w:after="0" w:line="186" w:lineRule="auto"/>
        <w:tabs>
          <w:tab w:leader="none" w:pos="660" w:val="left"/>
        </w:tabs>
        <w:numPr>
          <w:ilvl w:val="0"/>
          <w:numId w:val="19"/>
        </w:numPr>
        <w:rPr>
          <w:rFonts w:ascii="Arial" w:cs="Arial" w:eastAsia="Arial" w:hAnsi="Arial"/>
          <w:sz w:val="24"/>
          <w:szCs w:val="24"/>
          <w:color w:val="auto"/>
          <w:vertAlign w:val="superscript"/>
        </w:rPr>
      </w:pPr>
      <w:r>
        <w:rPr>
          <w:rFonts w:ascii="Arial" w:cs="Arial" w:eastAsia="Arial" w:hAnsi="Arial"/>
          <w:sz w:val="17"/>
          <w:szCs w:val="17"/>
          <w:color w:val="auto"/>
        </w:rPr>
        <w:t>Contingent consideration consists of contingent payments related to our purchases of the net assets of Ecolink and RCS.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Historically, we have utilized cash provided from operations as our primary source of liquidity, as internally generated cash flows have been sufficient to support our business operations, capital expenditures and discretionary share repurchases. More recently we have utilized our revolving line of credit to fund an increased level of share repurchases and our acquisition of the net assets of Ecolink and RCS. We anticipate that we will continue to utilize both cash flows from operations and our revolving line of credit to support ongoing business operations, capital expenditures and future discretionary share repurchases. Our working capital needs have typically been greatest during the third and fourth quarters when accounts receivable and inventories increase in connection with the fourth quarter holiday selling season. In addition, inventory levels typically increase in anticipation of factory closures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observance of Chinese New Year. We believe our current cash balances, anticipated cash flow to be generated from operations and available borrowing resources will be sufficient to cover expected cash outlays during the next twelve months; however, because our cash is located in various jurisdictions throughout the world, we may at times need to increase borrowing from our revolving line of credit or take on additional debt until we are able to transfer cash among our various entities.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liquidity is subject to various risks including the market risks identified in "ITEM 7A. QUANTITATIVE AND QUALITATIVE DISCLOSURES ABOUT MARKET RISK".</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62,438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50,611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52,966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Available borrowing resources</w:t>
            </w:r>
          </w:p>
        </w:tc>
        <w:tc>
          <w:tcPr>
            <w:tcW w:w="38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32,000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34,987</w:t>
            </w:r>
          </w:p>
        </w:tc>
      </w:tr>
    </w:tbl>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may be subject to state income taxes and foreign withholding taxes. Additionally, repatriation of some foreign balances is restricted by local laws. We have not provided for the state income tax liability or foreign withholding tax on these amounts for financial statement purposes as this cash is considered indefinitely reinvested outside of the United States. Our intent is to meet our domestic liquidity needs through ongoing cash flows, external borrowings, or both.</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31, 2017, we had $10.5 million, $23.3 million, $1.4 million, $18.1 million and $9.2 million of cash and cash equivalents in the United States, the PRC, Asia (excluding the PRC), Europe, and South America, respectively. We attempt to mitigate our exposure to liquidity, credit and other relevant risks by placing our cash and cash equivalents with financial institutions we believe are high quality.</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October 27, 2017, we entered into a Second Amended and Restated Credit Agreement ("Second Amended Credit Agreement") with U.S. Bank National Association ("U.S. Bank") and Wells Fargo Bank, National Association. Under the Second Amended Credit Agreement, the existing revolving line of credit ("Credit Line") was increased from $125.0 million to $170.0 million and the expiration date remained November 1, 2019. The Credit Line may be used for working capital and other general corporate purposes including acquisitions, share repurchases and capital expenditures. Amounts available for borrowing under the Credit Line are reduced by the balance of any outstanding letters of credit. There were no outstanding letters of credit at December 31, 2017.</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 The applicable margins are calculated quarterly and vary based on our cash flow leverage ratio as set forth in the Second Amended Credit Agreement. The interest rate in effect at December 31, 2017 was 3.04%. There are no commitment fees or unused line fees under the Second Amended Credit Agreement.</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As of December 31, 2017, we were in compliance with the covenants and conditions of the Second Amended Credit Agreement.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we had an outstanding balance of $138.0 million on our Credit Line and $32.0 million of availability.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2" for a discussion of recent accounting pronouncements.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exposed to interest rate risk related to our debt. From time to time we borrow amounts on our Credit Line for working capital and other liquidity needs. Under the Second Amended Credit Agreement, we may elect to pay interest on outstanding borrowings on our Credit Line based on LIBOR or a base rate (based on the prime rate of U.S. Bank) plus an applicable margin as defined in the Second Amended Credit Agreement. Accordingly, changes in interest rates would impact our results of operations in future periods. A 100 basis point increase in interest rates would have an approximately $1.0 million annual impact on net income based on our outstanding Credit Line balance at December 31, 2017.</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December 31, 2017, we had wholly-owned subsidiaries in Argentina, Brazil, the British Virgin Islands, Cayman Islands, France, Germany, Hong Kong, India, Italy, Japan, Korea, Mexico, the Netherlands, the PRC, Singapore, Spain and the United Kingdom.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Argentinian Peso, Mexican Peso, Brazilian Real, Indian Rupee and Japanese Yen.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We are generally a net payor of the Euro, Mexican Peso, Indian Rupee and Japanese Yen and therefore benefit from a stronger U.S. Dollar and are adversely affected by a weaker U.S. Dollar relative to the foreign currency. For the British Pound, Argentinian Peso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1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December 31, 2017, we believe that movements in foreign currency rates may have a material effect on our financial position and results of operations. We estimate that if the exchange rates for the Chinese Yuan Renminbi, Euro, British Pound, Argentinian Peso, Mexican Peso, Brazilian Real, Indian Rupee and Japanese Yen relative to the U.S. Dollar fluctuate 10% from December 31, 2017, net income in the first quarter of 2017 would fluctuate by approximately $9.2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23"/>
        </w:trPr>
        <w:tc>
          <w:tcPr>
            <w:tcW w:w="4220" w:type="dxa"/>
            <w:vAlign w:val="bottom"/>
            <w:gridSpan w:val="2"/>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Report of Independent Registered Public Accounting Firm</w:t>
              </w:r>
            </w:hyperlink>
          </w:p>
        </w:tc>
        <w:tc>
          <w:tcPr>
            <w:tcW w:w="6840" w:type="dxa"/>
            <w:vAlign w:val="bottom"/>
            <w:gridSpan w:val="6"/>
          </w:tcPr>
          <w:p>
            <w:pPr>
              <w:spacing w:after="0"/>
              <w:rPr>
                <w:sz w:val="19"/>
                <w:szCs w:val="19"/>
                <w:color w:val="auto"/>
              </w:rPr>
            </w:pPr>
          </w:p>
        </w:tc>
        <w:tc>
          <w:tcPr>
            <w:tcW w:w="300" w:type="dxa"/>
            <w:vAlign w:val="bottom"/>
            <w:gridSpan w:val="2"/>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1060" w:type="dxa"/>
            <w:vAlign w:val="bottom"/>
            <w:gridSpan w:val="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Consolidated Balance Sheets at December 31, 2017 and 2016</w:t>
              </w:r>
            </w:hyperlink>
          </w:p>
        </w:tc>
        <w:tc>
          <w:tcPr>
            <w:tcW w:w="300" w:type="dxa"/>
            <w:vAlign w:val="bottom"/>
            <w:gridSpan w:val="2"/>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1060" w:type="dxa"/>
            <w:vAlign w:val="bottom"/>
            <w:gridSpan w:val="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Consolidated Statements of Operations for the Years Ended December 31, 2017, 2016, and 2015</w:t>
              </w:r>
            </w:hyperlink>
          </w:p>
        </w:tc>
        <w:tc>
          <w:tcPr>
            <w:tcW w:w="300" w:type="dxa"/>
            <w:vAlign w:val="bottom"/>
            <w:gridSpan w:val="2"/>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8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8180" w:type="dxa"/>
            <w:vAlign w:val="bottom"/>
            <w:gridSpan w:val="7"/>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Consolidated Comprehensive Income (Loss) Statements for the Years Ended December 31, 2017, 2016, and 2015</w:t>
              </w:r>
            </w:hyperlink>
          </w:p>
        </w:tc>
        <w:tc>
          <w:tcPr>
            <w:tcW w:w="2880" w:type="dxa"/>
            <w:vAlign w:val="bottom"/>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860" w:type="dxa"/>
            <w:vAlign w:val="bottom"/>
            <w:gridSpan w:val="4"/>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7700" w:type="dxa"/>
            <w:vAlign w:val="bottom"/>
            <w:gridSpan w:val="6"/>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Consolidated Statements of Stockholders' Equity for the Years Ended December 31, 2017, 2016, and 2015</w:t>
              </w:r>
            </w:hyperlink>
          </w:p>
        </w:tc>
        <w:tc>
          <w:tcPr>
            <w:tcW w:w="48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860" w:type="dxa"/>
            <w:vAlign w:val="bottom"/>
            <w:gridSpan w:val="4"/>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7700" w:type="dxa"/>
            <w:vAlign w:val="bottom"/>
            <w:gridSpan w:val="6"/>
          </w:tcPr>
          <w:p>
            <w:pPr>
              <w:spacing w:after="0"/>
              <w:rPr>
                <w:rFonts w:ascii="Arial" w:cs="Arial" w:eastAsia="Arial" w:hAnsi="Arial"/>
                <w:sz w:val="18"/>
                <w:szCs w:val="18"/>
                <w:color w:val="0000EE"/>
                <w:w w:val="98"/>
              </w:rPr>
            </w:pPr>
            <w:hyperlink w:anchor="page45">
              <w:r>
                <w:rPr>
                  <w:rFonts w:ascii="Arial" w:cs="Arial" w:eastAsia="Arial" w:hAnsi="Arial"/>
                  <w:sz w:val="18"/>
                  <w:szCs w:val="18"/>
                  <w:color w:val="0000EE"/>
                  <w:w w:val="98"/>
                </w:rPr>
                <w:t>Consolidated Statements of Cash Flows for the Years Ended December 31, 2017, 2016, and 2015</w:t>
              </w:r>
            </w:hyperlink>
          </w:p>
        </w:tc>
        <w:tc>
          <w:tcPr>
            <w:tcW w:w="3360" w:type="dxa"/>
            <w:vAlign w:val="bottom"/>
            <w:gridSpan w:val="2"/>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860" w:type="dxa"/>
            <w:vAlign w:val="bottom"/>
            <w:gridSpan w:val="4"/>
            <w:shd w:val="clear" w:color="auto" w:fill="0000EE"/>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7000" w:type="dxa"/>
            <w:vAlign w:val="bottom"/>
            <w:gridSpan w:val="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Notes to Consolidated Financial Statements</w:t>
              </w:r>
            </w:hyperlink>
          </w:p>
        </w:tc>
        <w:tc>
          <w:tcPr>
            <w:tcW w:w="4060" w:type="dxa"/>
            <w:vAlign w:val="bottom"/>
            <w:gridSpan w:val="3"/>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02"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All schedules are omitted because they are not applicable or the required information is shown in the consolidated financial statements or notes thereto.</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18" w:right="25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Inc.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financial statements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Universal Electronics Inc. (a Delaware corporation) (the “Company”) as of December 31, 2017 and 2016, the related consolidated statements of operations, comprehensive income (loss), shareholders’ equity, and cash flows for each of the three years in the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3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December 31, 2017,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dated March 12, 2018 expressed unqualified opinion.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6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2018</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thousands, except share-related data)</w:t>
      </w:r>
    </w:p>
    <w:p>
      <w:pPr>
        <w:spacing w:after="0" w:line="171" w:lineRule="exact"/>
        <w:rPr>
          <w:sz w:val="20"/>
          <w:szCs w:val="20"/>
          <w:color w:val="auto"/>
        </w:rPr>
      </w:pPr>
    </w:p>
    <w:p>
      <w:pPr>
        <w:jc w:val="right"/>
        <w:ind w:right="300"/>
        <w:spacing w:after="0"/>
        <w:tabs>
          <w:tab w:leader="none" w:pos="1280" w:val="left"/>
        </w:tabs>
        <w:rPr>
          <w:sz w:val="20"/>
          <w:szCs w:val="20"/>
          <w:color w:val="auto"/>
        </w:rPr>
      </w:pPr>
      <w:r>
        <w:rPr>
          <w:rFonts w:ascii="Arial" w:cs="Arial" w:eastAsia="Arial" w:hAnsi="Arial"/>
          <w:sz w:val="16"/>
          <w:szCs w:val="16"/>
          <w:b w:val="1"/>
          <w:bCs w:val="1"/>
          <w:color w:val="auto"/>
        </w:rPr>
        <w:t>December 31, 2017</w:t>
      </w:r>
      <w:r>
        <w:rPr>
          <w:sz w:val="20"/>
          <w:szCs w:val="20"/>
          <w:color w:val="auto"/>
        </w:rPr>
        <w:tab/>
      </w:r>
      <w:r>
        <w:rPr>
          <w:rFonts w:ascii="Arial" w:cs="Arial" w:eastAsia="Arial" w:hAnsi="Arial"/>
          <w:sz w:val="14"/>
          <w:szCs w:val="14"/>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37465</wp:posOffset>
            </wp:positionV>
            <wp:extent cx="7092315"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2315" cy="180340"/>
                    </a:xfrm>
                    <a:prstGeom prst="rect">
                      <a:avLst/>
                    </a:prstGeom>
                    <a:noFill/>
                  </pic:spPr>
                </pic:pic>
              </a:graphicData>
            </a:graphic>
          </wp:anchor>
        </w:drawing>
      </w:r>
    </w:p>
    <w:p>
      <w:pPr>
        <w:spacing w:after="0" w:line="53"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ASSETS</w:t>
      </w:r>
    </w:p>
    <w:p>
      <w:pPr>
        <w:sectPr>
          <w:pgSz w:w="11900" w:h="16838" w:orient="portrait"/>
          <w:cols w:equalWidth="0" w:num="1">
            <w:col w:w="11300"/>
          </w:cols>
          <w:pgMar w:left="240" w:top="118" w:right="359" w:bottom="1440" w:gutter="0" w:footer="0" w:header="0"/>
        </w:sectPr>
      </w:pPr>
    </w:p>
    <w:p>
      <w:pPr>
        <w:spacing w:after="0" w:line="10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500"/>
        <w:spacing w:after="0"/>
        <w:tabs>
          <w:tab w:leader="none" w:pos="7520" w:val="left"/>
        </w:tabs>
        <w:rPr>
          <w:sz w:val="20"/>
          <w:szCs w:val="20"/>
          <w:color w:val="auto"/>
        </w:rPr>
      </w:pPr>
      <w:r>
        <w:rPr>
          <w:rFonts w:ascii="Arial" w:cs="Arial" w:eastAsia="Arial" w:hAnsi="Arial"/>
          <w:sz w:val="16"/>
          <w:szCs w:val="16"/>
          <w:color w:val="auto"/>
        </w:rPr>
        <w:t>Cash and cash equivalents</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Accounts receivable, net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Inventories,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Prepaid expenses and other current assets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Income tax receivable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940"/>
        <w:spacing w:after="0"/>
        <w:rPr>
          <w:sz w:val="20"/>
          <w:szCs w:val="20"/>
          <w:color w:val="auto"/>
        </w:rPr>
      </w:pPr>
      <w:r>
        <w:rPr>
          <w:rFonts w:ascii="Arial" w:cs="Arial" w:eastAsia="Arial" w:hAnsi="Arial"/>
          <w:sz w:val="16"/>
          <w:szCs w:val="16"/>
          <w:color w:val="auto"/>
        </w:rPr>
        <w:t>Total current assets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Goodwill</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Long-term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Other assets</w:t>
      </w:r>
    </w:p>
    <w:p>
      <w:pPr>
        <w:spacing w:after="0" w:line="86" w:lineRule="exact"/>
        <w:rPr>
          <w:sz w:val="20"/>
          <w:szCs w:val="20"/>
          <w:color w:val="auto"/>
        </w:rPr>
      </w:pPr>
    </w:p>
    <w:p>
      <w:pPr>
        <w:jc w:val="right"/>
        <w:ind w:right="280"/>
        <w:spacing w:after="0"/>
        <w:tabs>
          <w:tab w:leader="none" w:pos="340" w:val="left"/>
        </w:tabs>
        <w:rPr>
          <w:sz w:val="20"/>
          <w:szCs w:val="20"/>
          <w:color w:val="auto"/>
        </w:rPr>
      </w:pPr>
      <w:r>
        <w:rPr>
          <w:rFonts w:ascii="Arial" w:cs="Arial" w:eastAsia="Arial" w:hAnsi="Arial"/>
          <w:sz w:val="16"/>
          <w:szCs w:val="16"/>
          <w:color w:val="auto"/>
        </w:rPr>
        <w:t>Total assets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52070</wp:posOffset>
            </wp:positionV>
            <wp:extent cx="7092315"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2315" cy="188595"/>
                    </a:xfrm>
                    <a:prstGeom prst="rect">
                      <a:avLst/>
                    </a:prstGeom>
                    <a:noFill/>
                  </pic:spPr>
                </pic:pic>
              </a:graphicData>
            </a:graphic>
          </wp:anchor>
        </w:drawing>
      </w:r>
    </w:p>
    <w:p>
      <w:pPr>
        <w:spacing w:after="0" w:line="76" w:lineRule="exact"/>
        <w:rPr>
          <w:sz w:val="20"/>
          <w:szCs w:val="20"/>
          <w:color w:val="auto"/>
        </w:rPr>
      </w:pPr>
    </w:p>
    <w:p>
      <w:pPr>
        <w:ind w:left="2060"/>
        <w:spacing w:after="0"/>
        <w:rPr>
          <w:sz w:val="20"/>
          <w:szCs w:val="20"/>
          <w:color w:val="auto"/>
        </w:rPr>
      </w:pPr>
      <w:r>
        <w:rPr>
          <w:rFonts w:ascii="Arial" w:cs="Arial" w:eastAsia="Arial" w:hAnsi="Arial"/>
          <w:sz w:val="16"/>
          <w:szCs w:val="16"/>
          <w:b w:val="1"/>
          <w:bCs w:val="1"/>
          <w:color w:val="auto"/>
        </w:rPr>
        <w:t>LIABILITIES AND STOCKHOLDERS' EQUITY</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500"/>
        <w:spacing w:after="0"/>
        <w:tabs>
          <w:tab w:leader="none" w:pos="752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Line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Accrued compensation</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Accrued sales discounts, rebates and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Accrued income taxes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Other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940"/>
        <w:spacing w:after="0"/>
        <w:rPr>
          <w:sz w:val="20"/>
          <w:szCs w:val="20"/>
          <w:color w:val="auto"/>
        </w:rPr>
      </w:pPr>
      <w:r>
        <w:rPr>
          <w:rFonts w:ascii="Arial" w:cs="Arial" w:eastAsia="Arial" w:hAnsi="Arial"/>
          <w:sz w:val="16"/>
          <w:szCs w:val="16"/>
          <w:color w:val="auto"/>
        </w:rPr>
        <w:t>Total current liabilities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Long-term contingent consideration</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Income tax payable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940"/>
        <w:spacing w:after="0"/>
        <w:rPr>
          <w:sz w:val="20"/>
          <w:szCs w:val="20"/>
          <w:color w:val="auto"/>
        </w:rPr>
      </w:pPr>
      <w:r>
        <w:rPr>
          <w:rFonts w:ascii="Arial" w:cs="Arial" w:eastAsia="Arial" w:hAnsi="Arial"/>
          <w:sz w:val="16"/>
          <w:szCs w:val="16"/>
          <w:color w:val="auto"/>
        </w:rPr>
        <w:t>Total liabilities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Stockholders' equity:</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Preferred stock, $0.01 par value, 5,000,000 shares authorized; none issued or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2315" cy="291465"/>
                    </a:xfrm>
                    <a:prstGeom prst="rect">
                      <a:avLst/>
                    </a:prstGeom>
                    <a:noFill/>
                  </pic:spPr>
                </pic:pic>
              </a:graphicData>
            </a:graphic>
          </wp:anchor>
        </w:drawing>
      </w:r>
    </w:p>
    <w:p>
      <w:pPr>
        <w:spacing w:after="0" w:line="66" w:lineRule="exact"/>
        <w:rPr>
          <w:sz w:val="20"/>
          <w:szCs w:val="20"/>
          <w:color w:val="auto"/>
        </w:rPr>
      </w:pPr>
    </w:p>
    <w:p>
      <w:pPr>
        <w:ind w:left="500" w:right="600"/>
        <w:spacing w:after="0" w:line="293" w:lineRule="auto"/>
        <w:rPr>
          <w:sz w:val="20"/>
          <w:szCs w:val="20"/>
          <w:color w:val="auto"/>
        </w:rPr>
      </w:pPr>
      <w:r>
        <w:rPr>
          <w:rFonts w:ascii="Arial" w:cs="Arial" w:eastAsia="Arial" w:hAnsi="Arial"/>
          <w:sz w:val="16"/>
          <w:szCs w:val="16"/>
          <w:color w:val="auto"/>
        </w:rPr>
        <w:t>Common stock, $0.01 par value, 50,000,000 shares authorized; 23,760,434 and 23,575,340 shares issued on December 31, 2017 and 2016, respectively</w:t>
      </w:r>
    </w:p>
    <w:p>
      <w:pPr>
        <w:spacing w:after="0" w:line="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Treasury stock, at cost, 9,702,874 and 9,022,587 shares on December 31, 2017 and 2016, respectively</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Retained earnings</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62,438</w:t>
            </w: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50,611</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4,901</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4,623</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w w:val="96"/>
              </w:rPr>
              <w:t>151,578</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124,592</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w w:val="96"/>
              </w:rPr>
              <w:t>162,589</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129,879</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11,687</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7,439</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12,517</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1,587</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1,054</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5,960</w:t>
            </w:r>
          </w:p>
        </w:tc>
      </w:tr>
      <w:tr>
        <w:trPr>
          <w:trHeight w:val="33"/>
        </w:trPr>
        <w:tc>
          <w:tcPr>
            <w:tcW w:w="7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780" w:type="dxa"/>
            <w:vAlign w:val="bottom"/>
          </w:tcPr>
          <w:p>
            <w:pPr>
              <w:jc w:val="right"/>
              <w:ind w:right="119"/>
              <w:spacing w:after="0"/>
              <w:rPr>
                <w:sz w:val="20"/>
                <w:szCs w:val="20"/>
                <w:color w:val="auto"/>
              </w:rPr>
            </w:pPr>
            <w:r>
              <w:rPr>
                <w:rFonts w:ascii="Arial" w:cs="Arial" w:eastAsia="Arial" w:hAnsi="Arial"/>
                <w:sz w:val="16"/>
                <w:szCs w:val="16"/>
                <w:color w:val="auto"/>
                <w:w w:val="96"/>
              </w:rPr>
              <w:t>407,297</w:t>
            </w:r>
          </w:p>
        </w:tc>
        <w:tc>
          <w:tcPr>
            <w:tcW w:w="66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324,158</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w w:val="96"/>
              </w:rPr>
              <w:t>110,962</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105,351</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48,651</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43,052</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29,041</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28,549</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7,913</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10,430</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4,600</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4,566</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4,896</w:t>
            </w:r>
          </w:p>
        </w:tc>
      </w:tr>
      <w:tr>
        <w:trPr>
          <w:trHeight w:val="33"/>
        </w:trPr>
        <w:tc>
          <w:tcPr>
            <w:tcW w:w="7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780" w:type="dxa"/>
            <w:vAlign w:val="bottom"/>
          </w:tcPr>
          <w:p>
            <w:pPr>
              <w:jc w:val="right"/>
              <w:ind w:right="119"/>
              <w:spacing w:after="0"/>
              <w:rPr>
                <w:sz w:val="20"/>
                <w:szCs w:val="20"/>
                <w:color w:val="auto"/>
              </w:rPr>
            </w:pPr>
            <w:r>
              <w:rPr>
                <w:rFonts w:ascii="Arial" w:cs="Arial" w:eastAsia="Arial" w:hAnsi="Arial"/>
                <w:sz w:val="16"/>
                <w:szCs w:val="16"/>
                <w:color w:val="auto"/>
                <w:w w:val="96"/>
              </w:rPr>
              <w:t>608,430</w:t>
            </w: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521,036</w:t>
            </w:r>
          </w:p>
        </w:tc>
      </w:tr>
      <w:tr>
        <w:trPr>
          <w:trHeight w:val="33"/>
        </w:trPr>
        <w:tc>
          <w:tcPr>
            <w:tcW w:w="7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7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758"/>
        </w:trPr>
        <w:tc>
          <w:tcPr>
            <w:tcW w:w="780" w:type="dxa"/>
            <w:vAlign w:val="bottom"/>
          </w:tcPr>
          <w:p>
            <w:pPr>
              <w:jc w:val="right"/>
              <w:ind w:right="119"/>
              <w:spacing w:after="0"/>
              <w:rPr>
                <w:sz w:val="20"/>
                <w:szCs w:val="20"/>
                <w:color w:val="auto"/>
              </w:rPr>
            </w:pPr>
            <w:r>
              <w:rPr>
                <w:rFonts w:ascii="Arial" w:cs="Arial" w:eastAsia="Arial" w:hAnsi="Arial"/>
                <w:sz w:val="16"/>
                <w:szCs w:val="16"/>
                <w:color w:val="auto"/>
                <w:w w:val="96"/>
              </w:rPr>
              <w:t>119,165</w:t>
            </w: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97,157</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w w:val="96"/>
              </w:rPr>
              <w:t>138,000</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49,987</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34,499</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35,580</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8,882</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8,358</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3,670</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375</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28,719</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24,410</w:t>
            </w:r>
          </w:p>
        </w:tc>
      </w:tr>
      <w:tr>
        <w:trPr>
          <w:trHeight w:val="33"/>
        </w:trPr>
        <w:tc>
          <w:tcPr>
            <w:tcW w:w="7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780" w:type="dxa"/>
            <w:vAlign w:val="bottom"/>
          </w:tcPr>
          <w:p>
            <w:pPr>
              <w:jc w:val="right"/>
              <w:ind w:right="119"/>
              <w:spacing w:after="0"/>
              <w:rPr>
                <w:sz w:val="20"/>
                <w:szCs w:val="20"/>
                <w:color w:val="auto"/>
              </w:rPr>
            </w:pPr>
            <w:r>
              <w:rPr>
                <w:rFonts w:ascii="Arial" w:cs="Arial" w:eastAsia="Arial" w:hAnsi="Arial"/>
                <w:sz w:val="16"/>
                <w:szCs w:val="16"/>
                <w:color w:val="auto"/>
                <w:w w:val="96"/>
              </w:rPr>
              <w:t>332,935</w:t>
            </w:r>
          </w:p>
        </w:tc>
        <w:tc>
          <w:tcPr>
            <w:tcW w:w="66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215,867</w:t>
            </w:r>
          </w:p>
        </w:tc>
      </w:tr>
      <w:tr>
        <w:trPr>
          <w:trHeight w:val="54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13,400</w:t>
            </w:r>
          </w:p>
        </w:tc>
        <w:tc>
          <w:tcPr>
            <w:tcW w:w="66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10,500</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4,423</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7,060</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2,520</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791</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1,603</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6,308</w:t>
            </w:r>
          </w:p>
        </w:tc>
      </w:tr>
      <w:tr>
        <w:trPr>
          <w:trHeight w:val="33"/>
        </w:trPr>
        <w:tc>
          <w:tcPr>
            <w:tcW w:w="7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780" w:type="dxa"/>
            <w:vAlign w:val="bottom"/>
          </w:tcPr>
          <w:p>
            <w:pPr>
              <w:jc w:val="right"/>
              <w:ind w:right="119"/>
              <w:spacing w:after="0"/>
              <w:rPr>
                <w:sz w:val="20"/>
                <w:szCs w:val="20"/>
                <w:color w:val="auto"/>
              </w:rPr>
            </w:pPr>
            <w:r>
              <w:rPr>
                <w:rFonts w:ascii="Arial" w:cs="Arial" w:eastAsia="Arial" w:hAnsi="Arial"/>
                <w:sz w:val="16"/>
                <w:szCs w:val="16"/>
                <w:color w:val="auto"/>
                <w:w w:val="96"/>
              </w:rPr>
              <w:t>354,881</w:t>
            </w:r>
          </w:p>
        </w:tc>
        <w:tc>
          <w:tcPr>
            <w:tcW w:w="66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240,526</w:t>
            </w:r>
          </w:p>
        </w:tc>
      </w:tr>
      <w:tr>
        <w:trPr>
          <w:trHeight w:val="81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238</w:t>
            </w:r>
          </w:p>
        </w:tc>
        <w:tc>
          <w:tcPr>
            <w:tcW w:w="66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236</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w w:val="96"/>
              </w:rPr>
              <w:t>265,195</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250,481</w:t>
            </w:r>
          </w:p>
        </w:tc>
      </w:tr>
      <w:tr>
        <w:trPr>
          <w:trHeight w:val="270"/>
        </w:trPr>
        <w:tc>
          <w:tcPr>
            <w:tcW w:w="780" w:type="dxa"/>
            <w:vAlign w:val="bottom"/>
          </w:tcPr>
          <w:p>
            <w:pPr>
              <w:jc w:val="right"/>
              <w:ind w:right="79"/>
              <w:spacing w:after="0"/>
              <w:rPr>
                <w:sz w:val="20"/>
                <w:szCs w:val="20"/>
                <w:color w:val="auto"/>
              </w:rPr>
            </w:pPr>
            <w:r>
              <w:rPr>
                <w:rFonts w:ascii="Arial" w:cs="Arial" w:eastAsia="Arial" w:hAnsi="Arial"/>
                <w:sz w:val="16"/>
                <w:szCs w:val="16"/>
                <w:color w:val="auto"/>
                <w:w w:val="87"/>
              </w:rPr>
              <w:t>(262,065)</w:t>
            </w:r>
          </w:p>
        </w:tc>
        <w:tc>
          <w:tcPr>
            <w:tcW w:w="6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(222,980)</w:t>
            </w:r>
          </w:p>
        </w:tc>
      </w:tr>
      <w:tr>
        <w:trPr>
          <w:trHeight w:val="270"/>
        </w:trPr>
        <w:tc>
          <w:tcPr>
            <w:tcW w:w="780" w:type="dxa"/>
            <w:vAlign w:val="bottom"/>
          </w:tcPr>
          <w:p>
            <w:pPr>
              <w:jc w:val="right"/>
              <w:ind w:right="79"/>
              <w:spacing w:after="0"/>
              <w:rPr>
                <w:sz w:val="20"/>
                <w:szCs w:val="20"/>
                <w:color w:val="auto"/>
              </w:rPr>
            </w:pPr>
            <w:r>
              <w:rPr>
                <w:rFonts w:ascii="Arial" w:cs="Arial" w:eastAsia="Arial" w:hAnsi="Arial"/>
                <w:sz w:val="16"/>
                <w:szCs w:val="16"/>
                <w:color w:val="auto"/>
              </w:rPr>
              <w:t>(16,599)</w:t>
            </w:r>
          </w:p>
        </w:tc>
        <w:tc>
          <w:tcPr>
            <w:tcW w:w="6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(22,821)</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w w:val="96"/>
              </w:rPr>
              <w:t>266,780</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275,594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-4069080</wp:posOffset>
            </wp:positionV>
            <wp:extent cx="11404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4046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wp:posOffset>
            </wp:positionH>
            <wp:positionV relativeFrom="paragraph">
              <wp:posOffset>-4240530</wp:posOffset>
            </wp:positionV>
            <wp:extent cx="11404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7900" w:space="720"/>
            <w:col w:w="2680"/>
          </w:cols>
          <w:pgMar w:left="240" w:top="118" w:right="359" w:bottom="1440" w:gutter="0" w:footer="0" w:header="0"/>
          <w:type w:val="continuous"/>
        </w:sectPr>
      </w:pPr>
    </w:p>
    <w:tbl>
      <w:tblPr>
        <w:tblLayout w:type="fixed"/>
        <w:tblInd w:w="120" w:type="dxa"/>
        <w:tblCellMar>
          <w:top w:w="0" w:type="dxa"/>
          <w:left w:w="0" w:type="dxa"/>
          <w:bottom w:w="0" w:type="dxa"/>
          <w:right w:w="0" w:type="dxa"/>
        </w:tblCellMar>
      </w:tblPr>
      <w:tr>
        <w:trPr>
          <w:trHeight w:val="237"/>
        </w:trPr>
        <w:tc>
          <w:tcPr>
            <w:tcW w:w="7380" w:type="dxa"/>
            <w:vAlign w:val="bottom"/>
          </w:tcPr>
          <w:p>
            <w:pPr>
              <w:ind w:left="820"/>
              <w:spacing w:after="0"/>
              <w:rPr>
                <w:sz w:val="20"/>
                <w:szCs w:val="20"/>
                <w:color w:val="auto"/>
              </w:rPr>
            </w:pPr>
            <w:r>
              <w:rPr>
                <w:rFonts w:ascii="Arial" w:cs="Arial" w:eastAsia="Arial" w:hAnsi="Arial"/>
                <w:sz w:val="16"/>
                <w:szCs w:val="16"/>
                <w:color w:val="auto"/>
              </w:rPr>
              <w:t>Total stockholders' equity</w:t>
            </w:r>
          </w:p>
        </w:tc>
        <w:tc>
          <w:tcPr>
            <w:tcW w:w="6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253,549</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280,510</w:t>
            </w:r>
          </w:p>
        </w:tc>
      </w:tr>
      <w:tr>
        <w:trPr>
          <w:trHeight w:val="33"/>
        </w:trPr>
        <w:tc>
          <w:tcPr>
            <w:tcW w:w="73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73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liabilities and stockholders' equity</w:t>
            </w:r>
          </w:p>
        </w:tc>
        <w:tc>
          <w:tcPr>
            <w:tcW w:w="6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608,430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521,036</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See Notes 5 and 11 for further information concerning our purchases from related party vendors.</w:t>
      </w:r>
    </w:p>
    <w:p>
      <w:pPr>
        <w:spacing w:after="0" w:line="86"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300"/>
          </w:cols>
          <w:pgMar w:left="240" w:top="118" w:right="359" w:bottom="1440" w:gutter="0" w:footer="0" w:header="0"/>
          <w:type w:val="continuous"/>
        </w:sectPr>
      </w:pP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300"/>
          </w:cols>
          <w:pgMar w:left="240" w:top="118" w:right="359" w:bottom="1440" w:gutter="0" w:footer="0" w:header="0"/>
          <w:type w:val="continuous"/>
        </w:sectPr>
      </w:pPr>
    </w:p>
    <w:bookmarkStart w:id="41" w:name="page42"/>
    <w:bookmarkEnd w:id="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695,790</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651,371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602,833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530,083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487,247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436,084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165,707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164,124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166,749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21,416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19,850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18,141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Factory transition restructuring charges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127,476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114,384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112,689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35,919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7,288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25,188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35,975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6,802</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(10,323)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20,384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29,173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income (loss) attributable to Universal Electronics Inc.</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(10,323)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20,354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29,174</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Earnings (loss) per share attributable to Universal Electronics Inc.:</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(0.72)</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earnings (loss) per share:</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14,351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14,465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15,248</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15,542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Notes 5 and 11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COMPREHENSIVE INCOME (LOSS)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29,173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foreign currency translation adjustment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comprehensive income (loss)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13,362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17,820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Universal Electronics Inc.</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13,332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17,821</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Notes 5 and 11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540" w:type="dxa"/>
            <w:vAlign w:val="bottom"/>
            <w:gridSpan w:val="4"/>
          </w:tcPr>
          <w:p>
            <w:pPr>
              <w:jc w:val="right"/>
              <w:ind w:right="57"/>
              <w:spacing w:after="0"/>
              <w:rPr>
                <w:sz w:val="20"/>
                <w:szCs w:val="20"/>
                <w:color w:val="auto"/>
              </w:rPr>
            </w:pPr>
            <w:r>
              <w:rPr>
                <w:rFonts w:ascii="Arial" w:cs="Arial" w:eastAsia="Arial" w:hAnsi="Arial"/>
                <w:sz w:val="13"/>
                <w:szCs w:val="13"/>
                <w:b w:val="1"/>
                <w:bCs w:val="1"/>
                <w:color w:val="auto"/>
              </w:rPr>
              <w:t>Common Stock</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8"/>
              </w:rPr>
              <w:t>Common Stock</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gridSpan w:val="3"/>
          </w:tcPr>
          <w:p>
            <w:pPr>
              <w:jc w:val="right"/>
              <w:ind w:right="297"/>
              <w:spacing w:after="0" w:line="144" w:lineRule="exact"/>
              <w:rPr>
                <w:sz w:val="20"/>
                <w:szCs w:val="20"/>
                <w:color w:val="auto"/>
              </w:rPr>
            </w:pPr>
            <w:r>
              <w:rPr>
                <w:rFonts w:ascii="Arial" w:cs="Arial" w:eastAsia="Arial" w:hAnsi="Arial"/>
                <w:sz w:val="13"/>
                <w:szCs w:val="13"/>
                <w:b w:val="1"/>
                <w:bCs w:val="1"/>
                <w:color w:val="auto"/>
                <w:w w:val="82"/>
              </w:rPr>
              <w:t>Issued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gridSpan w:val="5"/>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in Treasury</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3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vMerge w:val="restart"/>
          </w:tcPr>
          <w:p>
            <w:pPr>
              <w:ind w:left="80"/>
              <w:spacing w:after="0" w:line="135" w:lineRule="exact"/>
              <w:rPr>
                <w:sz w:val="20"/>
                <w:szCs w:val="20"/>
                <w:color w:val="auto"/>
              </w:rPr>
            </w:pPr>
            <w:r>
              <w:rPr>
                <w:rFonts w:ascii="Arial" w:cs="Arial" w:eastAsia="Arial" w:hAnsi="Arial"/>
                <w:sz w:val="13"/>
                <w:szCs w:val="13"/>
                <w:b w:val="1"/>
                <w:bCs w:val="1"/>
                <w:color w:val="auto"/>
              </w:rPr>
              <w:t>Paid-in</w:t>
            </w:r>
          </w:p>
        </w:tc>
        <w:tc>
          <w:tcPr>
            <w:tcW w:w="980" w:type="dxa"/>
            <w:vAlign w:val="bottom"/>
            <w:gridSpan w:val="3"/>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2"/>
                <w:szCs w:val="2"/>
                <w:color w:val="auto"/>
              </w:rPr>
            </w:pPr>
          </w:p>
        </w:tc>
        <w:tc>
          <w:tcPr>
            <w:tcW w:w="840" w:type="dxa"/>
            <w:vAlign w:val="bottom"/>
            <w:gridSpan w:val="2"/>
            <w:vMerge w:val="restart"/>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1000" w:type="dxa"/>
            <w:vAlign w:val="bottom"/>
            <w:gridSpan w:val="3"/>
            <w:vMerge w:val="restart"/>
          </w:tcPr>
          <w:p>
            <w:pPr>
              <w:ind w:left="60"/>
              <w:spacing w:after="0" w:line="135" w:lineRule="exact"/>
              <w:rPr>
                <w:sz w:val="20"/>
                <w:szCs w:val="20"/>
                <w:color w:val="auto"/>
              </w:rPr>
            </w:pPr>
            <w:r>
              <w:rPr>
                <w:rFonts w:ascii="Arial" w:cs="Arial" w:eastAsia="Arial" w:hAnsi="Arial"/>
                <w:sz w:val="13"/>
                <w:szCs w:val="13"/>
                <w:b w:val="1"/>
                <w:bCs w:val="1"/>
                <w:color w:val="auto"/>
                <w:w w:val="99"/>
              </w:rPr>
              <w:t>Noncontrolling</w:t>
            </w: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3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Capital</w:t>
            </w: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w w:val="97"/>
              </w:rPr>
              <w:t>Interest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7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2014</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22,910</w:t>
            </w:r>
          </w:p>
        </w:tc>
        <w:tc>
          <w:tcPr>
            <w:tcW w:w="720" w:type="dxa"/>
            <w:vAlign w:val="bottom"/>
            <w:gridSpan w:val="3"/>
            <w:vMerge w:val="restart"/>
            <w:shd w:val="clear" w:color="auto" w:fill="CCEEFF"/>
          </w:tcPr>
          <w:p>
            <w:pPr>
              <w:jc w:val="right"/>
              <w:ind w:right="317"/>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229</w:t>
            </w: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(7,008)</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(120,938)</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214,710</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(4,446)</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226,066</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315,621</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720" w:type="dxa"/>
            <w:vAlign w:val="bottom"/>
            <w:gridSpan w:val="3"/>
            <w:vMerge w:val="continue"/>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4"/>
                <w:szCs w:val="14"/>
                <w:color w:val="auto"/>
              </w:rPr>
              <w:t>29,174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29,173</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translation adjustment</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(11,353)</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rPr>
              <w:t>Shares issued for employee benefit</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40"/>
              <w:spacing w:after="0"/>
              <w:rPr>
                <w:sz w:val="20"/>
                <w:szCs w:val="20"/>
                <w:color w:val="auto"/>
              </w:rPr>
            </w:pPr>
            <w:r>
              <w:rPr>
                <w:rFonts w:ascii="Arial" w:cs="Arial" w:eastAsia="Arial" w:hAnsi="Arial"/>
                <w:sz w:val="14"/>
                <w:szCs w:val="14"/>
                <w:color w:val="auto"/>
              </w:rPr>
              <w:t>plan and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866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868</w:t>
            </w: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treasury shares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(1,817)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(89,395)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(89,395)</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Stock options exercised</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1,711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1,712</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to directors</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580" w:type="dxa"/>
            <w:vAlign w:val="bottom"/>
            <w:gridSpan w:val="2"/>
            <w:vMerge w:val="continue"/>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rPr>
              <w:t>Employee and director stock-based</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40"/>
              <w:spacing w:after="0"/>
              <w:rPr>
                <w:sz w:val="20"/>
                <w:szCs w:val="20"/>
                <w:color w:val="auto"/>
              </w:rPr>
            </w:pPr>
            <w:r>
              <w:rPr>
                <w:rFonts w:ascii="Arial" w:cs="Arial" w:eastAsia="Arial" w:hAnsi="Arial"/>
                <w:sz w:val="14"/>
                <w:szCs w:val="14"/>
                <w:color w:val="auto"/>
              </w:rPr>
              <w:t>compensation</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7,913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7,913</w:t>
            </w: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 benefit from exercise of non-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qualified stock options and vested</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stock</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3,069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3,069</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Business combination</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Distribution to noncontrolling interest</w:t>
            </w:r>
          </w:p>
        </w:tc>
        <w:tc>
          <w:tcPr>
            <w:tcW w:w="8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71"/>
        </w:trPr>
        <w:tc>
          <w:tcPr>
            <w:tcW w:w="2300" w:type="dxa"/>
            <w:vAlign w:val="bottom"/>
          </w:tcPr>
          <w:p>
            <w:pPr>
              <w:ind w:left="40"/>
              <w:spacing w:after="0"/>
              <w:rPr>
                <w:sz w:val="20"/>
                <w:szCs w:val="20"/>
                <w:color w:val="auto"/>
              </w:rPr>
            </w:pPr>
            <w:r>
              <w:rPr>
                <w:rFonts w:ascii="Arial" w:cs="Arial" w:eastAsia="Arial" w:hAnsi="Arial"/>
                <w:sz w:val="14"/>
                <w:szCs w:val="14"/>
                <w:color w:val="auto"/>
              </w:rPr>
              <w:t>Balance at December 31, 2015</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23,176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232</w:t>
            </w:r>
          </w:p>
        </w:tc>
        <w:tc>
          <w:tcPr>
            <w:tcW w:w="140" w:type="dxa"/>
            <w:vAlign w:val="bottom"/>
          </w:tcPr>
          <w:p>
            <w:pPr>
              <w:spacing w:after="0"/>
              <w:rPr>
                <w:sz w:val="14"/>
                <w:szCs w:val="14"/>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(8,825)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(210,333)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228,269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(15,799)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4"/>
                <w:szCs w:val="14"/>
                <w:color w:val="auto"/>
              </w:rPr>
              <w:t>255,240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257,908</w:t>
            </w:r>
          </w:p>
        </w:tc>
        <w:tc>
          <w:tcPr>
            <w:tcW w:w="0" w:type="dxa"/>
            <w:vAlign w:val="bottom"/>
          </w:tcPr>
          <w:p>
            <w:pPr>
              <w:spacing w:after="0"/>
              <w:rPr>
                <w:sz w:val="1"/>
                <w:szCs w:val="1"/>
                <w:color w:val="auto"/>
              </w:rPr>
            </w:pPr>
          </w:p>
        </w:tc>
      </w:tr>
      <w:tr>
        <w:trPr>
          <w:trHeight w:val="87"/>
        </w:trPr>
        <w:tc>
          <w:tcPr>
            <w:tcW w:w="23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20,354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20,384</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Currency translation adjustment</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(7,022)</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for employee benefit</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plan and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912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913</w:t>
            </w: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Purchase of treasury shares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(12,647)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(12,647)</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options exercised</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6,241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6,244</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Shares issued to directors</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Employee and director stock-based</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10,324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10,324</w:t>
            </w:r>
          </w:p>
        </w:tc>
        <w:tc>
          <w:tcPr>
            <w:tcW w:w="0" w:type="dxa"/>
            <w:vAlign w:val="bottom"/>
          </w:tcPr>
          <w:p>
            <w:pPr>
              <w:spacing w:after="0"/>
              <w:rPr>
                <w:sz w:val="1"/>
                <w:szCs w:val="1"/>
                <w:color w:val="auto"/>
              </w:rPr>
            </w:pPr>
          </w:p>
        </w:tc>
      </w:tr>
      <w:tr>
        <w:trPr>
          <w:trHeight w:val="157"/>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rPr>
              <w:t>Tax benefit from exercise of non-</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40"/>
              <w:spacing w:after="0" w:line="149" w:lineRule="exact"/>
              <w:rPr>
                <w:sz w:val="20"/>
                <w:szCs w:val="20"/>
                <w:color w:val="auto"/>
              </w:rPr>
            </w:pPr>
            <w:r>
              <w:rPr>
                <w:rFonts w:ascii="Arial" w:cs="Arial" w:eastAsia="Arial" w:hAnsi="Arial"/>
                <w:sz w:val="14"/>
                <w:szCs w:val="14"/>
                <w:color w:val="auto"/>
              </w:rPr>
              <w:t>qualified stock options and vested</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40"/>
              <w:spacing w:after="0"/>
              <w:rPr>
                <w:sz w:val="20"/>
                <w:szCs w:val="20"/>
                <w:color w:val="auto"/>
              </w:rPr>
            </w:pPr>
            <w:r>
              <w:rPr>
                <w:rFonts w:ascii="Arial" w:cs="Arial" w:eastAsia="Arial" w:hAnsi="Arial"/>
                <w:sz w:val="14"/>
                <w:szCs w:val="14"/>
                <w:color w:val="auto"/>
              </w:rPr>
              <w:t>restricted stock</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2,007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Performance - based common stock</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warrants</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2,728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2,728</w:t>
            </w:r>
          </w:p>
        </w:tc>
        <w:tc>
          <w:tcPr>
            <w:tcW w:w="0" w:type="dxa"/>
            <w:vAlign w:val="bottom"/>
          </w:tcPr>
          <w:p>
            <w:pPr>
              <w:spacing w:after="0"/>
              <w:rPr>
                <w:sz w:val="1"/>
                <w:szCs w:val="1"/>
                <w:color w:val="auto"/>
              </w:rPr>
            </w:pPr>
          </w:p>
        </w:tc>
      </w:tr>
      <w:tr>
        <w:trPr>
          <w:trHeight w:val="157"/>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rPr>
              <w:t>Deconsolidation of Encore Controls</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LLC</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17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2016</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23,575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236</w:t>
            </w: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(9,023)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(222,980)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250,481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(22,821)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275,594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280,510</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rPr>
              <w:t>Impact to retained earnings from</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adoption of ASU 2016-09</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1,509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1,509</w:t>
            </w:r>
          </w:p>
        </w:tc>
        <w:tc>
          <w:tcPr>
            <w:tcW w:w="0" w:type="dxa"/>
            <w:vAlign w:val="bottom"/>
          </w:tcPr>
          <w:p>
            <w:pPr>
              <w:spacing w:after="0"/>
              <w:rPr>
                <w:sz w:val="1"/>
                <w:szCs w:val="1"/>
                <w:color w:val="auto"/>
              </w:rPr>
            </w:pPr>
          </w:p>
        </w:tc>
      </w:tr>
      <w:tr>
        <w:trPr>
          <w:trHeight w:val="17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January 1, 2017</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23,575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236</w:t>
            </w: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(9,023)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(222,980)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250,481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(22,821)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277,103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282,019</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Net loss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(10,323)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(10,323)</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translation adjustment</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6,222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6,222</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rPr>
              <w:t>Shares issued for employee benefit</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40"/>
              <w:spacing w:after="0"/>
              <w:rPr>
                <w:sz w:val="20"/>
                <w:szCs w:val="20"/>
                <w:color w:val="auto"/>
              </w:rPr>
            </w:pPr>
            <w:r>
              <w:rPr>
                <w:rFonts w:ascii="Arial" w:cs="Arial" w:eastAsia="Arial" w:hAnsi="Arial"/>
                <w:sz w:val="14"/>
                <w:szCs w:val="14"/>
                <w:color w:val="auto"/>
              </w:rPr>
              <w:t>plan and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647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648</w:t>
            </w: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treasury shares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(680)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(39,085)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(39,085)</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Stock options exercised</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1,441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1,442</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to directors</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580" w:type="dxa"/>
            <w:vAlign w:val="bottom"/>
            <w:gridSpan w:val="2"/>
            <w:vMerge w:val="continue"/>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rPr>
              <w:t>Employee and director stock-based</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40"/>
              <w:spacing w:after="0"/>
              <w:rPr>
                <w:sz w:val="20"/>
                <w:szCs w:val="20"/>
                <w:color w:val="auto"/>
              </w:rPr>
            </w:pPr>
            <w:r>
              <w:rPr>
                <w:rFonts w:ascii="Arial" w:cs="Arial" w:eastAsia="Arial" w:hAnsi="Arial"/>
                <w:sz w:val="14"/>
                <w:szCs w:val="14"/>
                <w:color w:val="auto"/>
              </w:rPr>
              <w:t>compensation</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11,943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11,943</w:t>
            </w: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Performance-based common stock</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warrants</w:t>
            </w:r>
          </w:p>
        </w:tc>
        <w:tc>
          <w:tcPr>
            <w:tcW w:w="8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683</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683</w:t>
            </w:r>
          </w:p>
        </w:tc>
        <w:tc>
          <w:tcPr>
            <w:tcW w:w="0" w:type="dxa"/>
            <w:vAlign w:val="bottom"/>
          </w:tcPr>
          <w:p>
            <w:pPr>
              <w:spacing w:after="0"/>
              <w:rPr>
                <w:sz w:val="1"/>
                <w:szCs w:val="1"/>
                <w:color w:val="auto"/>
              </w:rPr>
            </w:pPr>
          </w:p>
        </w:tc>
      </w:tr>
      <w:tr>
        <w:trPr>
          <w:trHeight w:val="171"/>
        </w:trPr>
        <w:tc>
          <w:tcPr>
            <w:tcW w:w="2300" w:type="dxa"/>
            <w:vAlign w:val="bottom"/>
          </w:tcPr>
          <w:p>
            <w:pPr>
              <w:ind w:left="40"/>
              <w:spacing w:after="0"/>
              <w:rPr>
                <w:sz w:val="20"/>
                <w:szCs w:val="20"/>
                <w:color w:val="auto"/>
              </w:rPr>
            </w:pPr>
            <w:r>
              <w:rPr>
                <w:rFonts w:ascii="Arial" w:cs="Arial" w:eastAsia="Arial" w:hAnsi="Arial"/>
                <w:sz w:val="14"/>
                <w:szCs w:val="14"/>
                <w:color w:val="auto"/>
              </w:rPr>
              <w:t>Balance at December 31, 2017</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23,760</w:t>
            </w:r>
          </w:p>
        </w:tc>
        <w:tc>
          <w:tcPr>
            <w:tcW w:w="720" w:type="dxa"/>
            <w:vAlign w:val="bottom"/>
            <w:gridSpan w:val="3"/>
            <w:vMerge w:val="restart"/>
          </w:tcPr>
          <w:p>
            <w:pPr>
              <w:jc w:val="right"/>
              <w:ind w:right="317"/>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238</w:t>
            </w:r>
          </w:p>
        </w:tc>
        <w:tc>
          <w:tcPr>
            <w:tcW w:w="140" w:type="dxa"/>
            <w:vAlign w:val="bottom"/>
          </w:tcPr>
          <w:p>
            <w:pPr>
              <w:spacing w:after="0"/>
              <w:rPr>
                <w:sz w:val="14"/>
                <w:szCs w:val="14"/>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(9,703)</w:t>
            </w:r>
          </w:p>
        </w:tc>
        <w:tc>
          <w:tcPr>
            <w:tcW w:w="120" w:type="dxa"/>
            <w:vAlign w:val="bottom"/>
          </w:tcPr>
          <w:p>
            <w:pPr>
              <w:spacing w:after="0"/>
              <w:rPr>
                <w:sz w:val="14"/>
                <w:szCs w:val="14"/>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(262,065)</w:t>
            </w:r>
          </w:p>
        </w:tc>
        <w:tc>
          <w:tcPr>
            <w:tcW w:w="120" w:type="dxa"/>
            <w:vAlign w:val="bottom"/>
          </w:tcPr>
          <w:p>
            <w:pPr>
              <w:spacing w:after="0"/>
              <w:rPr>
                <w:sz w:val="14"/>
                <w:szCs w:val="14"/>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265,195</w:t>
            </w:r>
          </w:p>
        </w:tc>
        <w:tc>
          <w:tcPr>
            <w:tcW w:w="120" w:type="dxa"/>
            <w:vAlign w:val="bottom"/>
          </w:tcPr>
          <w:p>
            <w:pPr>
              <w:spacing w:after="0"/>
              <w:rPr>
                <w:sz w:val="14"/>
                <w:szCs w:val="14"/>
                <w:color w:val="auto"/>
              </w:rPr>
            </w:pPr>
          </w:p>
        </w:tc>
        <w:tc>
          <w:tcPr>
            <w:tcW w:w="180" w:type="dxa"/>
            <w:vAlign w:val="bottom"/>
            <w:vMerge w:val="restart"/>
          </w:tcPr>
          <w:p>
            <w:pPr>
              <w:jc w:val="right"/>
              <w:ind w:right="33"/>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(16,599)</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0"/>
              <w:spacing w:after="0"/>
              <w:rPr>
                <w:sz w:val="20"/>
                <w:szCs w:val="20"/>
                <w:color w:val="auto"/>
              </w:rPr>
            </w:pPr>
            <w:r>
              <w:rPr>
                <w:rFonts w:ascii="Arial" w:cs="Arial" w:eastAsia="Arial" w:hAnsi="Arial"/>
                <w:sz w:val="14"/>
                <w:szCs w:val="14"/>
                <w:color w:val="auto"/>
              </w:rPr>
              <w:t>266,780</w:t>
            </w:r>
          </w:p>
        </w:tc>
        <w:tc>
          <w:tcPr>
            <w:tcW w:w="100" w:type="dxa"/>
            <w:vAlign w:val="bottom"/>
          </w:tcPr>
          <w:p>
            <w:pPr>
              <w:spacing w:after="0"/>
              <w:rPr>
                <w:sz w:val="14"/>
                <w:szCs w:val="14"/>
                <w:color w:val="auto"/>
              </w:rPr>
            </w:pP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253,549</w:t>
            </w:r>
          </w:p>
        </w:tc>
        <w:tc>
          <w:tcPr>
            <w:tcW w:w="0" w:type="dxa"/>
            <w:vAlign w:val="bottom"/>
          </w:tcPr>
          <w:p>
            <w:pPr>
              <w:spacing w:after="0"/>
              <w:rPr>
                <w:sz w:val="1"/>
                <w:szCs w:val="1"/>
                <w:color w:val="auto"/>
              </w:rPr>
            </w:pPr>
          </w:p>
        </w:tc>
      </w:tr>
      <w:tr>
        <w:trPr>
          <w:trHeight w:val="60"/>
        </w:trPr>
        <w:tc>
          <w:tcPr>
            <w:tcW w:w="23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See Notes 5 and 11 for further information concerning our purchases from related party vendors.</w:t>
      </w:r>
    </w:p>
    <w:p>
      <w:pPr>
        <w:spacing w:after="0" w:line="113"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158" w:lineRule="exact"/>
        <w:rPr>
          <w:sz w:val="20"/>
          <w:szCs w:val="20"/>
          <w:color w:val="auto"/>
        </w:rPr>
      </w:pPr>
    </w:p>
    <w:p>
      <w:pPr>
        <w:jc w:val="right"/>
        <w:ind w:right="15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17145</wp:posOffset>
            </wp:positionV>
            <wp:extent cx="29584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ectPr>
          <w:pgSz w:w="11900" w:h="16838" w:orient="portrait"/>
          <w:cols w:equalWidth="0" w:num="1">
            <w:col w:w="11400"/>
          </w:cols>
          <w:pgMar w:left="240" w:top="118" w:right="259" w:bottom="879" w:gutter="0" w:footer="0" w:header="0"/>
        </w:sectPr>
      </w:pPr>
    </w:p>
    <w:p>
      <w:pPr>
        <w:spacing w:after="0" w:line="3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29475"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2"/>
          <w:szCs w:val="12"/>
          <w:color w:val="auto"/>
        </w:rPr>
        <w:t>Adjustments to reconcile net income (loss) to net cash provided by operating activities:</w:t>
      </w:r>
    </w:p>
    <w:p>
      <w:pPr>
        <w:spacing w:after="0" w:line="132" w:lineRule="exact"/>
        <w:rPr>
          <w:sz w:val="20"/>
          <w:szCs w:val="20"/>
          <w:color w:val="auto"/>
        </w:rPr>
      </w:pPr>
    </w:p>
    <w:p>
      <w:pPr>
        <w:ind w:left="72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Provision for doubtful accounts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Provision for inventory write-downs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Tax benefit from exercise of stock options and vested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Excess tax benefit from stock-based compensation</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Shares issued for employee benefit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Employee and director stock-based compensation</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Performance-based common stock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Impairment of China factory equipment</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Restricted cash</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Inventories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Accounts payable and accrued expenses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Accrued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Net cash provided by operating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used for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Acquisitions of property, plant, and equipment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Acquisition of net assets of Residential Control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Acquisition of intangible assets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Increase in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Deposit received toward sale of Guangzhou factory</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Deconsolidation of Encore Controls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2"/>
          <w:szCs w:val="12"/>
          <w:color w:val="auto"/>
        </w:rPr>
        <w:t>Acquisition of net assets of Ecolink Intelligent Technology, Inc., net of cash acquired</w:t>
      </w:r>
    </w:p>
    <w:p>
      <w:pPr>
        <w:spacing w:after="0" w:line="132"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Net cash used for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2947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provided by (used for) financing activities: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Borrowings under line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Repayments on line of credit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stock options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Treasury stock purchased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Excess tax benefit from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Distribution to noncontrolling interest</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Net cash provided by (used for)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Effect of exchange rate changes on cash</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at beginning of year</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2228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9475" cy="22288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taxes paid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paid</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color w:val="auto"/>
        </w:rPr>
        <w:t>See Notes 5 and 11 for further information concerning our purchases from related party vendors.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r>
      <w:tr>
        <w:trPr>
          <w:trHeight w:val="526"/>
        </w:trPr>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(10,323)</w:t>
            </w:r>
          </w:p>
        </w:tc>
        <w:tc>
          <w:tcPr>
            <w:tcW w:w="120" w:type="dxa"/>
            <w:vAlign w:val="bottom"/>
          </w:tcPr>
          <w:p>
            <w:pPr>
              <w:spacing w:after="0"/>
              <w:rPr>
                <w:sz w:val="24"/>
                <w:szCs w:val="24"/>
                <w:color w:val="auto"/>
              </w:rPr>
            </w:pP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20,384</w:t>
            </w:r>
          </w:p>
        </w:tc>
        <w:tc>
          <w:tcPr>
            <w:tcW w:w="120" w:type="dxa"/>
            <w:vAlign w:val="bottom"/>
          </w:tcPr>
          <w:p>
            <w:pPr>
              <w:spacing w:after="0"/>
              <w:rPr>
                <w:sz w:val="24"/>
                <w:szCs w:val="24"/>
                <w:color w:val="auto"/>
              </w:rPr>
            </w:pP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29,173</w:t>
            </w:r>
          </w:p>
        </w:tc>
      </w:tr>
      <w:tr>
        <w:trPr>
          <w:trHeight w:val="540"/>
        </w:trPr>
        <w:tc>
          <w:tcPr>
            <w:tcW w:w="340" w:type="dxa"/>
            <w:vAlign w:val="bottom"/>
          </w:tcPr>
          <w:p>
            <w:pPr>
              <w:spacing w:after="0"/>
              <w:rPr>
                <w:sz w:val="24"/>
                <w:szCs w:val="24"/>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31,312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26,967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20,452</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299</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4,119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3,806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3,382</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7,597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(1,637)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(5,348)</w:t>
            </w:r>
          </w:p>
        </w:tc>
      </w:tr>
      <w:tr>
        <w:trPr>
          <w:trHeight w:val="270"/>
        </w:trPr>
        <w:tc>
          <w:tcPr>
            <w:tcW w:w="34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2,007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3,069</w:t>
            </w:r>
          </w:p>
        </w:tc>
      </w:tr>
      <w:tr>
        <w:trPr>
          <w:trHeight w:val="270"/>
        </w:trPr>
        <w:tc>
          <w:tcPr>
            <w:tcW w:w="34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(1,970)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(2,619)</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648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913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868</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11,943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10,324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7,913</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683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2,728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4,100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540"/>
        </w:trPr>
        <w:tc>
          <w:tcPr>
            <w:tcW w:w="340" w:type="dxa"/>
            <w:vAlign w:val="bottom"/>
          </w:tcPr>
          <w:p>
            <w:pPr>
              <w:spacing w:after="0"/>
              <w:rPr>
                <w:sz w:val="24"/>
                <w:szCs w:val="24"/>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4,623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(4,623)</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(22,192)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(3,882)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(29,407)</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(29,916)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(14,800)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(31,877)</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(4,477)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(772)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774</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10,970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10,451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33,309</w:t>
            </w:r>
          </w:p>
        </w:tc>
      </w:tr>
      <w:tr>
        <w:trPr>
          <w:trHeight w:val="278"/>
        </w:trPr>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4,535</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(5,159)</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729</w:t>
            </w:r>
          </w:p>
        </w:tc>
      </w:tr>
      <w:tr>
        <w:trPr>
          <w:trHeight w:val="243"/>
        </w:trPr>
        <w:tc>
          <w:tcPr>
            <w:tcW w:w="34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13,788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49,543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26,094</w:t>
            </w:r>
          </w:p>
        </w:tc>
      </w:tr>
      <w:tr>
        <w:trPr>
          <w:trHeight w:val="540"/>
        </w:trPr>
        <w:tc>
          <w:tcPr>
            <w:tcW w:w="34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(40,384)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(40,651)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(32,989)</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(8,894)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(1,949)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(1,912)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(2,395)</w:t>
            </w:r>
          </w:p>
        </w:tc>
      </w:tr>
      <w:tr>
        <w:trPr>
          <w:trHeight w:val="270"/>
        </w:trPr>
        <w:tc>
          <w:tcPr>
            <w:tcW w:w="34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(4,797)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70"/>
        </w:trPr>
        <w:tc>
          <w:tcPr>
            <w:tcW w:w="34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4,797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70"/>
        </w:trPr>
        <w:tc>
          <w:tcPr>
            <w:tcW w:w="34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78"/>
        </w:trPr>
        <w:tc>
          <w:tcPr>
            <w:tcW w:w="34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(12,265)</w:t>
            </w:r>
          </w:p>
        </w:tc>
      </w:tr>
      <w:tr>
        <w:trPr>
          <w:trHeight w:val="189"/>
        </w:trPr>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(51,227)</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(42,515)</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(47,649)</w:t>
            </w:r>
          </w:p>
        </w:tc>
      </w:tr>
      <w:tr>
        <w:trPr>
          <w:trHeight w:val="540"/>
        </w:trPr>
        <w:tc>
          <w:tcPr>
            <w:tcW w:w="340" w:type="dxa"/>
            <w:vAlign w:val="bottom"/>
          </w:tcPr>
          <w:p>
            <w:pPr>
              <w:spacing w:after="0"/>
              <w:rPr>
                <w:sz w:val="24"/>
                <w:szCs w:val="24"/>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157,000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147,974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84,500</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(68,987)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(147,987)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(34,500)</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1,442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6,244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1,712</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(39,085)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(12,647)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(89,395)</w:t>
            </w:r>
          </w:p>
        </w:tc>
      </w:tr>
      <w:tr>
        <w:trPr>
          <w:trHeight w:val="270"/>
        </w:trPr>
        <w:tc>
          <w:tcPr>
            <w:tcW w:w="34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1,970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2,619</w:t>
            </w:r>
          </w:p>
        </w:tc>
      </w:tr>
      <w:tr>
        <w:trPr>
          <w:trHeight w:val="278"/>
        </w:trPr>
        <w:tc>
          <w:tcPr>
            <w:tcW w:w="34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(78)</w:t>
            </w:r>
          </w:p>
        </w:tc>
      </w:tr>
      <w:tr>
        <w:trPr>
          <w:trHeight w:val="243"/>
        </w:trPr>
        <w:tc>
          <w:tcPr>
            <w:tcW w:w="3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50,370</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(4,446)</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(35,142)</w:t>
            </w:r>
          </w:p>
        </w:tc>
      </w:tr>
      <w:tr>
        <w:trPr>
          <w:trHeight w:val="278"/>
        </w:trPr>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(1,104)</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(4,937)</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(2,858)</w:t>
            </w:r>
          </w:p>
        </w:tc>
      </w:tr>
      <w:tr>
        <w:trPr>
          <w:trHeight w:val="243"/>
        </w:trPr>
        <w:tc>
          <w:tcPr>
            <w:tcW w:w="34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11,827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(59,555)</w:t>
            </w:r>
          </w:p>
        </w:tc>
      </w:tr>
      <w:tr>
        <w:trPr>
          <w:trHeight w:val="278"/>
        </w:trPr>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50,611</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52,966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112,521</w:t>
            </w:r>
          </w:p>
        </w:tc>
      </w:tr>
      <w:tr>
        <w:trPr>
          <w:trHeight w:val="237"/>
        </w:trPr>
        <w:tc>
          <w:tcPr>
            <w:tcW w:w="3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62,438</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50,611</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52,966</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37"/>
        </w:trPr>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8,280</w:t>
            </w:r>
          </w:p>
        </w:tc>
        <w:tc>
          <w:tcPr>
            <w:tcW w:w="120" w:type="dxa"/>
            <w:vAlign w:val="bottom"/>
          </w:tcPr>
          <w:p>
            <w:pPr>
              <w:spacing w:after="0"/>
              <w:rPr>
                <w:sz w:val="24"/>
                <w:szCs w:val="24"/>
                <w:color w:val="auto"/>
              </w:rPr>
            </w:pP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9,891</w:t>
            </w:r>
          </w:p>
        </w:tc>
        <w:tc>
          <w:tcPr>
            <w:tcW w:w="120" w:type="dxa"/>
            <w:vAlign w:val="bottom"/>
          </w:tcPr>
          <w:p>
            <w:pPr>
              <w:spacing w:after="0"/>
              <w:rPr>
                <w:sz w:val="24"/>
                <w:szCs w:val="24"/>
                <w:color w:val="auto"/>
              </w:rPr>
            </w:pP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7,793</w:t>
            </w:r>
          </w:p>
        </w:tc>
      </w:tr>
      <w:tr>
        <w:trPr>
          <w:trHeight w:val="270"/>
        </w:trPr>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2,751</w:t>
            </w:r>
          </w:p>
        </w:tc>
        <w:tc>
          <w:tcPr>
            <w:tcW w:w="120" w:type="dxa"/>
            <w:vAlign w:val="bottom"/>
          </w:tcPr>
          <w:p>
            <w:pPr>
              <w:spacing w:after="0"/>
              <w:rPr>
                <w:sz w:val="23"/>
                <w:szCs w:val="23"/>
                <w:color w:val="auto"/>
              </w:rPr>
            </w:pP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1,208</w:t>
            </w:r>
          </w:p>
        </w:tc>
        <w:tc>
          <w:tcPr>
            <w:tcW w:w="120" w:type="dxa"/>
            <w:vAlign w:val="bottom"/>
          </w:tcPr>
          <w:p>
            <w:pPr>
              <w:spacing w:after="0"/>
              <w:rPr>
                <w:sz w:val="23"/>
                <w:szCs w:val="23"/>
                <w:color w:val="auto"/>
              </w:rPr>
            </w:pP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255</w:t>
            </w:r>
          </w:p>
        </w:tc>
      </w:tr>
    </w:tbl>
    <w:p>
      <w:pPr>
        <w:spacing w:after="0" w:line="319" w:lineRule="exact"/>
        <w:rPr>
          <w:sz w:val="20"/>
          <w:szCs w:val="20"/>
          <w:color w:val="auto"/>
        </w:rPr>
      </w:pPr>
    </w:p>
    <w:p>
      <w:pPr>
        <w:sectPr>
          <w:pgSz w:w="11900" w:h="16838" w:orient="portrait"/>
          <w:cols w:equalWidth="0" w:num="2">
            <w:col w:w="6020" w:space="720"/>
            <w:col w:w="4660"/>
          </w:cols>
          <w:pgMar w:left="240" w:top="118" w:right="259" w:bottom="879" w:gutter="0" w:footer="0" w:header="0"/>
          <w:type w:val="continuous"/>
        </w:sectPr>
      </w:pPr>
    </w:p>
    <w:p>
      <w:pPr>
        <w:jc w:val="center"/>
        <w:ind w:right="-1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ectPr>
          <w:pgSz w:w="11900" w:h="16838" w:orient="portrait"/>
          <w:cols w:equalWidth="0" w:num="1">
            <w:col w:w="11400"/>
          </w:cols>
          <w:pgMar w:left="240" w:top="118" w:right="259" w:bottom="879" w:gutter="0" w:footer="0" w:header="0"/>
          <w:type w:val="continuous"/>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00"/>
          </w:cols>
          <w:pgMar w:left="240" w:top="118" w:right="259" w:bottom="879" w:gutter="0" w:footer="0" w:header="0"/>
          <w:type w:val="continuous"/>
        </w:sectPr>
      </w:pPr>
    </w:p>
    <w:bookmarkStart w:id="45" w:name="page46"/>
    <w:bookmarkEnd w:id="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Universal Electronics Inc. ("UEI"), based in Southern California, develops and manufactures a broad line of easy-to-use, pre-programmed universal control products, audio-video ("AV") accessories and intelligent wireless security and smart home products as well as software designed to enable consumers to wirelessly connect, control and interact with an increasingly complex home entertainment, automation and security environment. In addition, over the past 30 years, we have developed a broad portfolio of patented technologies and a database of home connectivity software that we license to our customers, including many leading Fortune 500 companies.</w:t>
      </w:r>
    </w:p>
    <w:p>
      <w:pPr>
        <w:spacing w:after="0" w:line="134"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 xml:space="preserve">Our primary markets include cable and satellite television service provider, original equipment manufacturer ("OEM"), retail, private label, pro-security installation and personal computing companies. We sell directly to our customers, and for retail we also sell through distributors in Europe, Australia, New Zealand, South Africa, the Middle East, Mexico, and selected countries in Asia and Latin America under the </w:t>
      </w:r>
      <w:r>
        <w:rPr>
          <w:rFonts w:ascii="Arial" w:cs="Arial" w:eastAsia="Arial" w:hAnsi="Arial"/>
          <w:sz w:val="16"/>
          <w:szCs w:val="16"/>
          <w:i w:val="1"/>
          <w:iCs w:val="1"/>
          <w:color w:val="auto"/>
        </w:rPr>
        <w:t>One For All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Nevo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As used herein, the terms "we", "us" and "our" refer to Universal Electronics Inc. and its subsidiaries unless the context indicates to the contrary.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include our accounts and those of our wholly-owned subsidiaries and jointly owned entities in which we have a controlling interest. All intercompany accounts and transactions have been eliminated in the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and Assumptions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("U.S. GAAP")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allowances for sales returns and doubtful accounts, inventory valuation, our review for impairment of long-lived assets, intangible assets and goodwill, business combinations, income taxes, stock-based compensation expense and performance-based common stock warrants. Actual results may differ from these assumptions and estimates, and they may be adjusted as more information becomes available. Any adjustment may be material.</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revenue on the sale of products when title of the goods has transferred, there is persuasive evidence of an arrangement (such as when a purchase order is received from the customer), the sales price is fixed or determinable, and collectability is reasonably assured.</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provision recorded for estimated sales returns is deducted from gross sales to arrive at net sales in the period the related revenue is recorded. These estimates are based on historical sales returns, analysis of credit memo data and other known factors. We have no obligations after delivery of our products other than the associated warranties. See Note 13 for further information concerning our warranty obligations.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accrue for discounts and rebates based on historical experience and our expectations regarding future sales to our customers. Accruals for discounts and rebates are recorded as a reduction to sales in the same period as the related revenues. Changes in such accruals may be required if future rebates and incentives differ from our estimates.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Trade accounts receivable are recorded at the invoiced amount and do not bear interest. Sales allowances are recognized as reductions of gross accounts receivable to arrive at accounts receivable, net if the sales allowances are distributed in customer account credits. See Note 4 for further information concerning our sales allowances.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for the sale of tooling is recognized when the related tooling has been provided, customer acceptance documentation has been obtained, the sales price is fixed or determinable, and collectability is reasonably assured.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3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generate service revenue, which is paid monthly, as a result of providing consumer support programs to some of our customers through our call centers. These service revenues are recognized when services are performed, persuasive evidence of an arrangement exists (such as when a signed agreement is received from the customer), the sales price is fixed or determinable, and collectability is reasonably assured.</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license our intellectual property including our patented technologies, trademarks, and database of control codes. When our license fees are paid on a per unit basis we record license revenue when our customers ship a product incorporating our intellectual property, persuasive evidence of an arrangement exists, the sales price is fixed or determinable, and collectability is reasonably assured. When a fixed upfront license fee is received in exchange for the delivery of a particular database of infrared codes that represents the culmination of the earnings process, we record revenues when delivery has occurred, persuasive evidence of an arrangement exists, the sales price is fixed or determinable and collectability is reasonably assured. Revenue for term license fees is recognized on a straight-line basis over the effective term of the license when we cannot reliably predict in which periods, within the term of the license, the licensee will benefit from the use of our patented inventions.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present all non-income government-assessed taxes (sales, use and value added taxes) collected from our customers and remitted to governmental agencies on a net basis (excluded from revenue) in our financial statements. The government-assessed taxes are recorded in other accrued liabilities until they are remitted to the government agency.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tax expense includes U.S. and foreign income taxes. We account for income taxes using the liability method. We record deferred tax assets and deferred tax liabilities on our balance sheet for expected future tax consequences of events recognized in our financial statements in a different period than our tax return using enacted tax rates that will be in effect when these differences reverse. We record a valuation allowance to reduce net deferred tax assets if we determine that it is more likely than not that the deferred tax assets will not be realized. A current tax asset or liability is recognized for the estimated taxes refundable or payable for the current year.</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Accounting standards prescribe a recognition threshold and a measurement attribute for the financial statement recognition and measurement of positions taken or expected to be taken in a tax return. For those benefits to be recognized, a tax position must be more likely than not to be sustained upon examination by taxing authorities, or else a full reserve is established against the tax asset or a liability is recorded. A "more likely than not" tax position is measured as the largest amount of benefit that is greater than fifty percent likely of being realized upon ultimate settlement. See Note 9 for further information concerning income taxes.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are expensed as incurred and consist primarily of salaries, employee benefits, supplies and materials.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Advertising costs are expensed as incurred. Advertising expense totaled $1.1 million, $1.1 million, and $1.1 million for the years ended December 31, 2017, 2016 and 2015,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Fees and Costs</w:t>
      </w:r>
    </w:p>
    <w:p>
      <w:pPr>
        <w:spacing w:after="0" w:line="9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include shipping and handling fees billed to customers in net sales. Shipping and handling costs associated with in-bound freight are recorded in cost of goods sold. Other shipping and handling costs are included in selling, general and administrative expenses and totaled $12.2 million, $11.6 million and $12.7 million for the years ended December 31, 2017, 2016 and 2015,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the grant date fair value of stock-based compensation awards as expense in proportion to vesting during the requisite service period, which ranges from one to four years. Forfeitures of stock-based awards are accounted for as they occur.</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determine the fair value of restricted stock awards utilizing the average of the high and low trade prices of our Company's shares on the date they were granted.</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stock options granted to employees and directors is determined utilizing the Black-Scholes option pricing model. The assumptions utilized in the Black-Scholes model include the risk-free interest rate, expected volatility, and expected life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3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years. The risk-free interest rate over the expected term is equal to the prevailing U.S. Treasury note rate over the same period. Expected volatility is determined utilizing historical volatility over a period of time equal to the expected life of the stock option. Expected life is computed utilizing historical exercise patterns and post-vesting behavior. The dividend yield is assumed to be zero since we have not historically declared dividends and do not have any plans to declare dividends in the future. See Note 16 for further information regarding stock-based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Common Stock Warrants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measurement date for performance-based common stock warrants is the date on which the warrants vest. We recognize the fair value of performance-based common stock warrants as a reduction to net sales ratably as the warrants vest based on the projected number of warrants that will vest, the proportion of the performance criteria achieved by the customer within the period relative to the total performance required (aggregate purchase levels) for the warrants to vest and the then-current fair value of the related unvested warrants. If we do not have a reliable forecast of future purchases to be made by the customer by which to estimate the number of warrants that will vest, then the maximum number of potential warrants is assumed until such time that a reliable forecast of future purchases is available. To the extent that our projections change in the future as to the number of warrants that will vest, a cumulative catch-up adjustment will be recorded in the period in which our estimates change.</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performance-based common stock warrants is determined utilizing the Black-Scholes option pricing model. The assumptions utilized in the Black-Scholes model include the price of our common stock, the risk-free interest rate, expected volatility, and expected life in years. The price of our common stock is equal to the average of the high and low trade prices of our common stock on the measurement date. The risk-free interest rate over the expected life is equal to the prevailing U.S. Treasury note rate over the same period. Expected volatility is determined utilizing historical volatility over a period of time equal to the expected life of the warrant. Expected life is equal to the remaining contractual term of the warrant. The dividend yield is assumed to be zero since we have not historically declared dividends and do not have any plans to declare dividends in the future. See Note 17 for further information regarding performance-based common stock warrants.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and Foreign Currency Transactions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the U.S. Dollar as our functional currency for financial reporting purposes. The functional currency for most of our foreign subsidiaries is their local currency. The translation of foreign currencies into U.S. Dollars is performed for balance sheet accounts using exchange rates in effect at the balance sheet dates and for revenue and expense accounts using the average exchange rate during each period. The gains and losses resulting from the translation are included in the foreign currency translation adjustment account, a component of accumulated other comprehensive income in stockholders' equity, and are excluded from net income. The portions of intercompany accounts receivable and accounts payable that are intended for settlement are translated at exchange rates in effect at the balance sheet date. Our intercompany foreign investments and long-term debt that are not intended for settlement are translated using historical exchange rates.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Transaction gains and losses generated by the effect of changes in foreign currency exchange rates on recorded assets and liabilities denominated in a currency different than the functional currency of the applicable entity are recorded in other income (expense), net. See Note 18 for further information concerning transaction gains and losses.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 average number of common shares outstanding during the period. Diluted earnings per share is computed by dividing net income by the weighted average number of common shares and dilutive potential common shares, including the dilutive effect of stock option and restricted stock awards, outstanding during the period. Dilutive potential common shares for all periods presented are computed utilizing the treasury stock method; however, dilutive potential common shares are excluded where their inclusion would be anti-dilutive.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financial instruments consist primarily of cash and cash equivalents, restricted cash, accounts receivable, accounts payable, accrued liabilities and debt. The carrying value of our financial instruments approximates fair value as a result of their short maturities. See Notes 3, 4, 5, 8, 10, and 11 for further information concerning our financial instruments.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include cash accounts and all investments purchased with initial maturities of three months or less. Domestically we generally maintain balances in excess of federally insured limits. We attempt to mitigate our exposure to liquidity,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credit and other relevant risks by placing our cash and cash equivalents with financial institutions we believe are high quality. These financial institutions are located in many different geographic regions. As part of our cash and risk management processes, we perform periodic evaluations of the relative credit standing of our financial institutions. We have not sustained credit losses from instruments held at financial institutions. See Note 3 for further information concerning cash and cash equivalents.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maintain an allowance for doubtful accounts for estimated losses resulting from the inability of our customers to make payments for products sold or services rendered. The allowance for doubtful accounts is based on a variety of factors, including credit reviews, historical experience, length of time receivables are past due, current economic trends and changes in customer payment behavior.</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record specific provisions for individual accounts when we become aware of a customer's inability to meet its financial obligations to us, such as in the case of bankruptcy filings or deterioration in the customer's operating results or financial position. If circumstances related to a customer change, our estimates of the recoverability of the receivables would be further adjusted.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allowance for doubtful accounts.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Inventories consist of remote controls, wireless sensors and audio-video accessories as well as the related component parts and raw materials. Inventoriable costs include materials, labor, freight-in and manufacturing overhead related to the purchase and production of inventories. We value our inventories at the lower of cost or net realizable value. Cost is determined using the first-in, first-out method. We attempt to carry inventories in amounts necessary to satisfy our customer requirements on a timely basis. See Note 5 for further information concerning our inventories and suppliers.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Product innovations and technological advances may shorten a given product's life cycle. We continually monitor our inventories to identify any excess or obsolete items on hand. We write-down our inventories for estimated excess and obsolescence in an amount equal to the difference between the cost of the inventories and estimated net realizable value. These estimates are based upon management's judgment about future demand and market conditions.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Property, plant, and equipment are recorded at cost. The cost of property, plant, and equipment includes the purchase price of the asset and all expenditures necessary to prepare the asset for its intended use. We capitalize additions and improvements and expense maintenance and repairs as incurred. To qualify for capitalization, an asset, excluding computer equipment, must have a useful life greater than one year and a cost equal to or greater than $5,000 for individual assets or $5,000 for assets purchased in bulk. To qualify for capitalization, computer equipment, must have a useful life of greater than one year and a cost equal to or greater than $1,000 for individual assets or $5,000 for assets purchased in bulk.</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capitalize certain internal and external costs incurred to acquire or create internal use software, principally related to software coding, designing system interfaces and installation and testing of the software.</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financial reporting purposes, depreciation is calculated using the straight-line method over the estimated useful lives of the respective assets. When assets are retired or otherwise disposed of, the cost and accumulated depreciation are removed from the appropriate accounts and any gain or loss is included as a component of depreciation expense.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Estimated useful lives are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4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25-33 Years</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Tooling and equipment</w:t>
            </w:r>
          </w:p>
        </w:tc>
        <w:tc>
          <w:tcPr>
            <w:tcW w:w="4900" w:type="dxa"/>
            <w:vAlign w:val="bottom"/>
          </w:tcPr>
          <w:p>
            <w:pPr>
              <w:ind w:left="600"/>
              <w:spacing w:after="0"/>
              <w:rPr>
                <w:sz w:val="20"/>
                <w:szCs w:val="20"/>
                <w:color w:val="auto"/>
              </w:rPr>
            </w:pPr>
            <w:r>
              <w:rPr>
                <w:rFonts w:ascii="Arial" w:cs="Arial" w:eastAsia="Arial" w:hAnsi="Arial"/>
                <w:sz w:val="18"/>
                <w:szCs w:val="18"/>
                <w:color w:val="auto"/>
              </w:rPr>
              <w:t>2-7 Years</w:t>
            </w:r>
          </w:p>
        </w:tc>
      </w:tr>
      <w:tr>
        <w:trPr>
          <w:trHeight w:val="27"/>
        </w:trPr>
        <w:tc>
          <w:tcPr>
            <w:tcW w:w="650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4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3-5 Years</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Software</w:t>
            </w:r>
          </w:p>
        </w:tc>
        <w:tc>
          <w:tcPr>
            <w:tcW w:w="4900" w:type="dxa"/>
            <w:vAlign w:val="bottom"/>
          </w:tcPr>
          <w:p>
            <w:pPr>
              <w:ind w:left="600"/>
              <w:spacing w:after="0"/>
              <w:rPr>
                <w:sz w:val="20"/>
                <w:szCs w:val="20"/>
                <w:color w:val="auto"/>
              </w:rPr>
            </w:pPr>
            <w:r>
              <w:rPr>
                <w:rFonts w:ascii="Arial" w:cs="Arial" w:eastAsia="Arial" w:hAnsi="Arial"/>
                <w:sz w:val="18"/>
                <w:szCs w:val="18"/>
                <w:color w:val="auto"/>
              </w:rPr>
              <w:t>3-7 Years</w:t>
            </w:r>
          </w:p>
        </w:tc>
      </w:tr>
      <w:tr>
        <w:trPr>
          <w:trHeight w:val="27"/>
        </w:trPr>
        <w:tc>
          <w:tcPr>
            <w:tcW w:w="650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4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5-8 Years</w:t>
            </w:r>
          </w:p>
        </w:tc>
      </w:tr>
      <w:tr>
        <w:trPr>
          <w:trHeight w:val="229"/>
        </w:trPr>
        <w:tc>
          <w:tcPr>
            <w:tcW w:w="6500" w:type="dxa"/>
            <w:vAlign w:val="bottom"/>
          </w:tcPr>
          <w:p>
            <w:pPr>
              <w:ind w:left="40"/>
              <w:spacing w:after="0"/>
              <w:rPr>
                <w:sz w:val="20"/>
                <w:szCs w:val="20"/>
                <w:color w:val="auto"/>
              </w:rPr>
            </w:pPr>
            <w:r>
              <w:rPr>
                <w:rFonts w:ascii="Arial" w:cs="Arial" w:eastAsia="Arial" w:hAnsi="Arial"/>
                <w:sz w:val="18"/>
                <w:szCs w:val="18"/>
                <w:color w:val="auto"/>
              </w:rPr>
              <w:t>Leasehold and building improvements</w:t>
            </w:r>
          </w:p>
        </w:tc>
        <w:tc>
          <w:tcPr>
            <w:tcW w:w="4900" w:type="dxa"/>
            <w:vAlign w:val="bottom"/>
          </w:tcPr>
          <w:p>
            <w:pPr>
              <w:ind w:left="600"/>
              <w:spacing w:after="0"/>
              <w:rPr>
                <w:sz w:val="20"/>
                <w:szCs w:val="20"/>
                <w:color w:val="auto"/>
              </w:rPr>
            </w:pPr>
            <w:r>
              <w:rPr>
                <w:rFonts w:ascii="Arial" w:cs="Arial" w:eastAsia="Arial" w:hAnsi="Arial"/>
                <w:sz w:val="18"/>
                <w:szCs w:val="18"/>
                <w:color w:val="auto"/>
              </w:rPr>
              <w:t>Lesser of lease term or useful life</w:t>
            </w:r>
          </w:p>
        </w:tc>
      </w:tr>
      <w:tr>
        <w:trPr>
          <w:trHeight w:val="230"/>
        </w:trPr>
        <w:tc>
          <w:tcPr>
            <w:tcW w:w="6500" w:type="dxa"/>
            <w:vAlign w:val="bottom"/>
          </w:tcPr>
          <w:p>
            <w:pPr>
              <w:spacing w:after="0"/>
              <w:rPr>
                <w:sz w:val="20"/>
                <w:szCs w:val="20"/>
                <w:color w:val="auto"/>
              </w:rPr>
            </w:pPr>
          </w:p>
        </w:tc>
        <w:tc>
          <w:tcPr>
            <w:tcW w:w="4900" w:type="dxa"/>
            <w:vAlign w:val="bottom"/>
          </w:tcPr>
          <w:p>
            <w:pPr>
              <w:ind w:left="600"/>
              <w:spacing w:after="0"/>
              <w:rPr>
                <w:sz w:val="20"/>
                <w:szCs w:val="20"/>
                <w:color w:val="auto"/>
              </w:rPr>
            </w:pPr>
            <w:r>
              <w:rPr>
                <w:rFonts w:ascii="Arial" w:cs="Arial" w:eastAsia="Arial" w:hAnsi="Arial"/>
                <w:sz w:val="18"/>
                <w:szCs w:val="18"/>
                <w:color w:val="auto"/>
              </w:rPr>
              <w:t>(approximately 2 to 10 years)</w:t>
            </w:r>
          </w:p>
        </w:tc>
      </w:tr>
      <w:tr>
        <w:trPr>
          <w:trHeight w:val="405"/>
        </w:trPr>
        <w:tc>
          <w:tcPr>
            <w:tcW w:w="6500" w:type="dxa"/>
            <w:vAlign w:val="bottom"/>
          </w:tcPr>
          <w:p>
            <w:pPr>
              <w:spacing w:after="0"/>
              <w:rPr>
                <w:sz w:val="20"/>
                <w:szCs w:val="20"/>
                <w:color w:val="auto"/>
              </w:rPr>
            </w:pPr>
            <w:r>
              <w:rPr>
                <w:rFonts w:ascii="Arial" w:cs="Arial" w:eastAsia="Arial" w:hAnsi="Arial"/>
                <w:sz w:val="18"/>
                <w:szCs w:val="18"/>
                <w:color w:val="auto"/>
              </w:rPr>
              <w:t>See Note 6 for further information concerning our property, plant, and equipment.</w:t>
            </w:r>
          </w:p>
        </w:tc>
        <w:tc>
          <w:tcPr>
            <w:tcW w:w="490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 the excess purchase price of net tangible and intangible assets acquired over their estimated fair value as goodwill. We evaluate the carrying value of goodwill on December 31 of each year and between annual evaluations if events occur or circumstances change that may reduce the fair value of the reporting unit below its carrying amount. Such circumstances may include, but are not limited to: (1) a significant adverse change in legal factors or in business climate, (2) unanticipated competition, or (3) an adverse action or assessment by a regulator.</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evaluate whether goodwill is impaired, we conduct a two-step quantitative goodwill impairment test. In the first step we compare the estimated fair value of our single reporting unit to the reporting unit's carrying amount, including goodwill. We estimate the fair value of our reporting unit based on income and market approaches. Under the income approach, we calculate the fair value based on the present value of estimated future cash flows. Under the market approach, we estimate the fair value based on market multiples of enterprise value to EBITDA for comparable companies. If the carrying value of the net assets assigned to the reporting unit exceeds the fair value of the reporting unit, then we perform the second step of the impairment test in order to determine the implied fair value of the reporting unit's goodwill. To calculate the implied fair value of the reporting unit's goodwill, the fair value of the reporting unit is first allocated to all of the other assets and liabilities of that unit based on their fair values. The excess of the reporting unit's fair value over the amount assigned to its other assets and liabilities is the implied fair value of goodwill. An impairment loss would be recognized equal to the amount by which the carrying value of goodwill exceeds its implied fair value.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See Note 7 for further information concerning goodwill.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and Intangible Assets Impairment</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Intangible assets consist of distribution rights, patents, trademarks and trade names, developed and core technologies, capitalized software development costs (see also Note 2 under the caption </w:t>
      </w:r>
      <w:r>
        <w:rPr>
          <w:rFonts w:ascii="Arial" w:cs="Arial" w:eastAsia="Arial" w:hAnsi="Arial"/>
          <w:sz w:val="18"/>
          <w:szCs w:val="18"/>
          <w:i w:val="1"/>
          <w:iCs w:val="1"/>
          <w:color w:val="auto"/>
        </w:rPr>
        <w:t>Capitalized Software Development Costs</w:t>
      </w:r>
      <w:r>
        <w:rPr>
          <w:rFonts w:ascii="Arial" w:cs="Arial" w:eastAsia="Arial" w:hAnsi="Arial"/>
          <w:sz w:val="18"/>
          <w:szCs w:val="18"/>
          <w:color w:val="auto"/>
        </w:rPr>
        <w:t>), customer relationships and order backlog. Capitalized amounts related to patents represent external legal costs for the application, maintenance and extension of the useful life of patents. Intangible assets are amortized using the straight-line method over their estimated period of benefit, ranging from one to 15 years.</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assess the impairment of long-lived assets and intangible assets whenever events or changes in circumstances indicate that the carrying value may not be recoverable. Factors considered important which may trigger an impairment review include the following: (1) significant underperformance relative to historical or projected future operating results; (2) significant changes in the manner or use of the assets or strategy for the overall business; (3) significant negative industry or economic trends and (4) a significant decline in our stock price for a sustained period.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an impairment review when we determine that the carrying value of a long-lived or intangible asset may not be recoverable based upon the existence of one or more of the above indicators of impairment. The asset is impaired if its carrying value exceeds the sum of the undiscounted cash flows expected to result from the use and eventual disposition of the asset. In assessing recoverability, we make assumptions regarding estimated future cash flows and other factors.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impairment loss is the amount by which the carrying value of an asset exceeds its fair value. We estimate fair value utilizing the projected discounted cash flow method and a discount rate determined by our management to be commensurate with the risk inherent in our current business model. When calculating fair value, we make assumptions regarding estimated future cash flows, discount rates and other factors.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See Notes 6 and 15 for further information concerning long-lived assets. See Note 7 for further information concerning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 Development Costs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Costs incurred to develop software for resale are expensed when incurred as research and development expense until technological feasibility has been established. We have determined that technological feasibility for our products is typically established when a working prototype is complete. Once technological feasibility is established, software development costs are capitalized until the product is available for general release to customers.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Capitalized software development costs are amortized on a product-by-product basis. Amortization is recorded in cost of sales and is the greater of the amounts computed using:</w:t>
      </w:r>
    </w:p>
    <w:p>
      <w:pPr>
        <w:spacing w:after="0" w:line="116" w:lineRule="exact"/>
        <w:rPr>
          <w:sz w:val="20"/>
          <w:szCs w:val="20"/>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net book value at the beginning of the period multiplied by the ratio that current gross revenues for a product bear to the total of current and anticipated future gross revenues for that product; or</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straight-line method over the remaining estimated economic life of the product including the period being reported 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amortization of capitalized software development costs begins when the related product is available for general release to customers. The amortization period is generally two years.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compare the unamortized capitalized software development costs of a product to its net realizable value at each balance sheet date. The amount by which the unamortized capitalized software development costs exceed the product's net realizable value is written off. The net realizable value is the estimated future gross revenues of a product reduced by its estimated completion and disposal costs. Any remaining amount of capitalized software development costs are considered to be the cost for subsequent accounting periods and the amount of the write-down is not subsequently restored. See Note 7 for further information concerning capitalized software development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allocate the purchase price of acquired businesses to the tangible and intangible assets and the liabilities assumed based on their estimated fair values on the acquisition date. The excess of the purchase price over the fair value of net assets acquired is recorded as goodwill. We engage independent third-party appraisal firms to assist us in determining the fair values of assets acquired and liabilities assumed. Such valuations require management to make significant fair value estimates and assumptions, especially with respect to intangible assets and contingent consideration. Management estimates the fair value of certain intangible assets and contingent consideration by utilizing the following (but not limited to):</w:t>
      </w:r>
    </w:p>
    <w:p>
      <w:pPr>
        <w:spacing w:after="0" w:line="10" w:lineRule="exact"/>
        <w:rPr>
          <w:sz w:val="20"/>
          <w:szCs w:val="20"/>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cash flow from customer contracts, customer lists, distribution agreements, acquired developed technologies, trademarks, trade names and patents;</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expected costs to complete development of in-process technology into commercially viable products and cash flows from the products once they are completed;</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brand awareness and market position as well as assumptions regarding the period of time the brand will continue to be used in our product portfolio;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discount rates utilized in discounted cash flow models.</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those circumstances where an acquisition involves a contingent consideration arrangement, we recognize a liability equal to the fair value of the contingent payments we expect to make as of the acquisition date. We re-measure this liability at each reporting period and record changes in the fair value within operating expenses. Increases or decreases in the fair value of the contingent consideration liability can result from changes in discount periods and rates, as well as changes in the timing and amount of earnings estimates or in the timing or likelihood of achieving earnings-based milestones.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and cash flows of acquired businesses are included in our operating results from the date of acquisition.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See Note 22 for further information concerning business combinations.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foreign currency exposures are primarily concentrated in the Argentinian Peso, Brazilian Real, British Pound, Chinese Yuan Renminbi, Euro, Hong Kong Dollar, Indian Rupee, Japanese Yen and Mexican Peso. We periodically enter into foreign currency exchange contracts with terms normally lasting less than nine months to protect against the adverse effects that exchange-rate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fluctuations may have on our foreign currency-denominated receivables, payables, cash flows and reported income. We do not enter into financial instruments for speculation or trading purposes.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derivatives we enter into have not qualified for hedge accounting. The gains and losses on both the derivatives and the foreign currency-denominated balances are recorded as foreign exchange transaction gains or losses and are classified in other income (expense), net. Derivatives are recorded on the balance sheet at fair value. The estimated fair value of derivative financial instruments represents the amount required to enter into similar offsetting contracts with similar remaining maturities based on quoted market prices. See Note 20 for further information concerning derivatives.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Measurements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measure fair value using the framework established by the Financial Accounting Standards Board ("FASB") for fair value measurements and disclosures. This framework requires fair value to be determined based on the exchange price that would be received for an asset or paid to transfer a liability (an exit price) in the principal or most advantageous market for the asset or liability in an orderly transaction between market participants.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valuation techniques are based upon observable and unobservable inputs. Observable or market inputs reflect market data obtained from independent sources. Unobservable inputs require management to make certain assumptions and judgments based on the best information available. Observable inputs are the preferred data source. These two types of inputs result in the following fair value hierarchy:</w:t>
      </w:r>
    </w:p>
    <w:p>
      <w:pPr>
        <w:spacing w:after="0" w:line="127"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for identical instruments in active markets.</w:t>
      </w:r>
    </w:p>
    <w:p>
      <w:pPr>
        <w:spacing w:after="0" w:line="185" w:lineRule="exact"/>
        <w:rPr>
          <w:sz w:val="20"/>
          <w:szCs w:val="20"/>
          <w:color w:val="auto"/>
        </w:rPr>
      </w:pPr>
    </w:p>
    <w:p>
      <w:pPr>
        <w:jc w:val="both"/>
        <w:ind w:left="1060" w:right="60" w:hanging="1025"/>
        <w:spacing w:after="0" w:line="264" w:lineRule="auto"/>
        <w:tabs>
          <w:tab w:leader="none" w:pos="10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41"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Prices or valuations that require management inputs that are both significant to the fair value measurement and unobservable.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3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May 2014, the Financial Accounting Standards Board ("FASB") issued Accounting Standards Update ("ASU") 2014-09, "Revenue from Contracts with Customers," which will supersede most existing U.S. GAAP revenue recognition guidance. This new standard requires an entity to recognize revenue to depict the transfer of goods or services to customers in an amount that reflects the consideration to which an entity expects to be entitled in exchange for those goods or services. In addition, ASU 2014-09 contains expanded disclosure requirements relating to the nature, amount, timing, and uncertainty of revenue and cash flows arising from contracts with customers. As initially proposed, ASU 2014-09 would have been effective for fiscal periods beginning after December 15, 2016 and permits the use of either the full retrospective or modified retrospective transition method. In August 2015, the FASB postponed the effective date of this new revenue standard by one year. We have completed our review of customer contract terms and our assessment of the impact of adopting this standard on our revenue recognition policy, and have modified certain revenue recognition processes and controls to comply with ASU 2014-09, including the new disclosure requirements. The impact of this new guidance is primarily expected to accelerate revenue recognition for those contractual arrangements under which we manufacture and sell customized products that have no alternative use, as defined under ASU 2014-09 and related guidance and interpretations. In particular, to the extent that we have the right to payment such as a firm order or other contractual commitment from the customer, revenue associated with customized products will be recognized as those products are manufactured rather than when title for those products transfers to the customer. We also expect revenue recognition to be accelerated for licensing arrangements that contain minimum guarantees. We will implement ASU 2014-09 effective January 1, 2018, using the modified retrospective transition method. Thus prior periods will not be restated. We estimate that the cumulative effect as of the adoption date will be an increase to retained earnings of approximately $4 million to $5 million. The impact of the transition to this new accounting method on our future consolidated results of operations and financial position could be material and will be largely dependent upon the future timing of customer orders and the associated manufacturing of customized products.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July 2015, the FASB issued ASU 2015-11, "Simplifying the Measurement of Inventory," which states that inventory should be measured at the lower of cost and net realizable value. Net realizable value is defined as estimated selling price in the ordinary course of business, less reasonably predictable costs of completion, disposal and transportation. ASU 2015-11 is effective for fiscal periods beginning after December 15, 2016 and must be applied prospectively. The adoption of ASU 2015-11 did not have a material impact on our consolidated financial position or results of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3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November 2015, the FASB issued ASU 2015-17, "Balance Sheet Classification of Deferred Taxes." This new guidance requires all deferred tax assets and liabilities, along with any related valuation allowance, be classified as non-current on the balance sheet. ASU 2015-17 is effective for fiscal periods beginning after December 15, 2016 and may be adopted either prospectively or retrospectively. We prospectively adopted ASU 2015-17 effective January 1, 2017, and thus prior period balance sheets have not been adjusted. The adoption of ASU 2015-17 had no impact on our consolidated results of operations or cash flows.</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2016, the FASB issued ASU 2016-02, "Leases," which changes the accounting for leases and requires expanded disclosures about leasing activities. This new guidance will require lessees to recognize a right of use asset and a lease liability at the commencement date for all leases with terms greater than twelve months. Accounting by lessors is largely unchanged. ASU 2016-02 is effective for fiscal periods beginning after December 15, 2018 and must be adopted using a modified retrospective approach. Early adoption is permitted. We are currently evaluating the impact that ASU 2016-02 will have on our consolidated financial statements.</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March 2016, the FASB issued ASU 2016-09,"Improvements to Employee Share-Based Payment Accounting," which amends Accounting Standards Codification ("ASC") 718, "Compensation - Stock Compensation." ASU 2016-09 requires excess tax benefits and tax deficiencies to be recorded as a discrete adjustment to income tax expense when stock awards vest or are settled, rather than in paid-in capital when they impact income taxes payable. This new guidance also requires cash flows related to excess tax benefits from stock-based compensation to be presented with other income tax cash flows in operating activities, rather than separately as a financing activity, in the statement of cash flows. Additionally, ASU 2016-09 impacts the calculation of diluted weighted-average shares under the treasury stock method as the assumed proceeds from an employee vesting in or exercising a stock-based award are no longer increased or decreased by the amount of excess tax benefits or deficiencies taken to paid-in capital. We elected to adopt the provisions of ASU 2016-09 prospectively effective January 1, 2017. We also made the accounting policy election, as allowed by ASU 2016-09, to account for forfeitures of stock-based awards as they occur, rather than estimating forfeitures. The cumulative effect of adopting ASU 2016-09 was an increase of $1.5 million to deferred tax assets and an increase to retained earnings of $1.5 million, as of January 1, 2017, as a result of recognizing previously unrecognized excess tax benefits from stock-based compensation. There was no cumulative effect impact related to the change in accounting policy to account for forfeitures of stock-based awards when they occur as a result of our minimal historical forfeitures experience.</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2016, the FASB issued ASU 2016-15, "Classification of Certain Cash Receipts and Cash Payments," which amends ASC 230, "Statement of Cash Flows". This new guidance addresses eight specific cash flow issues with the objective of reducing the existing diversity in practice in how certain transactions are classified in the statement of cash flows. ASU 2016-15 is effective for fiscal periods beginning after December 15, 2017 and must be adopted retrospectively. Early adoption is permitted as long as all amendments are adopted in the same period. We are currently evaluating the impact that ASU 2016-15 will have on our consolidated financial statements.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2016, the FASB issued ASU 2016-16, "Intra-Entity Transfers of Assets Other Than Inventory," which changes the accounting for income taxes consequences of intra-entity transfers of assets other than inventory. Current guidance prohibits the recognition of current and deferred income taxes for an intra-entity asset transfer until the asset has been sold to an outside party. Under this new guidance, the income tax consequences of an intra-entity transfer of an asset other than inventory will be recognized when the transfer occurs. ASU 2016-16 is effective for fiscal periods beginning after December 15, 2017. Early adoption is permitted. The impact of the adoption of ASU 2016-16 could be material depending on the size of any intra-entity transfers we may implement in future periods.</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2016, the FASB issued ASU 2016-18,"Restricted Cash," which amends ASC 230, "Statement of Cash Flows." This new guidance addresses the classifications and presentation of changes in restricted cash in the statement of cash flows. ASU 2016-18 is effective for fiscal periods beginning after December 15, 2017 and must be adopted retrospectively. Early adoption is permitted. The adoption of ASU 2016-18 will modify our current disclosures by reclassifying certain amounts within the consolidated statement of cash flows, but is not expected to have a material effect on our consolidated financial statements.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2017, the FASB issued ASU 2017-04, "Simplifying the Test for Goodwill Impairment." This guidance simplifies how an entity is required to test goodwill for impairment by eliminating Step 2 from the goodwill impairment test. Instead, if the carrying amount of a reporting unit exceeds its fair value, an impairment loss will be recognized in an amount equal to that excess, limited to the total amount of goodwill allocated to the reporting unit. ASU 2017-04 is effective for fiscal periods beginning after December 31, 2019. Early adoption is permitted. We do not expect the adoption of ASU 2017-04 to have a material impact on our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Cash and Cash Equivalents and Restricted Cash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10,489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3,277</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People's Republic of China ("PRC")</w:t>
            </w:r>
          </w:p>
        </w:tc>
        <w:tc>
          <w:tcPr>
            <w:tcW w:w="4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23,283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22,142</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(excluding the PRC)</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5,260</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Europe</w:t>
            </w:r>
          </w:p>
        </w:tc>
        <w:tc>
          <w:tcPr>
            <w:tcW w:w="4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18,071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19,630</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 America</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9,190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302</w:t>
            </w:r>
          </w:p>
        </w:tc>
      </w:tr>
      <w:tr>
        <w:trPr>
          <w:trHeight w:val="257"/>
        </w:trPr>
        <w:tc>
          <w:tcPr>
            <w:tcW w:w="774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62,438</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50,611</w:t>
            </w:r>
          </w:p>
        </w:tc>
      </w:tr>
      <w:tr>
        <w:trPr>
          <w:trHeight w:val="20"/>
        </w:trPr>
        <w:tc>
          <w:tcPr>
            <w:tcW w:w="7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court order issued on September 4, 2015, we placed $4.6 million of cash into a collateralized surety bond. This bond had certain restrictions for liquidation and was therefore classified as restricted cash. On February 10, 2017, the $4.6 million surety bond was returned to us upon final settlement of the related litigation matter. Refer to Note 13 for further information about this litigation.</w:t>
      </w:r>
    </w:p>
    <w:p>
      <w:pPr>
        <w:spacing w:after="0" w:line="13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pending sale of our Guangzhou factory in the PRC (Note 13), the buyer made a cash deposit of RMB 32 million ($4.9 million based on December 31, 2017 exchange rates) into an escrow account on September 29, 2016. Under the terms of the escrow account, these funds will not be paid to us until the close of the sale. Accordingly, this deposit is presented as restricted cash within our consolidated balance sheet.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Accounts Receivable, Net and Revenue Concentrations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ind w:right="582"/>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receivables, gross</w:t>
            </w:r>
          </w:p>
        </w:tc>
        <w:tc>
          <w:tcPr>
            <w:tcW w:w="16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142,299</w:t>
            </w:r>
          </w:p>
        </w:tc>
        <w:tc>
          <w:tcPr>
            <w:tcW w:w="4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120,965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(1,064)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sales returns</w:t>
            </w:r>
          </w:p>
        </w:tc>
        <w:tc>
          <w:tcPr>
            <w:tcW w:w="16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380"/>
              <w:spacing w:after="0"/>
              <w:rPr>
                <w:sz w:val="20"/>
                <w:szCs w:val="20"/>
                <w:color w:val="auto"/>
              </w:rPr>
            </w:pPr>
            <w:r>
              <w:rPr>
                <w:rFonts w:ascii="Arial" w:cs="Arial" w:eastAsia="Arial" w:hAnsi="Arial"/>
                <w:sz w:val="18"/>
                <w:szCs w:val="18"/>
                <w:color w:val="auto"/>
              </w:rPr>
              <w:t>Net trade receivables</w:t>
            </w:r>
          </w:p>
        </w:tc>
        <w:tc>
          <w:tcPr>
            <w:tcW w:w="1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2"/>
              <w:spacing w:after="0"/>
              <w:rPr>
                <w:sz w:val="20"/>
                <w:szCs w:val="20"/>
                <w:color w:val="auto"/>
              </w:rPr>
            </w:pPr>
            <w:r>
              <w:rPr>
                <w:rFonts w:ascii="Arial" w:cs="Arial" w:eastAsia="Arial" w:hAnsi="Arial"/>
                <w:sz w:val="18"/>
                <w:szCs w:val="18"/>
                <w:color w:val="auto"/>
              </w:rPr>
              <w:t>140,673</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119,522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10,905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5,070</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tcPr>
          <w:p>
            <w:pPr>
              <w:jc w:val="right"/>
              <w:ind w:right="2"/>
              <w:spacing w:after="0"/>
              <w:rPr>
                <w:sz w:val="20"/>
                <w:szCs w:val="20"/>
                <w:color w:val="auto"/>
              </w:rPr>
            </w:pPr>
            <w:r>
              <w:rPr>
                <w:rFonts w:ascii="Arial" w:cs="Arial" w:eastAsia="Arial" w:hAnsi="Arial"/>
                <w:sz w:val="18"/>
                <w:szCs w:val="18"/>
                <w:color w:val="auto"/>
              </w:rPr>
              <w:t>151,578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124,592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vMerge w:val="restart"/>
          </w:tcPr>
          <w:p>
            <w:pPr>
              <w:spacing w:after="0"/>
              <w:rPr>
                <w:sz w:val="20"/>
                <w:szCs w:val="20"/>
                <w:color w:val="auto"/>
              </w:rPr>
            </w:pPr>
            <w:r>
              <w:rPr>
                <w:rFonts w:ascii="Arial" w:cs="Arial" w:eastAsia="Arial" w:hAnsi="Arial"/>
                <w:sz w:val="18"/>
                <w:szCs w:val="18"/>
                <w:i w:val="1"/>
                <w:iCs w:val="1"/>
                <w:color w:val="auto"/>
              </w:rPr>
              <w:t>Allowance for Doubtful Accounts</w:t>
            </w: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vMerge w:val="continu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4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140" w:type="dxa"/>
            <w:vAlign w:val="bottom"/>
          </w:tcPr>
          <w:p>
            <w:pPr>
              <w:spacing w:after="0"/>
              <w:rPr>
                <w:sz w:val="20"/>
                <w:szCs w:val="20"/>
                <w:color w:val="auto"/>
              </w:rPr>
            </w:pPr>
            <w:r>
              <w:rPr>
                <w:rFonts w:ascii="Arial" w:cs="Arial" w:eastAsia="Arial" w:hAnsi="Arial"/>
                <w:sz w:val="18"/>
                <w:szCs w:val="18"/>
                <w:color w:val="auto"/>
              </w:rPr>
              <w:t>Changes in the allowance for doubtful accounts were as follows:</w:t>
            </w: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9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904</w:t>
            </w:r>
          </w:p>
        </w:tc>
        <w:tc>
          <w:tcPr>
            <w:tcW w:w="1140" w:type="dxa"/>
            <w:vAlign w:val="bottom"/>
            <w:tcBorders>
              <w:bottom w:val="single" w:sz="8" w:color="CCEEFF"/>
            </w:tcBorders>
            <w:gridSpan w:val="2"/>
            <w:shd w:val="clear" w:color="auto" w:fill="CCEEFF"/>
          </w:tcPr>
          <w:p>
            <w:pPr>
              <w:jc w:val="right"/>
              <w:ind w:right="84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Additions to costs and expenses</w:t>
            </w:r>
          </w:p>
        </w:tc>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gridSpan w:val="3"/>
          </w:tcPr>
          <w:p>
            <w:pPr>
              <w:jc w:val="right"/>
              <w:ind w:right="1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(Write-offs)/Foreign exchange effects</w:t>
            </w:r>
          </w:p>
        </w:tc>
        <w:tc>
          <w:tcPr>
            <w:tcW w:w="16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16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42"/>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600" w:type="dxa"/>
            <w:vAlign w:val="bottom"/>
            <w:vMerge w:val="restart"/>
          </w:tcPr>
          <w:p>
            <w:pPr>
              <w:jc w:val="right"/>
              <w:ind w:right="850"/>
              <w:spacing w:after="0"/>
              <w:rPr>
                <w:sz w:val="20"/>
                <w:szCs w:val="20"/>
                <w:color w:val="auto"/>
              </w:rPr>
            </w:pPr>
            <w:r>
              <w:rPr>
                <w:rFonts w:ascii="Arial" w:cs="Arial" w:eastAsia="Arial" w:hAnsi="Arial"/>
                <w:sz w:val="18"/>
                <w:szCs w:val="18"/>
                <w:color w:val="auto"/>
              </w:rPr>
              <w:t>53</w:t>
            </w: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4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sales returns at December 31, 2017 and 2016 included reserves for items returned prior to year-end that were not completely processed, and therefore had not yet been removed from the allowance for sales returns balance. If these returns had been fully processed, the allowance for sales returns balance would have been approximately $0.4 million and $0.4 million on December 31, 2017 and 2016, respectively. The value of these returned goods was included in our inventory balance at December 31, 2017 and 2016.</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sales to the following customers totaled more than 10% of our net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right"/>
              <w:ind w:right="1108"/>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right"/>
              <w:ind w:right="1108"/>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2"/>
          </w:tcPr>
          <w:p>
            <w:pPr>
              <w:jc w:val="right"/>
              <w:ind w:right="144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52"/>
        </w:trPr>
        <w:tc>
          <w:tcPr>
            <w:tcW w:w="2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89"/>
              </w:rPr>
              <w:t>$ (thousands)</w:t>
            </w:r>
          </w:p>
        </w:tc>
        <w:tc>
          <w:tcPr>
            <w:tcW w:w="320" w:type="dxa"/>
            <w:vAlign w:val="bottom"/>
          </w:tcPr>
          <w:p>
            <w:pPr>
              <w:spacing w:after="0"/>
              <w:rPr>
                <w:sz w:val="13"/>
                <w:szCs w:val="13"/>
                <w:color w:val="auto"/>
              </w:rPr>
            </w:pPr>
          </w:p>
        </w:tc>
        <w:tc>
          <w:tcPr>
            <w:tcW w:w="15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9"/>
              </w:rPr>
              <w:t>% of Net</w:t>
            </w:r>
          </w:p>
        </w:tc>
        <w:tc>
          <w:tcPr>
            <w:tcW w:w="140" w:type="dxa"/>
            <w:vAlign w:val="bottom"/>
          </w:tcPr>
          <w:p>
            <w:pPr>
              <w:spacing w:after="0"/>
              <w:rPr>
                <w:sz w:val="13"/>
                <w:szCs w:val="13"/>
                <w:color w:val="auto"/>
              </w:rPr>
            </w:pPr>
          </w:p>
        </w:tc>
        <w:tc>
          <w:tcPr>
            <w:tcW w:w="10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89"/>
              </w:rPr>
              <w:t>$ (thousands)</w:t>
            </w:r>
          </w:p>
        </w:tc>
        <w:tc>
          <w:tcPr>
            <w:tcW w:w="320" w:type="dxa"/>
            <w:vAlign w:val="bottom"/>
          </w:tcPr>
          <w:p>
            <w:pPr>
              <w:spacing w:after="0"/>
              <w:rPr>
                <w:sz w:val="13"/>
                <w:szCs w:val="13"/>
                <w:color w:val="auto"/>
              </w:rPr>
            </w:pPr>
          </w:p>
        </w:tc>
        <w:tc>
          <w:tcPr>
            <w:tcW w:w="15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 of Net</w:t>
            </w:r>
          </w:p>
        </w:tc>
        <w:tc>
          <w:tcPr>
            <w:tcW w:w="140" w:type="dxa"/>
            <w:vAlign w:val="bottom"/>
          </w:tcPr>
          <w:p>
            <w:pPr>
              <w:spacing w:after="0"/>
              <w:rPr>
                <w:sz w:val="13"/>
                <w:szCs w:val="13"/>
                <w:color w:val="auto"/>
              </w:rPr>
            </w:pPr>
          </w:p>
        </w:tc>
        <w:tc>
          <w:tcPr>
            <w:tcW w:w="10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89"/>
              </w:rPr>
              <w:t>$ (thousands)</w:t>
            </w:r>
          </w:p>
        </w:tc>
        <w:tc>
          <w:tcPr>
            <w:tcW w:w="340" w:type="dxa"/>
            <w:vAlign w:val="bottom"/>
          </w:tcPr>
          <w:p>
            <w:pPr>
              <w:spacing w:after="0"/>
              <w:rPr>
                <w:sz w:val="13"/>
                <w:szCs w:val="13"/>
                <w:color w:val="auto"/>
              </w:rPr>
            </w:pPr>
          </w:p>
        </w:tc>
        <w:tc>
          <w:tcPr>
            <w:tcW w:w="1540" w:type="dxa"/>
            <w:vAlign w:val="bottom"/>
          </w:tcPr>
          <w:p>
            <w:pPr>
              <w:jc w:val="center"/>
              <w:ind w:right="268"/>
              <w:spacing w:after="0" w:line="153" w:lineRule="exact"/>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92"/>
        </w:trPr>
        <w:tc>
          <w:tcPr>
            <w:tcW w:w="24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Sales</w:t>
            </w:r>
          </w:p>
        </w:tc>
        <w:tc>
          <w:tcPr>
            <w:tcW w:w="3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Sales</w:t>
            </w:r>
          </w:p>
        </w:tc>
        <w:tc>
          <w:tcPr>
            <w:tcW w:w="3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87"/>
              </w:rPr>
              <w:t>Sales</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Comcast Corporation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159,829</w:t>
            </w:r>
          </w:p>
        </w:tc>
        <w:tc>
          <w:tcPr>
            <w:tcW w:w="152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w w:val="93"/>
              </w:rPr>
              <w:t>23.0%</w:t>
            </w: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149,476</w:t>
            </w:r>
          </w:p>
        </w:tc>
        <w:tc>
          <w:tcPr>
            <w:tcW w:w="154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w w:val="97"/>
              </w:rPr>
              <w:t>22.9%</w:t>
            </w: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129,475</w:t>
            </w:r>
          </w:p>
        </w:tc>
        <w:tc>
          <w:tcPr>
            <w:tcW w:w="188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AT&amp;T</w:t>
            </w: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77,888</w:t>
            </w:r>
          </w:p>
        </w:tc>
        <w:tc>
          <w:tcPr>
            <w:tcW w:w="1520" w:type="dxa"/>
            <w:vAlign w:val="bottom"/>
            <w:gridSpan w:val="2"/>
          </w:tcPr>
          <w:p>
            <w:pPr>
              <w:ind w:left="1020"/>
              <w:spacing w:after="0"/>
              <w:rPr>
                <w:sz w:val="20"/>
                <w:szCs w:val="20"/>
                <w:color w:val="auto"/>
              </w:rPr>
            </w:pPr>
            <w:r>
              <w:rPr>
                <w:rFonts w:ascii="Arial" w:cs="Arial" w:eastAsia="Arial" w:hAnsi="Arial"/>
                <w:sz w:val="18"/>
                <w:szCs w:val="18"/>
                <w:color w:val="auto"/>
              </w:rPr>
              <w:t>11.2</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74,704</w:t>
            </w:r>
          </w:p>
        </w:tc>
        <w:tc>
          <w:tcPr>
            <w:tcW w:w="1540" w:type="dxa"/>
            <w:vAlign w:val="bottom"/>
            <w:gridSpan w:val="2"/>
          </w:tcPr>
          <w:p>
            <w:pPr>
              <w:ind w:left="1040"/>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80,820</w:t>
            </w:r>
          </w:p>
        </w:tc>
        <w:tc>
          <w:tcPr>
            <w:tcW w:w="1880" w:type="dxa"/>
            <w:vAlign w:val="bottom"/>
            <w:gridSpan w:val="2"/>
          </w:tcPr>
          <w:p>
            <w:pPr>
              <w:ind w:left="10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associated with these significant customers that totaled more than 10% of our accounts receivable, net were as follows:</w:t>
      </w:r>
    </w:p>
    <w:p>
      <w:pPr>
        <w:spacing w:after="0" w:line="311"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130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2"/>
          </w:tcPr>
          <w:p>
            <w:pPr>
              <w:jc w:val="right"/>
              <w:ind w:right="142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52"/>
        </w:trPr>
        <w:tc>
          <w:tcPr>
            <w:tcW w:w="4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vMerge w:val="restart"/>
          </w:tcPr>
          <w:p>
            <w:pPr>
              <w:jc w:val="right"/>
              <w:ind w:right="186"/>
              <w:spacing w:after="0"/>
              <w:rPr>
                <w:sz w:val="20"/>
                <w:szCs w:val="20"/>
                <w:color w:val="auto"/>
              </w:rPr>
            </w:pPr>
            <w:r>
              <w:rPr>
                <w:rFonts w:ascii="Arial" w:cs="Arial" w:eastAsia="Arial" w:hAnsi="Arial"/>
                <w:sz w:val="14"/>
                <w:szCs w:val="14"/>
                <w:b w:val="1"/>
                <w:bCs w:val="1"/>
                <w:color w:val="auto"/>
                <w:w w:val="95"/>
              </w:rPr>
              <w:t>$ (thousands)</w:t>
            </w:r>
          </w:p>
        </w:tc>
        <w:tc>
          <w:tcPr>
            <w:tcW w:w="32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1300" w:type="dxa"/>
            <w:vAlign w:val="bottom"/>
          </w:tcPr>
          <w:p>
            <w:pPr>
              <w:jc w:val="right"/>
              <w:ind w:right="181"/>
              <w:spacing w:after="0" w:line="153" w:lineRule="exact"/>
              <w:rPr>
                <w:sz w:val="20"/>
                <w:szCs w:val="20"/>
                <w:color w:val="auto"/>
              </w:rPr>
            </w:pPr>
            <w:r>
              <w:rPr>
                <w:rFonts w:ascii="Arial" w:cs="Arial" w:eastAsia="Arial" w:hAnsi="Arial"/>
                <w:sz w:val="14"/>
                <w:szCs w:val="14"/>
                <w:b w:val="1"/>
                <w:bCs w:val="1"/>
                <w:color w:val="auto"/>
              </w:rPr>
              <w:t>% of Accounts</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89"/>
              </w:rPr>
              <w:t>$ (thousands)</w:t>
            </w:r>
          </w:p>
        </w:tc>
        <w:tc>
          <w:tcPr>
            <w:tcW w:w="220" w:type="dxa"/>
            <w:vAlign w:val="bottom"/>
          </w:tcPr>
          <w:p>
            <w:pPr>
              <w:spacing w:after="0"/>
              <w:rPr>
                <w:sz w:val="13"/>
                <w:szCs w:val="13"/>
                <w:color w:val="auto"/>
              </w:rPr>
            </w:pPr>
          </w:p>
        </w:tc>
        <w:tc>
          <w:tcPr>
            <w:tcW w:w="1640" w:type="dxa"/>
            <w:vAlign w:val="bottom"/>
          </w:tcPr>
          <w:p>
            <w:pPr>
              <w:jc w:val="center"/>
              <w:ind w:right="148"/>
              <w:spacing w:after="0" w:line="153" w:lineRule="exact"/>
              <w:rPr>
                <w:sz w:val="20"/>
                <w:szCs w:val="20"/>
                <w:color w:val="auto"/>
              </w:rPr>
            </w:pPr>
            <w:r>
              <w:rPr>
                <w:rFonts w:ascii="Arial" w:cs="Arial" w:eastAsia="Arial" w:hAnsi="Arial"/>
                <w:sz w:val="14"/>
                <w:szCs w:val="14"/>
                <w:b w:val="1"/>
                <w:bCs w:val="1"/>
                <w:color w:val="auto"/>
                <w:w w:val="92"/>
              </w:rPr>
              <w:t>% of Accounts</w:t>
            </w:r>
          </w:p>
        </w:tc>
        <w:tc>
          <w:tcPr>
            <w:tcW w:w="0" w:type="dxa"/>
            <w:vAlign w:val="bottom"/>
          </w:tcPr>
          <w:p>
            <w:pPr>
              <w:spacing w:after="0"/>
              <w:rPr>
                <w:sz w:val="1"/>
                <w:szCs w:val="1"/>
                <w:color w:val="auto"/>
              </w:rPr>
            </w:pPr>
          </w:p>
        </w:tc>
      </w:tr>
      <w:tr>
        <w:trPr>
          <w:trHeight w:val="192"/>
        </w:trPr>
        <w:tc>
          <w:tcPr>
            <w:tcW w:w="47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Receivable, Net</w:t>
            </w:r>
          </w:p>
        </w:tc>
        <w:tc>
          <w:tcPr>
            <w:tcW w:w="3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0"/>
              </w:rPr>
              <w:t>Receivable, Net</w:t>
            </w: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Comcast Corporation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8"/>
                <w:szCs w:val="18"/>
                <w:color w:val="auto"/>
              </w:rPr>
              <w:t>25,142</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23,716</w:t>
            </w:r>
          </w:p>
        </w:tc>
        <w:tc>
          <w:tcPr>
            <w:tcW w:w="18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347"/>
        </w:trPr>
        <w:tc>
          <w:tcPr>
            <w:tcW w:w="4760" w:type="dxa"/>
            <w:vAlign w:val="bottom"/>
          </w:tcPr>
          <w:p>
            <w:pPr>
              <w:ind w:left="40"/>
              <w:spacing w:after="0"/>
              <w:rPr>
                <w:sz w:val="20"/>
                <w:szCs w:val="20"/>
                <w:color w:val="auto"/>
              </w:rPr>
            </w:pPr>
            <w:r>
              <w:rPr>
                <w:rFonts w:ascii="Arial" w:cs="Arial" w:eastAsia="Arial" w:hAnsi="Arial"/>
                <w:sz w:val="18"/>
                <w:szCs w:val="18"/>
                <w:color w:val="auto"/>
              </w:rPr>
              <w:t>AT&amp;T</w:t>
            </w:r>
          </w:p>
        </w:tc>
        <w:tc>
          <w:tcPr>
            <w:tcW w:w="200" w:type="dxa"/>
            <w:vAlign w:val="bottom"/>
          </w:tcPr>
          <w:p>
            <w:pPr>
              <w:spacing w:after="0"/>
              <w:rPr>
                <w:sz w:val="24"/>
                <w:szCs w:val="24"/>
                <w:color w:val="auto"/>
              </w:rPr>
            </w:pPr>
          </w:p>
        </w:tc>
        <w:tc>
          <w:tcPr>
            <w:tcW w:w="1600" w:type="dxa"/>
            <w:vAlign w:val="bottom"/>
            <w:gridSpan w:val="3"/>
          </w:tcPr>
          <w:p>
            <w:pPr>
              <w:jc w:val="right"/>
              <w:ind w:right="280"/>
              <w:spacing w:after="0" w:line="347" w:lineRule="exact"/>
              <w:rPr>
                <w:sz w:val="20"/>
                <w:szCs w:val="20"/>
                <w:color w:val="auto"/>
              </w:rPr>
            </w:pPr>
            <w:r>
              <w:rPr>
                <w:rFonts w:ascii="Arial" w:cs="Arial" w:eastAsia="Arial" w:hAnsi="Arial"/>
                <w:sz w:val="36"/>
                <w:szCs w:val="36"/>
                <w:color w:val="auto"/>
                <w:vertAlign w:val="subscript"/>
              </w:rPr>
              <w:t>—</w:t>
            </w:r>
            <w:r>
              <w:rPr>
                <w:rFonts w:ascii="Arial" w:cs="Arial" w:eastAsia="Arial" w:hAnsi="Arial"/>
                <w:sz w:val="13"/>
                <w:szCs w:val="13"/>
                <w:color w:val="auto"/>
              </w:rPr>
              <w:t xml:space="preserve">  (1)</w:t>
            </w:r>
          </w:p>
        </w:tc>
        <w:tc>
          <w:tcPr>
            <w:tcW w:w="1300" w:type="dxa"/>
            <w:vAlign w:val="bottom"/>
          </w:tcPr>
          <w:p>
            <w:pPr>
              <w:jc w:val="right"/>
              <w:ind w:right="121"/>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83"/>
              <w:spacing w:after="0"/>
              <w:rPr>
                <w:sz w:val="20"/>
                <w:szCs w:val="20"/>
                <w:color w:val="auto"/>
              </w:rPr>
            </w:pPr>
            <w:r>
              <w:rPr>
                <w:rFonts w:ascii="Arial" w:cs="Arial" w:eastAsia="Arial" w:hAnsi="Arial"/>
                <w:sz w:val="13"/>
                <w:szCs w:val="13"/>
                <w:color w:val="auto"/>
                <w:w w:val="87"/>
              </w:rPr>
              <w:t>(1)</w:t>
            </w:r>
          </w:p>
        </w:tc>
        <w:tc>
          <w:tcPr>
            <w:tcW w:w="180" w:type="dxa"/>
            <w:vAlign w:val="bottom"/>
          </w:tcPr>
          <w:p>
            <w:pPr>
              <w:spacing w:after="0"/>
              <w:rPr>
                <w:sz w:val="24"/>
                <w:szCs w:val="24"/>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14,108</w:t>
            </w:r>
          </w:p>
        </w:tc>
        <w:tc>
          <w:tcPr>
            <w:tcW w:w="1860" w:type="dxa"/>
            <w:vAlign w:val="bottom"/>
            <w:gridSpan w:val="2"/>
          </w:tcPr>
          <w:p>
            <w:pPr>
              <w:ind w:left="11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bl>
    <w:p>
      <w:pPr>
        <w:ind w:left="200" w:hanging="192"/>
        <w:spacing w:after="0" w:line="199" w:lineRule="auto"/>
        <w:tabs>
          <w:tab w:leader="none" w:pos="200" w:val="left"/>
        </w:tabs>
        <w:numPr>
          <w:ilvl w:val="0"/>
          <w:numId w:val="22"/>
        </w:numPr>
        <w:rPr>
          <w:rFonts w:ascii="Arial" w:cs="Arial" w:eastAsia="Arial" w:hAnsi="Arial"/>
          <w:sz w:val="23"/>
          <w:szCs w:val="23"/>
          <w:color w:val="auto"/>
          <w:vertAlign w:val="superscript"/>
        </w:rPr>
      </w:pPr>
      <w:r>
        <w:rPr>
          <w:rFonts w:ascii="Arial" w:cs="Arial" w:eastAsia="Arial" w:hAnsi="Arial"/>
          <w:sz w:val="17"/>
          <w:szCs w:val="17"/>
          <w:color w:val="auto"/>
        </w:rPr>
        <w:t>Trade receivables associated with this customer did not total more than 10% of our accounts receivable, net at December 31, 2017.</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 Net and Significant Suppliers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8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43,638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33,059</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Components</w:t>
            </w:r>
          </w:p>
        </w:tc>
        <w:tc>
          <w:tcPr>
            <w:tcW w:w="3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16,214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15,046</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3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1,847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5,860</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3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105,178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80,119</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excess and obsolete inventory</w:t>
            </w:r>
          </w:p>
        </w:tc>
        <w:tc>
          <w:tcPr>
            <w:tcW w:w="34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37"/>
        </w:trPr>
        <w:tc>
          <w:tcPr>
            <w:tcW w:w="434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34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162,589</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129,879</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400" w:type="dxa"/>
            <w:vAlign w:val="bottom"/>
            <w:vMerge w:val="restart"/>
          </w:tcPr>
          <w:p>
            <w:pPr>
              <w:jc w:val="right"/>
              <w:ind w:right="1850"/>
              <w:spacing w:after="0"/>
              <w:rPr>
                <w:sz w:val="20"/>
                <w:szCs w:val="20"/>
                <w:color w:val="auto"/>
              </w:rPr>
            </w:pPr>
            <w:r>
              <w:rPr>
                <w:rFonts w:ascii="Arial" w:cs="Arial" w:eastAsia="Arial" w:hAnsi="Arial"/>
                <w:sz w:val="18"/>
                <w:szCs w:val="18"/>
                <w:color w:val="auto"/>
              </w:rPr>
              <w:t>54</w:t>
            </w: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400" w:type="dxa"/>
            <w:vAlign w:val="bottom"/>
            <w:vMerge w:val="continue"/>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4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Excess and Obsolete Inventory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reserve for excess and obsolete inventory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2015</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2,539</w:t>
            </w: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Additions charged to costs and expenses </w:t>
            </w:r>
            <w:r>
              <w:rPr>
                <w:rFonts w:ascii="Arial" w:cs="Arial" w:eastAsia="Arial" w:hAnsi="Arial"/>
                <w:sz w:val="25"/>
                <w:szCs w:val="25"/>
                <w:color w:val="auto"/>
                <w:vertAlign w:val="superscript"/>
              </w:rPr>
              <w:t>(1)</w:t>
            </w:r>
          </w:p>
        </w:tc>
        <w:tc>
          <w:tcPr>
            <w:tcW w:w="420" w:type="dxa"/>
            <w:vAlign w:val="bottom"/>
          </w:tcPr>
          <w:p>
            <w:pPr>
              <w:spacing w:after="0"/>
              <w:rPr>
                <w:sz w:val="23"/>
                <w:szCs w:val="23"/>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3,685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3,464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3,070</w:t>
            </w: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Sell through </w:t>
            </w:r>
            <w:r>
              <w:rPr>
                <w:rFonts w:ascii="Arial" w:cs="Arial" w:eastAsia="Arial" w:hAnsi="Arial"/>
                <w:sz w:val="25"/>
                <w:szCs w:val="25"/>
                <w:color w:val="auto"/>
                <w:vertAlign w:val="superscript"/>
              </w:rPr>
              <w:t>(2)</w:t>
            </w: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(Write-offs)/Foreign exchange effects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(1,456)</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4,288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4,205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3,045</w:t>
            </w: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26"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The additions charged to costs and expenses do not include inventory directly written-off that was scrapped during production totaling $0.4 million, $0.3 million, and $0.3 million for the years ended December 31, 2017, 2016, and 2015, respectively. These amounts are production waste and are not included in management’s reserve for excess and obsolete inventory.</w:t>
      </w:r>
    </w:p>
    <w:p>
      <w:pPr>
        <w:spacing w:after="0" w:line="2" w:lineRule="exact"/>
        <w:rPr>
          <w:rFonts w:ascii="Arial" w:cs="Arial" w:eastAsia="Arial" w:hAnsi="Arial"/>
          <w:sz w:val="25"/>
          <w:szCs w:val="25"/>
          <w:color w:val="auto"/>
          <w:vertAlign w:val="superscript"/>
        </w:rPr>
      </w:pPr>
    </w:p>
    <w:p>
      <w:pPr>
        <w:ind w:left="660" w:hanging="328"/>
        <w:spacing w:after="0" w:line="180"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These amounts represent the reversal of reserves associated with inventory items that were sold during the period.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purchase integrated circuits, components and finished goods from multiple sources. Purchases from the following supplier totaled more than 10% of our total inventory purchases: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4"/>
                <w:szCs w:val="14"/>
                <w:b w:val="1"/>
                <w:bCs w:val="1"/>
                <w:color w:val="auto"/>
                <w:w w:val="93"/>
              </w:rPr>
              <w:t>Year Ended December 31,</w:t>
            </w: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ind w:right="130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ind w:right="1242"/>
              <w:spacing w:after="0"/>
              <w:rPr>
                <w:sz w:val="20"/>
                <w:szCs w:val="20"/>
                <w:color w:val="auto"/>
              </w:rPr>
            </w:pPr>
            <w:r>
              <w:rPr>
                <w:rFonts w:ascii="Arial" w:cs="Arial" w:eastAsia="Arial" w:hAnsi="Arial"/>
                <w:sz w:val="14"/>
                <w:szCs w:val="14"/>
                <w:b w:val="1"/>
                <w:bCs w:val="1"/>
                <w:color w:val="auto"/>
                <w:w w:val="93"/>
              </w:rPr>
              <w:t xml:space="preserve">2015 </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152"/>
        </w:trPr>
        <w:tc>
          <w:tcPr>
            <w:tcW w:w="1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8"/>
              </w:rPr>
              <w:t>$ (thousands)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 of Total</w:t>
            </w:r>
          </w:p>
        </w:tc>
        <w:tc>
          <w:tcPr>
            <w:tcW w:w="116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w w:val="98"/>
              </w:rPr>
              <w:t>$ (thousands)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 of Total</w:t>
            </w:r>
          </w:p>
        </w:tc>
        <w:tc>
          <w:tcPr>
            <w:tcW w:w="11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 (thousands)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 of Total</w:t>
            </w:r>
          </w:p>
        </w:tc>
        <w:tc>
          <w:tcPr>
            <w:tcW w:w="0" w:type="dxa"/>
            <w:vAlign w:val="bottom"/>
          </w:tcPr>
          <w:p>
            <w:pPr>
              <w:spacing w:after="0"/>
              <w:rPr>
                <w:sz w:val="1"/>
                <w:szCs w:val="1"/>
                <w:color w:val="auto"/>
              </w:rPr>
            </w:pPr>
          </w:p>
        </w:tc>
      </w:tr>
      <w:tr>
        <w:trPr>
          <w:trHeight w:val="192"/>
        </w:trPr>
        <w:tc>
          <w:tcPr>
            <w:tcW w:w="18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Inventory Purchases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Texas Instruments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42,058</w:t>
            </w:r>
          </w:p>
        </w:tc>
        <w:tc>
          <w:tcPr>
            <w:tcW w:w="2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10.0%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42,370</w:t>
            </w:r>
          </w:p>
        </w:tc>
        <w:tc>
          <w:tcPr>
            <w:tcW w:w="20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11.7%  $</w:t>
            </w:r>
          </w:p>
        </w:tc>
        <w:tc>
          <w:tcPr>
            <w:tcW w:w="1120" w:type="dxa"/>
            <w:vAlign w:val="bottom"/>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 w:lineRule="exact"/>
        <w:rPr>
          <w:sz w:val="20"/>
          <w:szCs w:val="20"/>
          <w:color w:val="auto"/>
        </w:rPr>
      </w:pPr>
    </w:p>
    <w:p>
      <w:pPr>
        <w:ind w:left="200" w:hanging="192"/>
        <w:spacing w:after="0"/>
        <w:tabs>
          <w:tab w:leader="none" w:pos="200" w:val="left"/>
        </w:tabs>
        <w:numPr>
          <w:ilvl w:val="0"/>
          <w:numId w:val="24"/>
        </w:numPr>
        <w:rPr>
          <w:rFonts w:ascii="Arial" w:cs="Arial" w:eastAsia="Arial" w:hAnsi="Arial"/>
          <w:sz w:val="23"/>
          <w:szCs w:val="23"/>
          <w:color w:val="auto"/>
          <w:vertAlign w:val="superscript"/>
        </w:rPr>
      </w:pPr>
      <w:r>
        <w:rPr>
          <w:rFonts w:ascii="Arial" w:cs="Arial" w:eastAsia="Arial" w:hAnsi="Arial"/>
          <w:sz w:val="17"/>
          <w:szCs w:val="17"/>
          <w:color w:val="auto"/>
        </w:rPr>
        <w:t>No single supplier provided more than 10% of our total inventory purchases during the year ended December 31, 2015.</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Supplier</w:t>
      </w:r>
    </w:p>
    <w:p>
      <w:pPr>
        <w:spacing w:after="0" w:line="9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purchase certain printed circuit board assemblies from a related party supplier. The supplier is considered a related party for financial reporting purposes because our Senior Vice President of Strategic Operations owns 40% of this supplier. Inventory purchases from this supplier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4"/>
                <w:szCs w:val="14"/>
                <w:b w:val="1"/>
                <w:bCs w:val="1"/>
                <w:color w:val="auto"/>
                <w:w w:val="93"/>
              </w:rPr>
              <w:t>Year Ended December 31,</w:t>
            </w: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ind w:right="130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152"/>
        </w:trPr>
        <w:tc>
          <w:tcPr>
            <w:tcW w:w="1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8"/>
              </w:rPr>
              <w:t>$ (thousands)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 of Total Inventory</w:t>
            </w:r>
          </w:p>
        </w:tc>
        <w:tc>
          <w:tcPr>
            <w:tcW w:w="116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8"/>
              </w:rPr>
              <w:t>$ (thousands)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 of Total Inventory</w:t>
            </w:r>
          </w:p>
        </w:tc>
        <w:tc>
          <w:tcPr>
            <w:tcW w:w="116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8"/>
              </w:rPr>
              <w:t>$ (thousands)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 of Total Inventory</w:t>
            </w:r>
          </w:p>
        </w:tc>
        <w:tc>
          <w:tcPr>
            <w:tcW w:w="0" w:type="dxa"/>
            <w:vAlign w:val="bottom"/>
          </w:tcPr>
          <w:p>
            <w:pPr>
              <w:spacing w:after="0"/>
              <w:rPr>
                <w:sz w:val="1"/>
                <w:szCs w:val="1"/>
                <w:color w:val="auto"/>
              </w:rPr>
            </w:pPr>
          </w:p>
        </w:tc>
      </w:tr>
      <w:tr>
        <w:trPr>
          <w:trHeight w:val="192"/>
        </w:trPr>
        <w:tc>
          <w:tcPr>
            <w:tcW w:w="18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0" w:type="dxa"/>
            <w:vAlign w:val="bottom"/>
          </w:tcPr>
          <w:p>
            <w:pPr>
              <w:spacing w:after="0"/>
              <w:rPr>
                <w:sz w:val="1"/>
                <w:szCs w:val="1"/>
                <w:color w:val="auto"/>
              </w:rPr>
            </w:pPr>
          </w:p>
        </w:tc>
      </w:tr>
      <w:tr>
        <w:trPr>
          <w:trHeight w:val="250"/>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Related party supplier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204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1.2%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6,350</w:t>
            </w:r>
          </w:p>
        </w:tc>
        <w:tc>
          <w:tcPr>
            <w:tcW w:w="206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1.8%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8,550</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59"/>
        </w:trPr>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599"/>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Total accounts payable to this supplier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48"/>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2016</w:t>
            </w:r>
          </w:p>
        </w:tc>
      </w:tr>
      <w:tr>
        <w:trPr>
          <w:trHeight w:val="264"/>
        </w:trPr>
        <w:tc>
          <w:tcPr>
            <w:tcW w:w="50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 (thousands)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 of Accounts Payable</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 (thousands)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 of Accounts Payable</w:t>
            </w: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Related party supplier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1.3%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5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Our payable terms and pricing with this supplier are consistent with the terms offered by other suppliers in the ordinary course of business. The accounting policies that we apply to our transactions with our related party supplier are consistent with those applied in transactions with independent third parties. Corporate management routinely monitors purchases from our related party supplier to ensure these purchases remain consistent with our business objectives.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Plant, and Equipment,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2016</w:t>
            </w: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37,937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48,367</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4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57,441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67,726</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Tooling</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37,191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31,773</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Leasehold and building improvements</w:t>
            </w:r>
          </w:p>
        </w:tc>
        <w:tc>
          <w:tcPr>
            <w:tcW w:w="4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15,748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22,680</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18,240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11,581</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4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5,620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3,794</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7,154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5,120</w:t>
            </w:r>
          </w:p>
        </w:tc>
      </w:tr>
      <w:tr>
        <w:trPr>
          <w:trHeight w:val="237"/>
        </w:trPr>
        <w:tc>
          <w:tcPr>
            <w:tcW w:w="77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179,331</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191,041</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(82,866)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(101,768)</w:t>
            </w:r>
          </w:p>
        </w:tc>
      </w:tr>
      <w:tr>
        <w:trPr>
          <w:trHeight w:val="237"/>
        </w:trPr>
        <w:tc>
          <w:tcPr>
            <w:tcW w:w="77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96,465</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89,273</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14,497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16,078</w:t>
            </w: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Total property, plant, and equipment, net</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110,962</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105,351</w:t>
            </w:r>
          </w:p>
        </w:tc>
      </w:tr>
      <w:tr>
        <w:trPr>
          <w:trHeight w:val="27"/>
        </w:trPr>
        <w:tc>
          <w:tcPr>
            <w:tcW w:w="7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including tooling depreciation which is recorded in cost of goods sold, was $24.4 million, $20.7 million and $15.6 million for the years ended December 31, 2017, 2016, and 2015, respectively.</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net book value of property, plant, and equipment located within the PRC was $93.6 million and $90.0 million on December 31, 2017 and 2016, respectively.</w:t>
      </w:r>
    </w:p>
    <w:p>
      <w:pPr>
        <w:spacing w:after="0" w:line="11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fourth quarter of 2017, we performed an impairment analysis over our factory assets in China, which was triggered primarily by the transition of a number of our customers to next generation products. Based on our forecasted future production, we determined that the realizable value of certain tooling and equipment was less than net book value. Accordingly, we recorded an impairment charge of $4.1 million, of which $3.8 million is recorded in cost of goods sold and the remaining $0.3 million is recorded in selling, general and administrative expenses, during the year ended December 31, 2017.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Construction in progress was as follows: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Buildings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Machinery and equipment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Tooling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Leasehold and building improvements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Software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construction in progress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3340"/>
        <w:spacing w:after="0" w:line="266" w:lineRule="auto"/>
        <w:rPr>
          <w:sz w:val="20"/>
          <w:szCs w:val="20"/>
          <w:color w:val="auto"/>
        </w:rPr>
      </w:pPr>
      <w:r>
        <w:rPr>
          <w:rFonts w:ascii="Arial" w:cs="Arial" w:eastAsia="Arial" w:hAnsi="Arial"/>
          <w:sz w:val="18"/>
          <w:szCs w:val="18"/>
          <w:b w:val="1"/>
          <w:bCs w:val="1"/>
          <w:color w:val="auto"/>
        </w:rPr>
        <w:t>UNIVERSAL ELECTRONICS INC. NOTES TO CONSOLIDATED FINANCIAL STATEMENTS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left="-4339"/>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23495</wp:posOffset>
            </wp:positionV>
            <wp:extent cx="22383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03" w:lineRule="exact"/>
        <w:rPr>
          <w:sz w:val="20"/>
          <w:szCs w:val="20"/>
          <w:color w:val="auto"/>
        </w:rPr>
      </w:pPr>
    </w:p>
    <w:p>
      <w:pPr>
        <w:ind w:left="5240"/>
        <w:spacing w:after="0"/>
        <w:tabs>
          <w:tab w:leader="none" w:pos="70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23495</wp:posOffset>
            </wp:positionV>
            <wp:extent cx="7246620" cy="180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jc w:val="both"/>
        <w:ind w:left="4560"/>
        <w:spacing w:after="0"/>
        <w:tabs>
          <w:tab w:leader="none" w:pos="5940" w:val="left"/>
          <w:tab w:leader="none" w:pos="6360" w:val="left"/>
          <w:tab w:leader="none" w:pos="7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118</w:t>
      </w:r>
    </w:p>
    <w:p>
      <w:pPr>
        <w:spacing w:after="0" w:line="63" w:lineRule="exact"/>
        <w:rPr>
          <w:sz w:val="20"/>
          <w:szCs w:val="20"/>
          <w:color w:val="auto"/>
        </w:rPr>
      </w:pPr>
    </w:p>
    <w:p>
      <w:pPr>
        <w:jc w:val="both"/>
        <w:ind w:left="5740"/>
        <w:spacing w:after="0"/>
        <w:tabs>
          <w:tab w:leader="none" w:pos="7520" w:val="left"/>
        </w:tabs>
        <w:rPr>
          <w:sz w:val="20"/>
          <w:szCs w:val="20"/>
          <w:color w:val="auto"/>
        </w:rPr>
      </w:pPr>
      <w:r>
        <w:rPr>
          <w:rFonts w:ascii="Arial" w:cs="Arial" w:eastAsia="Arial" w:hAnsi="Arial"/>
          <w:sz w:val="18"/>
          <w:szCs w:val="18"/>
          <w:color w:val="auto"/>
        </w:rPr>
        <w:t>3,884</w:t>
      </w:r>
      <w:r>
        <w:rPr>
          <w:sz w:val="20"/>
          <w:szCs w:val="20"/>
          <w:color w:val="auto"/>
        </w:rPr>
        <w:tab/>
      </w:r>
      <w:r>
        <w:rPr>
          <w:rFonts w:ascii="Arial" w:cs="Arial" w:eastAsia="Arial" w:hAnsi="Arial"/>
          <w:sz w:val="18"/>
          <w:szCs w:val="18"/>
          <w:color w:val="auto"/>
        </w:rPr>
        <w:t>4,625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31750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5740"/>
        <w:spacing w:after="0"/>
        <w:tabs>
          <w:tab w:leader="none" w:pos="7520" w:val="left"/>
        </w:tabs>
        <w:rPr>
          <w:sz w:val="20"/>
          <w:szCs w:val="20"/>
          <w:color w:val="auto"/>
        </w:rPr>
      </w:pPr>
      <w:r>
        <w:rPr>
          <w:rFonts w:ascii="Arial" w:cs="Arial" w:eastAsia="Arial" w:hAnsi="Arial"/>
          <w:sz w:val="16"/>
          <w:szCs w:val="16"/>
          <w:color w:val="auto"/>
        </w:rPr>
        <w:t>3,697</w:t>
      </w:r>
      <w:r>
        <w:rPr>
          <w:sz w:val="20"/>
          <w:szCs w:val="20"/>
          <w:color w:val="auto"/>
        </w:rPr>
        <w:tab/>
      </w:r>
      <w:r>
        <w:rPr>
          <w:rFonts w:ascii="Arial" w:cs="Arial" w:eastAsia="Arial" w:hAnsi="Arial"/>
          <w:sz w:val="16"/>
          <w:szCs w:val="16"/>
          <w:color w:val="auto"/>
        </w:rPr>
        <w:t>2,219</w:t>
      </w:r>
    </w:p>
    <w:p>
      <w:pPr>
        <w:spacing w:after="0" w:line="86" w:lineRule="exact"/>
        <w:rPr>
          <w:sz w:val="20"/>
          <w:szCs w:val="20"/>
          <w:color w:val="auto"/>
        </w:rPr>
      </w:pPr>
    </w:p>
    <w:p>
      <w:pPr>
        <w:ind w:left="5740"/>
        <w:spacing w:after="0"/>
        <w:tabs>
          <w:tab w:leader="none" w:pos="7520" w:val="left"/>
        </w:tabs>
        <w:rPr>
          <w:sz w:val="20"/>
          <w:szCs w:val="20"/>
          <w:color w:val="auto"/>
        </w:rPr>
      </w:pPr>
      <w:r>
        <w:rPr>
          <w:rFonts w:ascii="Arial" w:cs="Arial" w:eastAsia="Arial" w:hAnsi="Arial"/>
          <w:sz w:val="16"/>
          <w:szCs w:val="16"/>
          <w:color w:val="auto"/>
        </w:rPr>
        <w:t>1,014</w:t>
      </w:r>
      <w:r>
        <w:rPr>
          <w:sz w:val="20"/>
          <w:szCs w:val="20"/>
          <w:color w:val="auto"/>
        </w:rPr>
        <w:tab/>
      </w:r>
      <w:r>
        <w:rPr>
          <w:rFonts w:ascii="Arial" w:cs="Arial" w:eastAsia="Arial" w:hAnsi="Arial"/>
          <w:sz w:val="16"/>
          <w:szCs w:val="16"/>
          <w:color w:val="auto"/>
        </w:rPr>
        <w:t>1,335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46355</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jc w:val="both"/>
        <w:ind w:left="5740"/>
        <w:spacing w:after="0"/>
        <w:tabs>
          <w:tab w:leader="none" w:pos="7520" w:val="left"/>
        </w:tabs>
        <w:rPr>
          <w:sz w:val="20"/>
          <w:szCs w:val="20"/>
          <w:color w:val="auto"/>
        </w:rPr>
      </w:pPr>
      <w:r>
        <w:rPr>
          <w:rFonts w:ascii="Arial" w:cs="Arial" w:eastAsia="Arial" w:hAnsi="Arial"/>
          <w:sz w:val="18"/>
          <w:szCs w:val="18"/>
          <w:color w:val="auto"/>
        </w:rPr>
        <w:t>5,714</w:t>
      </w:r>
      <w:r>
        <w:rPr>
          <w:sz w:val="20"/>
          <w:szCs w:val="20"/>
          <w:color w:val="auto"/>
        </w:rPr>
        <w:tab/>
      </w:r>
      <w:r>
        <w:rPr>
          <w:rFonts w:ascii="Arial" w:cs="Arial" w:eastAsia="Arial" w:hAnsi="Arial"/>
          <w:sz w:val="18"/>
          <w:szCs w:val="18"/>
          <w:color w:val="auto"/>
        </w:rPr>
        <w:t>7,674</w:t>
      </w:r>
    </w:p>
    <w:p>
      <w:pPr>
        <w:spacing w:after="0" w:line="63" w:lineRule="exact"/>
        <w:rPr>
          <w:sz w:val="20"/>
          <w:szCs w:val="20"/>
          <w:color w:val="auto"/>
        </w:rPr>
      </w:pPr>
    </w:p>
    <w:p>
      <w:pPr>
        <w:jc w:val="both"/>
        <w:ind w:left="5880"/>
        <w:spacing w:after="0"/>
        <w:tabs>
          <w:tab w:leader="none" w:pos="766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31750</wp:posOffset>
            </wp:positionV>
            <wp:extent cx="7246620"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7" w:lineRule="exact"/>
        <w:rPr>
          <w:sz w:val="20"/>
          <w:szCs w:val="20"/>
          <w:color w:val="auto"/>
        </w:rPr>
      </w:pPr>
    </w:p>
    <w:p>
      <w:pPr>
        <w:jc w:val="both"/>
        <w:ind w:left="4560"/>
        <w:spacing w:after="0"/>
        <w:tabs>
          <w:tab w:leader="none" w:pos="5620" w:val="left"/>
          <w:tab w:leader="none" w:pos="6360" w:val="left"/>
          <w:tab w:leader="none" w:pos="7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14,497</w:t>
        <w:tab/>
        <w:t>$</w:t>
      </w:r>
      <w:r>
        <w:rPr>
          <w:sz w:val="20"/>
          <w:szCs w:val="20"/>
          <w:color w:val="auto"/>
        </w:rPr>
        <w:tab/>
      </w:r>
      <w:r>
        <w:rPr>
          <w:rFonts w:ascii="Arial" w:cs="Arial" w:eastAsia="Arial" w:hAnsi="Arial"/>
          <w:sz w:val="16"/>
          <w:szCs w:val="16"/>
          <w:color w:val="auto"/>
        </w:rPr>
        <w:t>16,078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48895</wp:posOffset>
            </wp:positionV>
            <wp:extent cx="22383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40" w:space="420"/>
            <w:col w:w="8060"/>
          </w:cols>
          <w:pgMar w:left="240" w:top="118" w:right="239" w:bottom="1440" w:gutter="0" w:footer="0" w:header="0"/>
        </w:sectPr>
      </w:pPr>
    </w:p>
    <w:p>
      <w:pPr>
        <w:spacing w:after="0" w:line="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expect that most of the assets under construction will be placed into service during the first six months of 2018. We will begin to depreciate the cost of these assets under construction once they are placed into service.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43,116</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Foreign exchange effects</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43,052</w:t>
            </w:r>
          </w:p>
        </w:tc>
      </w:tr>
      <w:tr>
        <w:trPr>
          <w:trHeight w:val="270"/>
        </w:trPr>
        <w:tc>
          <w:tcPr>
            <w:tcW w:w="99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Goodwill acquired during the period </w:t>
            </w:r>
            <w:r>
              <w:rPr>
                <w:rFonts w:ascii="Arial" w:cs="Arial" w:eastAsia="Arial" w:hAnsi="Arial"/>
                <w:sz w:val="25"/>
                <w:szCs w:val="25"/>
                <w:color w:val="auto"/>
                <w:vertAlign w:val="superscript"/>
              </w:rPr>
              <w:t>(1)</w:t>
            </w:r>
          </w:p>
        </w:tc>
        <w:tc>
          <w:tcPr>
            <w:tcW w:w="5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5,494</w:t>
            </w:r>
          </w:p>
        </w:tc>
      </w:tr>
      <w:tr>
        <w:trPr>
          <w:trHeight w:val="27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effects</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48,651</w:t>
            </w:r>
          </w:p>
        </w:tc>
      </w:tr>
      <w:tr>
        <w:trPr>
          <w:trHeight w:val="27"/>
        </w:trPr>
        <w:tc>
          <w:tcPr>
            <w:tcW w:w="99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660" w:hanging="328"/>
        <w:spacing w:after="0" w:line="216" w:lineRule="auto"/>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During 2017, we recognized $5.5 million of goodwill related to the Residential Control Systems, Inc. acquisition. Refer to Note 22 for further information about this acquisition.</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conducted annual goodwill impairment reviews on December 31, 2017, 2016, and 2015 utilizing significant unobservable inputs (level 3). Based on the analysis performed, we determined that our goodwill was not impaired.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18" w:right="239" w:bottom="1440" w:gutter="0" w:footer="0" w:header="0"/>
          <w:type w:val="continuous"/>
        </w:sectPr>
      </w:pPr>
    </w:p>
    <w:bookmarkStart w:id="58" w:name="page59"/>
    <w:bookmarkEnd w:id="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xml:space="preserve">Net </w:t>
            </w:r>
            <w:r>
              <w:rPr>
                <w:rFonts w:ascii="Arial" w:cs="Arial" w:eastAsia="Arial" w:hAnsi="Arial"/>
                <w:sz w:val="8"/>
                <w:szCs w:val="8"/>
                <w:b w:val="1"/>
                <w:bCs w:val="1"/>
                <w:color w:val="auto"/>
              </w:rPr>
              <w:t>(1)</w:t>
            </w:r>
          </w:p>
        </w:tc>
        <w:tc>
          <w:tcPr>
            <w:tcW w:w="380" w:type="dxa"/>
            <w:vAlign w:val="bottom"/>
          </w:tcPr>
          <w:p>
            <w:pPr>
              <w:spacing w:after="0"/>
              <w:rPr>
                <w:sz w:val="13"/>
                <w:szCs w:val="13"/>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9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 xml:space="preserve">Net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2"/>
        </w:trPr>
        <w:tc>
          <w:tcPr>
            <w:tcW w:w="3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rights (10 years)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Patents (10 years)</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13,250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7,940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12,038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7,263</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87"/>
              </w:rPr>
              <w:t xml:space="preserve">Trademarks and trade names (10 years) </w:t>
            </w:r>
            <w:r>
              <w:rPr>
                <w:rFonts w:ascii="Arial" w:cs="Arial" w:eastAsia="Arial" w:hAnsi="Arial"/>
                <w:sz w:val="25"/>
                <w:szCs w:val="25"/>
                <w:color w:val="auto"/>
                <w:w w:val="87"/>
                <w:vertAlign w:val="superscript"/>
              </w:rPr>
              <w:t>(2)</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2,786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1,192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Developed and core technology (5-15</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years)</w:t>
            </w:r>
          </w:p>
        </w:tc>
        <w:tc>
          <w:tcPr>
            <w:tcW w:w="26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12,560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(6,071)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6,489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12,585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(4,068)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8,517</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Capitalized software development costs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 years)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line="270" w:lineRule="exact"/>
              <w:rPr>
                <w:sz w:val="20"/>
                <w:szCs w:val="20"/>
                <w:color w:val="auto"/>
              </w:rPr>
            </w:pPr>
            <w:r>
              <w:rPr>
                <w:rFonts w:ascii="Arial" w:cs="Arial" w:eastAsia="Arial" w:hAnsi="Arial"/>
                <w:sz w:val="18"/>
                <w:szCs w:val="18"/>
                <w:color w:val="auto"/>
                <w:w w:val="94"/>
              </w:rPr>
              <w:t xml:space="preserve">Customer relationships (10-15 years) </w:t>
            </w:r>
            <w:r>
              <w:rPr>
                <w:rFonts w:ascii="Arial" w:cs="Arial" w:eastAsia="Arial" w:hAnsi="Arial"/>
                <w:sz w:val="25"/>
                <w:szCs w:val="25"/>
                <w:color w:val="auto"/>
                <w:w w:val="94"/>
                <w:vertAlign w:val="superscript"/>
              </w:rPr>
              <w:t>(2)</w:t>
            </w:r>
          </w:p>
        </w:tc>
        <w:tc>
          <w:tcPr>
            <w:tcW w:w="26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32,534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(19,395)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13,139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27,703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(16,344)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11,359</w:t>
            </w: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Order Backlog (1 year)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100" w:type="dxa"/>
            <w:vAlign w:val="bottom"/>
          </w:tcPr>
          <w:p>
            <w:pPr>
              <w:ind w:left="380"/>
              <w:spacing w:after="0"/>
              <w:rPr>
                <w:sz w:val="20"/>
                <w:szCs w:val="20"/>
                <w:color w:val="auto"/>
              </w:rPr>
            </w:pPr>
            <w:r>
              <w:rPr>
                <w:rFonts w:ascii="Arial" w:cs="Arial" w:eastAsia="Arial" w:hAnsi="Arial"/>
                <w:sz w:val="18"/>
                <w:szCs w:val="18"/>
                <w:color w:val="auto"/>
              </w:rPr>
              <w:t>Total intangible assets, net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61,766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(32,725)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29,041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55,170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(26,621)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28,549</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16" w:lineRule="auto"/>
        <w:tabs>
          <w:tab w:leader="none" w:pos="6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This table excludes the gross value of fully amortized intangible assets totaling $6.0 million and $10.2 million on December 31, 2017 and 2016, respectively.</w:t>
      </w:r>
    </w:p>
    <w:p>
      <w:pPr>
        <w:spacing w:after="0" w:line="203" w:lineRule="exact"/>
        <w:rPr>
          <w:rFonts w:ascii="Arial" w:cs="Arial" w:eastAsia="Arial" w:hAnsi="Arial"/>
          <w:sz w:val="25"/>
          <w:szCs w:val="25"/>
          <w:color w:val="auto"/>
          <w:vertAlign w:val="superscript"/>
        </w:rPr>
      </w:pPr>
    </w:p>
    <w:p>
      <w:pPr>
        <w:jc w:val="both"/>
        <w:ind w:left="660" w:right="20" w:hanging="328"/>
        <w:spacing w:after="0" w:line="238" w:lineRule="auto"/>
        <w:tabs>
          <w:tab w:leader="none" w:pos="660"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color w:val="auto"/>
        </w:rPr>
        <w:t>During the second quarter of 2017, we purchased a trade name valued at $0.4 million, which is being amortized ratably over eight years; customer relationships valued at $5.0 million, which are being amortized ratably over 10 years; and order backlog valued at $0.2 million, which is being amortized ratably over one year. Refer to Note 22 for further information regarding our purchase of these intangible assets.</w:t>
      </w:r>
    </w:p>
    <w:p>
      <w:pPr>
        <w:spacing w:after="0" w:line="14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Amortization expense is recorded in selling, general and administrative expenses, except amortization expense related to capitalized software development costs and order backlog, which is recorded in cost of sales. Amortization expense by statement of operations caption was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6,772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6,198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4,719</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amortization 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6,956</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8260" w:type="dxa"/>
            <w:vAlign w:val="bottom"/>
            <w:gridSpan w:val="3"/>
          </w:tcPr>
          <w:p>
            <w:pPr>
              <w:spacing w:after="0"/>
              <w:rPr>
                <w:sz w:val="20"/>
                <w:szCs w:val="20"/>
                <w:color w:val="auto"/>
              </w:rPr>
            </w:pPr>
            <w:r>
              <w:rPr>
                <w:rFonts w:ascii="Arial" w:cs="Arial" w:eastAsia="Arial" w:hAnsi="Arial"/>
                <w:sz w:val="18"/>
                <w:szCs w:val="18"/>
                <w:color w:val="auto"/>
                <w:w w:val="90"/>
              </w:rPr>
              <w:t>Estimated future annual amortization expense related to our intangible assets at December 31, 2017, is as follows: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2"/>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7,275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7,070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5,925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2,418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4,046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29,041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remaining weighted average amortization period of our intangible assets is 6.8 years.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18" w:right="2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Line of Credit</w:t>
      </w:r>
    </w:p>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October 27, 2017, we entered into a Second Amended and Restated Credit Agreement ("Second Amended Credit Agreement") with U.S. Bank National Association ("U.S. Bank") and Wells Fargo Bank, National Association. Under the Second Amended Credit Agreement, the existing revolving line of credit ("Credit Line") was increased from $125.0 million to $170.0 million and the expiration date remained November 1, 2019. The Credit Line may be used for working capital and other general corporate purposes including acquisitions, share repurchases and capital expenditures. Amounts available for borrowing under the Credit Line are reduced by the balance of any outstanding letters of credit. There were no outstanding letters of credit at December 31, 2017.</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 The applicable margins are calculated quarterly and vary based on our cash flow leverage ratio as set forth in the Second Amended Credit Agreement. The interest rate in effect at December 31, 2017 was 3.04%. There are no commitment fees or unused line fees under the Second Amended Credit Agreement.</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As of December 31, 2017, we were in compliance with the covenants and conditions of the Second Amended Credit Agreement.</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2017, we had $138.0 million outstanding under the Credit Line. Our total interest expense on borrowings was $2.7 million, $1.3 million and $0.3 million during the years ended December 31, 2017, 2016 and 2015,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2017, 2016 and 2015, pre-tax income (loss) was attributed to the following jurisdictions: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operations</w:t>
            </w:r>
          </w:p>
        </w:tc>
        <w:tc>
          <w:tcPr>
            <w:tcW w:w="1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(6,857)</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Foreign operations</w:t>
            </w:r>
          </w:p>
        </w:tc>
        <w:tc>
          <w:tcPr>
            <w:tcW w:w="1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20,140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25,023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42,832</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7,288</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25,188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35,975</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6"/>
              </w:rPr>
              <w:t>The provision for income taxes charged to operations was as follows:</w:t>
            </w:r>
          </w:p>
        </w:tc>
        <w:tc>
          <w:tcPr>
            <w:tcW w:w="1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2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expense:</w:t>
            </w:r>
          </w:p>
        </w:tc>
        <w:tc>
          <w:tcPr>
            <w:tcW w:w="1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U.S. federal</w:t>
            </w: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3,406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and local</w:t>
            </w:r>
          </w:p>
        </w:tc>
        <w:tc>
          <w:tcPr>
            <w:tcW w:w="1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Foreign</w:t>
            </w:r>
          </w:p>
        </w:tc>
        <w:tc>
          <w:tcPr>
            <w:tcW w:w="1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8,304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4,150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9,028</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w:t>
            </w:r>
          </w:p>
        </w:tc>
        <w:tc>
          <w:tcPr>
            <w:tcW w:w="14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11,943</w:t>
            </w:r>
          </w:p>
        </w:tc>
        <w:tc>
          <w:tcPr>
            <w:tcW w:w="0" w:type="dxa"/>
            <w:vAlign w:val="bottom"/>
          </w:tcPr>
          <w:p>
            <w:pPr>
              <w:spacing w:after="0"/>
              <w:rPr>
                <w:sz w:val="1"/>
                <w:szCs w:val="1"/>
                <w:color w:val="auto"/>
              </w:rPr>
            </w:pPr>
          </w:p>
        </w:tc>
      </w:tr>
      <w:tr>
        <w:trPr>
          <w:trHeight w:val="223"/>
        </w:trPr>
        <w:tc>
          <w:tcPr>
            <w:tcW w:w="5320" w:type="dxa"/>
            <w:vAlign w:val="bottom"/>
          </w:tcPr>
          <w:p>
            <w:pPr>
              <w:ind w:left="40"/>
              <w:spacing w:after="0"/>
              <w:rPr>
                <w:sz w:val="20"/>
                <w:szCs w:val="20"/>
                <w:color w:val="auto"/>
              </w:rPr>
            </w:pPr>
            <w:r>
              <w:rPr>
                <w:rFonts w:ascii="Arial" w:cs="Arial" w:eastAsia="Arial" w:hAnsi="Arial"/>
                <w:sz w:val="18"/>
                <w:szCs w:val="18"/>
                <w:color w:val="auto"/>
              </w:rPr>
              <w:t>Deferred tax (benefit) expense:</w:t>
            </w:r>
          </w:p>
        </w:tc>
        <w:tc>
          <w:tcPr>
            <w:tcW w:w="14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federal</w:t>
            </w:r>
          </w:p>
        </w:tc>
        <w:tc>
          <w:tcPr>
            <w:tcW w:w="1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(4,588)</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State and local</w:t>
            </w:r>
          </w:p>
        </w:tc>
        <w:tc>
          <w:tcPr>
            <w:tcW w:w="1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14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37"/>
        </w:trPr>
        <w:tc>
          <w:tcPr>
            <w:tcW w:w="532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14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5,829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(5,141)</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provision for income taxes</w:t>
            </w:r>
          </w:p>
        </w:tc>
        <w:tc>
          <w:tcPr>
            <w:tcW w:w="1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17,611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6,802</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59</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32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Net deferred tax assets were comprised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2016</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Inventory reserves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1,396</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Capitalized research costs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Capitalized inventory costs</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704</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operating losses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Acquired intangible assets</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136</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Income tax credits</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8,861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12,509</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Amortization of intangible assets</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deferred tax assets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16,360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23,389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(1,479)</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deferred tax liabilities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(5,424)</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deferred tax assets before valuation allowance</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12,292</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17,965</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Valuation allowance</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(8,635)</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3,490</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9,330</w:t>
            </w:r>
          </w:p>
        </w:tc>
      </w:tr>
      <w:tr>
        <w:trPr>
          <w:trHeight w:val="27"/>
        </w:trPr>
        <w:tc>
          <w:tcPr>
            <w:tcW w:w="79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provision for income taxes differs from the amount of income tax determined by applying the applicable U.S. statutory federal income tax rate to pre-tax income from operations as a result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 at statutory U.S. rate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12,232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Increase (decrease) in tax provision resulting from:</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and local taxes,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Foreign tax rate differential</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(5,762)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undistributed earnings, net of credits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Nondeductible items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874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 research and development credits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Non-territorial income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Withholding tax</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Change in deductibility of social insurance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649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Uncertain tax positions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 tax rate change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621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permanent benefit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17,611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6,802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18" w:right="239" w:bottom="1440" w:gutter="0" w:footer="0" w:header="0"/>
          <w:type w:val="continuous"/>
        </w:sectPr>
      </w:pPr>
    </w:p>
    <w:bookmarkStart w:id="61" w:name="page62"/>
    <w:bookmarkEnd w:id="6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3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2017, we had state Research and Experimentation ("R&amp;E") income tax credit carryforwards of $8.6 million. The state R&amp;E income tax credits do not have an expiration date.</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2017, we had federal, state and foreign net operating loss carryforwards of $17.0 thousand, $10.1 million and $1.8 million, respectively. The federal, state and foreign net operating loss carryforwards begin to expire during 2023, 2027 and 2022, respectively. Internal Revenue Code Section 382 places certain limitations on the annual amount of net operating loss carryforwards that may be utilized if certain changes to a company’s ownership occur. The annual federal limitation is approximately $0.6 million for 2017 and thereafter.</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December 31, 2017, we assessed the realizability of our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taxable income in carry-back years, the scheduled reversal of deferred tax liabilities, tax planning strategies and projected future taxable income in making this assessment. Due to uncertainties surrounding the realization of some of our deferred tax assets, we established a valuation allowance against certain deferred tax assets. This valuation allowance primarily relates to state R&amp;E income tax credits generated during prior years and the current year. Additionally, we recorded $0.2 million of valuation allowance during the year ended December 31, 2017 against certain deferred tax assets associated with our Guangzhou factory as a result of the pending sale of this factory and related transition of manufacturing activities (see Note 13 for further details). If and when recognized, the tax benefits relating to any reversal of valuation allowance will be recorded as a reduction of income tax expense. The total valuation allowance increased by $0.2 million and $2.0 million during the years ended December 31, 2017 and 2016, respectively.</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undistributed earnings of our foreign subsidiaries are considered to be indefinitely reinvested. Accordingly, no provision for state income taxes or foreign withholding taxes has been provided on such undistributed earnings. Determination of the potential amount of unrecognized deferred state income tax liability and foreign withholding taxes is not practicable because of the complexities associated with its hypothetical calculation.</w:t>
      </w:r>
    </w:p>
    <w:p>
      <w:pPr>
        <w:spacing w:after="0" w:line="1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2012, China's State Administration of Taxation ("SAT") issued Circular 15, which required us to reevaluate our foreign deferred tax assets relating to our Chinese subsidiaries. These subsidiaries have recorded a deferred tax asset for social insurance and housing funds with the intent of being able to deduct these expenses once such liabilities have been settled. Circular 15 stipulates that payments into the aforementioned funds must be made within five years of recording the initial accrual or the tax deduction for these expenses will be forfeited. At December 31, 2017, we evaluated fund payments made prior to the preceding five years and determined that none of our foreign deferred tax assets would provide a future tax benefit due to the change in Chinese law. In adhering to the new law, we recorded no increases to income tax expense for the years ended December 31, 2017 and 2016 and $0.6 million for the year ended December 31, 2015 relating to decreases in the deferred tax assets of our Chinese subsidiaries.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2017 and 2016, we had unrecognized tax benefits of approximately $5.6 million and $3.9 million, including interest and penalties, respectively. In accordance with accounting guidance, we have elected to classify interest and penalties as components of tax expense. Interest and penalties were $0.5 million, $0.3 million, and $0.2 million for the years ended December 31, 2017, 2016 and 2015, respectively. Interest and penalties are included in the unrecognized tax benefits.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Changes to our gross unrecognized tax benefits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4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3,622</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3,469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3,486</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Additions as a result of tax provisions taken during the current year</w:t>
            </w:r>
          </w:p>
        </w:tc>
        <w:tc>
          <w:tcPr>
            <w:tcW w:w="1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43"/>
        </w:trPr>
        <w:tc>
          <w:tcPr>
            <w:tcW w:w="5440" w:type="dxa"/>
            <w:vAlign w:val="bottom"/>
          </w:tcPr>
          <w:p>
            <w:pPr>
              <w:ind w:left="380"/>
              <w:spacing w:after="0"/>
              <w:rPr>
                <w:sz w:val="20"/>
                <w:szCs w:val="20"/>
                <w:color w:val="auto"/>
              </w:rPr>
            </w:pPr>
            <w:r>
              <w:rPr>
                <w:rFonts w:ascii="Arial" w:cs="Arial" w:eastAsia="Arial" w:hAnsi="Arial"/>
                <w:sz w:val="18"/>
                <w:szCs w:val="18"/>
                <w:color w:val="auto"/>
                <w:w w:val="93"/>
              </w:rPr>
              <w:t>Subtractions as a result of tax provisions taken during the prior year</w:t>
            </w: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w:t>
            </w:r>
          </w:p>
        </w:tc>
        <w:tc>
          <w:tcPr>
            <w:tcW w:w="1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5440" w:type="dxa"/>
            <w:vAlign w:val="bottom"/>
          </w:tcPr>
          <w:p>
            <w:pPr>
              <w:ind w:left="380"/>
              <w:spacing w:after="0"/>
              <w:rPr>
                <w:sz w:val="20"/>
                <w:szCs w:val="20"/>
                <w:color w:val="auto"/>
              </w:rPr>
            </w:pPr>
            <w:r>
              <w:rPr>
                <w:rFonts w:ascii="Arial" w:cs="Arial" w:eastAsia="Arial" w:hAnsi="Arial"/>
                <w:sz w:val="18"/>
                <w:szCs w:val="18"/>
                <w:color w:val="auto"/>
              </w:rPr>
              <w:t>Lapse in statute of limitations</w:t>
            </w: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Settlements</w:t>
            </w:r>
          </w:p>
        </w:tc>
        <w:tc>
          <w:tcPr>
            <w:tcW w:w="1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tcPr>
          <w:p>
            <w:pPr>
              <w:ind w:left="380"/>
              <w:spacing w:after="0"/>
              <w:rPr>
                <w:sz w:val="20"/>
                <w:szCs w:val="20"/>
                <w:color w:val="auto"/>
              </w:rPr>
            </w:pPr>
            <w:r>
              <w:rPr>
                <w:rFonts w:ascii="Arial" w:cs="Arial" w:eastAsia="Arial" w:hAnsi="Arial"/>
                <w:sz w:val="18"/>
                <w:szCs w:val="18"/>
                <w:color w:val="auto"/>
              </w:rPr>
              <w:t>Other</w:t>
            </w: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5,081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61</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44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3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Approximately $5.3 million, $3.6 million and $3.3 million of the total amount of gross unrecognized tax benefits at December 31, 2017, 2016 and 2015, respectively, if not for the state R&amp;E income tax credit valuation allowance, would affect the annual effective tax rate, if recognized. We are unaware of any positions for which it is reasonably possible that the total amounts of unrecognized tax benefits will significantly change within the next twelve months. We anticipate a decrease in gross unrecognized tax benefits of approximately $0.1 million within the next twelve months based on federal, state, and foreign statute expirations in various jurisdictions. We have classified uncertain tax positions as non-current income tax liabilities unless expected to be paid within one year.</w:t>
      </w:r>
    </w:p>
    <w:p>
      <w:pPr>
        <w:spacing w:after="0" w:line="13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file income tax returns in the U.S. federal jurisdiction and in various state and foreign jurisdictions. At December 31, 2017, the open statutes of limitations for our significant tax jurisdictions are the following: federal are 2014 through 2016, state are 2013 through 2016 and foreign are 2011 through 2016.</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Tax Cuts and Jobs Act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The Tax Act makes broad and complex changes to the U.S. tax code that affected 2017, including, but not limited to, (1) requiring a one-time transition tax on certain unrepatriated earnings of foreign subsidiaries that is payable over eight years and (2) bonus depreciation that will allow for full expensing of qualified property.</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Tax Act also establishes new tax laws that will affect 2018, including, but not limited to, (1) reduction of the U.S. federal corporate tax rate from 35% to 21%; (2) elimination of the corporate alternative minimum tax ("AMT"); (3) the creation of the base erosion anti-abuse tax ("BEAT"), a new minimum tax;</w:t>
      </w:r>
    </w:p>
    <w:p>
      <w:pPr>
        <w:jc w:val="both"/>
        <w:ind w:firstLine="8"/>
        <w:spacing w:after="0" w:line="271" w:lineRule="auto"/>
        <w:tabs>
          <w:tab w:leader="none" w:pos="257"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general elimination of U.S. federal income taxes on dividends from foreign subsidiaries; (5) a new provision designed to tax global intangible low-taxed income ("GILTI"), which allows for the possibility of using foreign tax credits ("FTC"s) and a deduction of up to 50 percent to offset the income tax liability (subject to some limitations); (6) a new limitation on deductible interest expense; (7) the repeal of the domestic production activity deduction; (8) limitations on the deductibility of certain executive compensation; (9) limitations on the use of FTCs to reduce the U.S. income tax liability; and (10) limitations on net operating losses ("NOL"s) generated after December 31, 2017, to 80 percent of taxable income.</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 staff issued Staff Accounting Bulletin ("SAB") 118,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Act.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accounting for the following elements of the Tax Act is incomplete. However, we were able to make reasonable estimates of certain effects and, therefore, recorded provisional adjustments as follows: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Reduction of U.S. federal corporate tax rate: </w:t>
      </w:r>
      <w:r>
        <w:rPr>
          <w:rFonts w:ascii="Arial" w:cs="Arial" w:eastAsia="Arial" w:hAnsi="Arial"/>
          <w:sz w:val="16"/>
          <w:szCs w:val="16"/>
          <w:color w:val="auto"/>
        </w:rPr>
        <w:t>The Tax Act reduces the U.S. federal corporate tax rate to 21 percent, effective January 1, 2018. For certain of</w:t>
      </w:r>
      <w:r>
        <w:rPr>
          <w:rFonts w:ascii="Arial" w:cs="Arial" w:eastAsia="Arial" w:hAnsi="Arial"/>
          <w:sz w:val="16"/>
          <w:szCs w:val="16"/>
          <w:i w:val="1"/>
          <w:iCs w:val="1"/>
          <w:color w:val="auto"/>
        </w:rPr>
        <w:t xml:space="preserve"> </w:t>
      </w:r>
      <w:r>
        <w:rPr>
          <w:rFonts w:ascii="Arial" w:cs="Arial" w:eastAsia="Arial" w:hAnsi="Arial"/>
          <w:sz w:val="16"/>
          <w:szCs w:val="16"/>
          <w:color w:val="auto"/>
        </w:rPr>
        <w:t>our deferred tax assets and deferred tax liabilities, we have recorded a provisional decrease of $2.3 million, with a corresponding net adjustment to deferred income tax expense of $2.3 million for the year ended December 31, 2017. While we are able to make a reasonable estimate of the impact of the reduction in corporate rate, it may be affected by other analyses related to the Tax Act, including, but not limited to, our calculation of deemed repatriation of deferred foreign income and the state tax effect of adjustments made to federal temporary differences, as well as changes to our valuation allowance.</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Deemed repatriation transition tax</w:t>
      </w:r>
      <w:r>
        <w:rPr>
          <w:rFonts w:ascii="Arial" w:cs="Arial" w:eastAsia="Arial" w:hAnsi="Arial"/>
          <w:sz w:val="18"/>
          <w:szCs w:val="18"/>
          <w:color w:val="auto"/>
        </w:rPr>
        <w:t>: The Deemed Repatriation Transition Tax ("Transition Tax") is a tax on previously untaxed accumulated and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and profits ("E&amp;P") of certain of our foreign subsidiaries. To determine the amount of the Transition Tax, we must determine, in addition to other factors, the amount of post-1986 E&amp;P of the relevant subsidiaries, as well as the amount of non-U.S. income taxes paid on such earnings. We are able to make a reasonable estimate of the Transition Tax and recorded a provisional Transition Tax obligation of $2.1 million. However, we are continuing to gather additional information to more precisely compute the amount of the Transition Tax.</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Valuation allowances</w:t>
      </w:r>
      <w:r>
        <w:rPr>
          <w:rFonts w:ascii="Arial" w:cs="Arial" w:eastAsia="Arial" w:hAnsi="Arial"/>
          <w:sz w:val="18"/>
          <w:szCs w:val="18"/>
          <w:color w:val="auto"/>
        </w:rPr>
        <w:t>: We must assess whether our valuation allowance is affected by various aspects of the Tax Act (e.g., deemed repatriation of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income, GILTI inclusions, new categories of FTCs). Since we have recorded provisional amounts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18" w:right="2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related to certain portions of the Tax Act, any corresponding determination of the need for or change in a valuation allowance is also provisional.</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accounting for the following elements of the Tax Act is incomplete, and we were not yet able to make reasonable estimates of the effects. Therefore, no provisional adjustments were recorded.</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GILTI tax: </w:t>
      </w:r>
      <w:r>
        <w:rPr>
          <w:rFonts w:ascii="Arial" w:cs="Arial" w:eastAsia="Arial" w:hAnsi="Arial"/>
          <w:sz w:val="17"/>
          <w:szCs w:val="17"/>
          <w:color w:val="auto"/>
        </w:rPr>
        <w:t>Because of the complexity of the new GILTI tax rules, we are continuing to evaluate this provision of the Tax Act and the application of ASC 740.</w:t>
      </w:r>
      <w:r>
        <w:rPr>
          <w:rFonts w:ascii="Arial" w:cs="Arial" w:eastAsia="Arial" w:hAnsi="Arial"/>
          <w:sz w:val="17"/>
          <w:szCs w:val="17"/>
          <w:i w:val="1"/>
          <w:iCs w:val="1"/>
          <w:color w:val="auto"/>
        </w:rPr>
        <w:t xml:space="preserve"> </w:t>
      </w:r>
      <w:r>
        <w:rPr>
          <w:rFonts w:ascii="Arial" w:cs="Arial" w:eastAsia="Arial" w:hAnsi="Arial"/>
          <w:sz w:val="17"/>
          <w:szCs w:val="17"/>
          <w:color w:val="auto"/>
        </w:rPr>
        <w:t>Under U.S. GAAP, we are allowed to make an accounting policy choice of either (1) treating taxes due on future U.S. inclusions in taxable income related to GILTI as a current-period expense when incurred (the “period cost method”) or (2) factoring such amounts into a company’s measurement of its deferred taxes (the “deferred method”). Our selection of an accounting policy with respect to the new GILTI tax rules will depend, in part, on analyzing our global income to determine whether we expect to have future U.S. inclusions in taxable income related to GILTI and, if so, what the impact is expected to be. Because whether we expect to have future U.S. inclusions in taxable income related to GILTI depends on not only our current structure and estimated future results of global operations but also our intent and ability to modify our structure and/or our business, we are not yet able to reasonably estimate the effect of this provision of the Tax Act. Therefore, we have not made any adjustments related to potential GILTI tax in our financial statements and have not made a policy decision regarding whether to record deferred taxes related to potential GILTI tax.</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Accrued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2016</w:t>
            </w:r>
          </w:p>
        </w:tc>
      </w:tr>
      <w:tr>
        <w:trPr>
          <w:trHeight w:val="270"/>
        </w:trPr>
        <w:tc>
          <w:tcPr>
            <w:tcW w:w="7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Accrued social insurance</w:t>
            </w:r>
            <w:r>
              <w:rPr>
                <w:rFonts w:ascii="Arial" w:cs="Arial" w:eastAsia="Arial" w:hAnsi="Arial"/>
                <w:sz w:val="25"/>
                <w:szCs w:val="25"/>
                <w:color w:val="auto"/>
                <w:vertAlign w:val="superscript"/>
              </w:rPr>
              <w:t>(1)</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17,727</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19,974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Accrued salary/wages</w:t>
            </w: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7,910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7,903</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vacation/holiday</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2,769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2,411</w:t>
            </w:r>
          </w:p>
        </w:tc>
      </w:tr>
      <w:tr>
        <w:trPr>
          <w:trHeight w:val="270"/>
        </w:trPr>
        <w:tc>
          <w:tcPr>
            <w:tcW w:w="7900" w:type="dxa"/>
            <w:vAlign w:val="bottom"/>
          </w:tcPr>
          <w:p>
            <w:pPr>
              <w:ind w:left="40"/>
              <w:spacing w:after="0" w:line="270" w:lineRule="exact"/>
              <w:rPr>
                <w:sz w:val="20"/>
                <w:szCs w:val="20"/>
                <w:color w:val="auto"/>
              </w:rPr>
            </w:pPr>
            <w:r>
              <w:rPr>
                <w:rFonts w:ascii="Arial" w:cs="Arial" w:eastAsia="Arial" w:hAnsi="Arial"/>
                <w:sz w:val="18"/>
                <w:szCs w:val="18"/>
                <w:color w:val="auto"/>
              </w:rPr>
              <w:t>Accrued bonus</w:t>
            </w:r>
            <w:r>
              <w:rPr>
                <w:rFonts w:ascii="Arial" w:cs="Arial" w:eastAsia="Arial" w:hAnsi="Arial"/>
                <w:sz w:val="25"/>
                <w:szCs w:val="25"/>
                <w:color w:val="auto"/>
                <w:vertAlign w:val="superscript"/>
              </w:rPr>
              <w:t>(2)</w:t>
            </w:r>
          </w:p>
        </w:tc>
        <w:tc>
          <w:tcPr>
            <w:tcW w:w="420" w:type="dxa"/>
            <w:vAlign w:val="bottom"/>
          </w:tcPr>
          <w:p>
            <w:pPr>
              <w:spacing w:after="0"/>
              <w:rPr>
                <w:sz w:val="23"/>
                <w:szCs w:val="23"/>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2,421</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commission</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Accrued medical insurance claims</w:t>
            </w: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122</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compensation</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2,389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1,816</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accrued compensation</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34,499</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35,580</w:t>
            </w:r>
          </w:p>
        </w:tc>
      </w:tr>
      <w:tr>
        <w:trPr>
          <w:trHeight w:val="27"/>
        </w:trPr>
        <w:tc>
          <w:tcPr>
            <w:tcW w:w="79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68" w:lineRule="auto"/>
        <w:tabs>
          <w:tab w:leader="none" w:pos="660"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Effective January 1, 2008, the Chinese Labor Contract Law was enacted in the PRC. This law mandated that PRC employers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December 31, 2017 and 2016.</w:t>
      </w:r>
    </w:p>
    <w:p>
      <w:pPr>
        <w:spacing w:after="0" w:line="73" w:lineRule="exact"/>
        <w:rPr>
          <w:rFonts w:ascii="Arial" w:cs="Arial" w:eastAsia="Arial" w:hAnsi="Arial"/>
          <w:sz w:val="22"/>
          <w:szCs w:val="22"/>
          <w:color w:val="auto"/>
          <w:vertAlign w:val="superscript"/>
        </w:rPr>
      </w:pPr>
    </w:p>
    <w:p>
      <w:pPr>
        <w:jc w:val="both"/>
        <w:ind w:left="660" w:hanging="328"/>
        <w:spacing w:after="0" w:line="220" w:lineRule="auto"/>
        <w:tabs>
          <w:tab w:leader="none" w:pos="660" w:val="left"/>
        </w:tabs>
        <w:numPr>
          <w:ilvl w:val="0"/>
          <w:numId w:val="28"/>
        </w:numPr>
        <w:rPr>
          <w:rFonts w:ascii="Arial" w:cs="Arial" w:eastAsia="Arial" w:hAnsi="Arial"/>
          <w:sz w:val="24"/>
          <w:szCs w:val="24"/>
          <w:color w:val="auto"/>
          <w:vertAlign w:val="superscript"/>
        </w:rPr>
      </w:pPr>
      <w:r>
        <w:rPr>
          <w:rFonts w:ascii="Arial" w:cs="Arial" w:eastAsia="Arial" w:hAnsi="Arial"/>
          <w:sz w:val="17"/>
          <w:szCs w:val="17"/>
          <w:color w:val="auto"/>
        </w:rPr>
        <w:t>Accrued bonus includes an accrual for an extra month of salary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to be paid to employees in certain geographies where it is the customary business practice. This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is paid to these employees if they remain employed with us through December 31st. The total accrued for the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was $0.7 million and $0.7 million at December 31, 2017 and 2016, respectively.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18" w:right="2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Other Accrued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liabilities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2016</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and marketing</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1,431</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 for sale of Guangzhou factory</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4,901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Duties</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1,127</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Freight and handling fees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454</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warranty claim costs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Professional fees</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1,313</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Sales taxes and VAT</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2,955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2,715</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contingent consideration</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Third-party commissions</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853</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Tooling </w:t>
            </w:r>
            <w:r>
              <w:rPr>
                <w:rFonts w:ascii="Arial" w:cs="Arial" w:eastAsia="Arial" w:hAnsi="Arial"/>
                <w:sz w:val="25"/>
                <w:szCs w:val="25"/>
                <w:color w:val="auto"/>
                <w:vertAlign w:val="superscript"/>
              </w:rPr>
              <w:t>(1)</w:t>
            </w: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1,843</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Unrealized loss on foreign currency exchange contracts</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1,623</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URC court order and settlement agreement (Notes 3 and 13)</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6,622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Utilities</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331</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5,219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3,138</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other accrued liabilities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28,719</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24,410</w:t>
            </w:r>
          </w:p>
        </w:tc>
      </w:tr>
      <w:tr>
        <w:trPr>
          <w:trHeight w:val="27"/>
        </w:trPr>
        <w:tc>
          <w:tcPr>
            <w:tcW w:w="79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25"/>
          <w:szCs w:val="25"/>
          <w:color w:val="auto"/>
          <w:vertAlign w:val="superscript"/>
        </w:rPr>
        <w:t>(1)</w:t>
      </w:r>
      <w:r>
        <w:rPr>
          <w:sz w:val="20"/>
          <w:szCs w:val="20"/>
          <w:color w:val="auto"/>
        </w:rPr>
        <w:tab/>
      </w:r>
      <w:r>
        <w:rPr>
          <w:rFonts w:ascii="Arial" w:cs="Arial" w:eastAsia="Arial" w:hAnsi="Arial"/>
          <w:sz w:val="18"/>
          <w:szCs w:val="18"/>
          <w:color w:val="auto"/>
        </w:rPr>
        <w:t>The tooling accrual balance relates to unearned revenue for tooling that will be sold to customers.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Vendor</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obtained certain engineering support services for our India subsidiary from JAP Techno Solutions ("JAP"). The owner of JAP is the spouse of the managing director of our India operations. Total fees paid to JAP for the year ended December 31, 2015 were $77 thousand. No amounts were paid to this vendor during the years ended December 31, 2017 and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We lease land, office and warehouse space, and certain office equipment under operating leases that expire at various dates through November 30, 2060.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Rent expense for our operating leases was $4.2 million, $4.0 million and $3.6 million for the years ended December 31, 2017, 2016 and 2015,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minimum non-cancelable operating lease payments at December 31, 2017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Amount</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3,333</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2,204</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443</w:t>
            </w:r>
          </w:p>
        </w:tc>
      </w:tr>
      <w:tr>
        <w:trPr>
          <w:trHeight w:val="27"/>
        </w:trPr>
        <w:tc>
          <w:tcPr>
            <w:tcW w:w="9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lease commitments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14,387</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18" w:right="239" w:bottom="1440" w:gutter="0" w:footer="0" w:header="0"/>
          <w:type w:val="continuous"/>
        </w:sectPr>
      </w:pPr>
    </w:p>
    <w:bookmarkStart w:id="65" w:name="page66"/>
    <w:bookmarkEnd w:id="6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Non-level Rents and Lease Incentives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leases are subject to rent escalations. For these leases, we recognize rent expense for the total contractual obligation utilizing the straight-line method over the lease term, ranging from 48 months to 125 months. The related short-term liability is recorded in other accrued liabilities (see Note 11) and the related long term liability is recorded in other long-term liabilities. The total liability related to rent escalations was $1.2 million and $1.1 million at December 31, 2017 and 2016, respectively.</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lease agreement for our corporate headquarters contains an allowance for moving expenses and tenant improvements of $1.5 million. These moving and tenant improvement allowances are recorded within other accrued liabilities and other long-term liabilities, depending on the short-term or long-term nature, and are being amortized as a reduction of rent expense over the 125-month term of the lease, which began on May 15,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Costs During Construction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Rental costs associated with operating leases incurred during a construction period are expensed.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Land Leases</w:t>
      </w:r>
    </w:p>
    <w:p>
      <w:pPr>
        <w:spacing w:after="0" w:line="9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operate one factory within the PRC on which the land is leased from the government as of December 31, 2017. This land lease was prepaid to the PRC government at the time our subsidiary occupied the land. We have obtained land-use right certificate for the land pertaining to this factories.</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factory is located in the city of Yangzhou in the Jiangsu province. The remaining net book value of this prepaid lease was $2.6 million on December 31, 2017, and will be amortized on a straight-line basis over the remaining term of approximately 41 years. The buildings located on this land had a net book value of $20.9 million on December 31, 2017 and will be depreciated over a remaining weighted average period of 22 years.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remaining net book value of this prepaid land lease is included within prepaid expenses and other current assets and other assets, depending on the short-term or long-term nature.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indemnify our directors and officers to the maximum extent permitted under the laws of the state of Delaware and we have entered into indemnification agreements with each of our directors and executive officers. In addition, we insure our individual directors and officers against certain claims and attorney’s fees and related expenses incurred in connection with the defense of such claims. The amounts and types of coverage may vary from period to period as dictated by market conditions. Management is not aware of any matters that require indemnification of its officers or directors.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Price Provisions and Other Anti-Takeover Measures</w:t>
      </w:r>
    </w:p>
    <w:p>
      <w:pPr>
        <w:spacing w:after="0" w:line="9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Restated Certificate of Incorporation, as amended, contains certain provisions restricting business combinations with interested stockholders under certain circumstances and imposing higher voting requirements for the approval of certain transactions ("fair price" provisions). Any of these provisions may delay or prevent a change in control.</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price" provisions require that holders of at least two-thirds of our outstanding shares of voting stock approve certain business combinations and significant transactions with interested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costs were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25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Accruals for warranties issued during the period</w:t>
            </w:r>
          </w:p>
        </w:tc>
        <w:tc>
          <w:tcPr>
            <w:tcW w:w="2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(in cash or in kind) during the period</w:t>
            </w:r>
          </w:p>
        </w:tc>
        <w:tc>
          <w:tcPr>
            <w:tcW w:w="2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57"/>
        </w:trPr>
        <w:tc>
          <w:tcPr>
            <w:tcW w:w="458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21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140" w:type="dxa"/>
            <w:vAlign w:val="bottom"/>
            <w:vMerge w:val="restart"/>
          </w:tcPr>
          <w:p>
            <w:pPr>
              <w:jc w:val="right"/>
              <w:ind w:right="850"/>
              <w:spacing w:after="0"/>
              <w:rPr>
                <w:sz w:val="20"/>
                <w:szCs w:val="20"/>
                <w:color w:val="auto"/>
              </w:rPr>
            </w:pPr>
            <w:r>
              <w:rPr>
                <w:rFonts w:ascii="Arial" w:cs="Arial" w:eastAsia="Arial" w:hAnsi="Arial"/>
                <w:sz w:val="18"/>
                <w:szCs w:val="18"/>
                <w:color w:val="auto"/>
              </w:rPr>
              <w:t>65</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8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Activities and Sale of Guangzhou Factory</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first quarter of 2016, we implemented a plan to reduce the impact of rising labor rates in China by transitioning manufacturing activities from our southern-most China factory, located in the city of Guangzhou in the Guangdong province, to our other China factories where labor rates are rising at a slower rate. As a result, we incurred severance costs of $6.1 million and $4.5 million during the years ended December 31, 2017 and 2016, respectively, which are included within operating expenses. All operations in our Guangzhou factory ceased in July 2017. Accordingly, we do not expect to incur further severance or other restructuring costs related to this factory transition. At December 31, 2017, we had no unpaid factory transition severance costs included within accrued compensation.</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26, 2016, we entered into an agreement to sell our Guangzhou manufacturing facility for RMB 320 million (approximately $49.0 million based on December 31, 2017 exchange rates). Under the terms of the agreement, we have up to 24 months to cease all operations within the facility. The closing of the sale will be subject to customary due diligence and local regulatory approval and is expected to be completed within approximately 28 months from the execution of the agreement. In accordance with the terms of the agreement, the buyer deposited 10% of the purchase price into an escrow account upon the execution of the agreement, which we have presented as restricted cash in our consolidated balance sheets (also refer to Note 3). The remaining balance of the purchase price is to be placed into the escrow account prior to the closing of the sale and will be released to us upon closing. Since all operations at our Guangzhou manufacturing facility ceased as of the end of July 2017, the related building and land lease assets of $12.5 million are classified as assets held for sale in our December 31, 2017 consolidated balance sheet.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2, 2012 and June 28, 2013, we filed two different lawsuits against Universal Remote Control, Inc. ("URC") alleging that URC, and in some cases its affiliated suppliers Ohsung Electronics Co., Ltd. and Ohsung Electronics USA, Inc. (collectively "Ohsung"), were infringing on certain of our patents. In September 2015, the court awarded URC $4.6 million in attorneys' fees and costs related to the first lawsuit, which we accrued within selling, general and administrative expenses for the year ended December 31, 2015 and placed an equal amount into a surety bond (described in Note 3). In December 2016, in connection with these matters, we entered into a confidential Settlement, License and Release Agreement dated September 22, 2016 with URC and Ohsung (collectively the “URC Parties”) to settle all litigation matters (including the malicious prosecution litigation described below) between us and the URC Parties. By and during the term of this agreement, we and the URC Parties have dismissed all litigation matters and appeals with prejudice. Additionally, the URC Parties have received a limited paid up license to the technologies covered by the patents in this litigation and a limited covenant not to sue with respect to certain of URC's products existing as of the settlement date. As a result of the Settlement, License and Release Agreement, we accrued $2.0 million within selling, general and administrative expenses for the year ended December 31, 2016, bringing the total liability accrued in connection with the URC matters to $6.6 million at December 31, 2016. On January 30, 2017, we paid URC $6.6 million, and on February 10, 2017, the $4.6 million surety bond was returned to us.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28, 2016, URC filed a malicious prosecution lawsuit against us in the Superior Court of California, County of Orange (Universal Remote Control, Inc. v. Universal Electronics Inc., 30-2016-00849239-CU-BT-CJC). This lawsuit was dismissed with prejudice by URC as part of the overall Settlement, License and Release Agreement discussed above.</w:t>
      </w:r>
    </w:p>
    <w:p>
      <w:pPr>
        <w:spacing w:after="0" w:line="4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or about June 10, 2015, FM Marketing GmbH ("FMH") and Ruwido Austria GmbH ("Ruwido") filed a Summons in Summary Proceedings in Belgium court against one of our subsidiaries, Universal Electronics BV ("UEBV"), and one of its customers, Telenet N.V. ("Telenet"), claiming that one of the products UEBV supplied to Telenet violates two design patents and one utility patent owned by FMH and/or Ruwido. By this summons, FMH and Ruwido sought to enjoin Telenet and UEBV from continued distribution and use of the product at issue. After the September 29, 2015 hearing, the court issued its ruling in our and Telenet’s favor, rejecting FMH and Ruwido’s request entirely. On October 22, 2015, Ruwido filed its notice of appeal in this ruling. The parties have fully briefed and argued before the appellate court and we are awaiting the appellate court's ruling. In addition, on or about February 9, 2016, Ruwido filed a writ of summons for proceeding on the merits with respect to asserted patents. UEBV and Telenet have replied, denying all of Ruwido's allegations and in June 2017 a hearing was held before the trial court. During this hearing, Ruwido sought to have a second product which we are currently selling to Telenet included in this case. In September 2017, the Court ruled in our favor that our current product cannot be made part of this case. The Court also refused to rule on whether the original product (which we are no longer selling) infringes the Ruwido patent, instead deciding to wait until the European Patent Office has ruled on our Opposition (see below). Finally, the Court ruled that our original product (which we are no longer selling) infringes certain of Ruwido's design rights, but stayed any decision of compensation and/or damages until all aspects of the case have been decided. We have filed an appeal as to the Court's ruling of infringement and submissions by the parties are due to the Court during the first and second quarter of 2018. Finally, in September 2015, UEBV filed an Opposition with the European Patent Office seeking to invalidate the one utility patent asserted against UEBV and Telenet by Ruwido. The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18" w:right="2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2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hearing on this opposition was held in July 2017. During this hearing the panel requested additional information. We have assembled this additional information and are awaiting the rehearing date. On September 5, 2017, Ruwido and FMH filed a patent infringement case on the merits against UEBV and Telenet in the Netherlands alleging the same claims of infringement as in the Belgium Courts (see above). This matter is in its early stages and as such we have not yet answered. But, as in the Belgium case, UEBV and Telenet will deny all claims of infringement and vigorously defend against these claims.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15, 2017, one of our employees filed a lawsuit against us and certain of our employees in the Superior Court of California, County of Orange, claiming hostile work environment based on sexual orientation, intentional infliction of emotional distress, failure to prevent hostile work environment, retaliation, and constructive termination. On February 1, 2018, we entered into a Settlement Agreement and Release with the former employee to settle all litigation matters between us and the former employee. While the terms of this agreement are confidential, in exchange for and upon the dismissal with prejudice of all claims made by the former employee against us, we will pay an immaterial amount to the former employee. The dismissal was completed during February 2018.</w:t>
      </w:r>
    </w:p>
    <w:p>
      <w:pPr>
        <w:spacing w:after="0" w:line="13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financial condition, results of operations, or cash flows. Moreover, we believe that our products do not infringe any third parties' patents or other intellectual property rights.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subsidiary in India maintains a defined benefit pension plan ("India Plan") for local employees, which is consistent with local statutes and practices. The pension plan was adequately funded on December 31, 2017 based on its latest actuarial report. The India Plan has an independent external manager that advises us of the appropriate funding contribution requirements to which we comply. At December 31, 2017, approximately 49 percent of our India subsidiary employees had qualified for eligibility. An individual must be employed by our India subsidiary for a minimum of five years before becoming eligible. Upon the termination, resignation or retirement of an eligible employee, we are liable to pay the employee an amount equal to 15 days salary for each full year of service completed. The total amount of liability outstanding at December 31, 2017 and 2016 for the India Plan was not material. During the years ended December 31, 2017, 2016, and 2015, the net periodic benefit costs were also not material.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Treasury Stock</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As of December 31, 2017, we had no shares available for repurchase under the Board's authorizations.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2015</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repurchased</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1,817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 of shares repurchased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39,085</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12,647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89,395</w:t>
            </w:r>
          </w:p>
        </w:tc>
      </w:tr>
    </w:tbl>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18" w:right="2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Business Segment and Foreign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Chief Executive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2015</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345,838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338,338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287,678</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Asia (excluding PRC)</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104,668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89,527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109,960</w:t>
            </w:r>
          </w:p>
        </w:tc>
      </w:tr>
      <w:tr>
        <w:trPr>
          <w:trHeight w:val="27"/>
        </w:trPr>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People’s Republic of China</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83,036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77,224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74,475</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Europe</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79,183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74,113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65,579</w:t>
            </w:r>
          </w:p>
        </w:tc>
      </w:tr>
      <w:tr>
        <w:trPr>
          <w:trHeight w:val="27"/>
        </w:trPr>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54,113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47,286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38,985</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28,952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24,883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26,156</w:t>
            </w:r>
          </w:p>
        </w:tc>
      </w:tr>
      <w:tr>
        <w:trPr>
          <w:trHeight w:val="27"/>
        </w:trPr>
        <w:tc>
          <w:tcPr>
            <w:tcW w:w="6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695,790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651,371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602,833</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billing location was the basis used for attributing revenues from external customers to geographic areas.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Long-lived tangible assets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14,674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11,948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People's Republic of China</w:t>
            </w:r>
          </w:p>
        </w:tc>
        <w:tc>
          <w:tcPr>
            <w:tcW w:w="42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96,984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94,113</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countries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3,870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4,186</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long-lived tangible assets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115,528</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110,247</w:t>
            </w:r>
          </w:p>
        </w:tc>
      </w:tr>
      <w:tr>
        <w:trPr>
          <w:trHeight w:val="27"/>
        </w:trPr>
        <w:tc>
          <w:tcPr>
            <w:tcW w:w="79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Stock-Based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for each employee and director is presented in the same statement of operations caption as their cash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by statement of operations caption and the related income tax benefit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428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7,368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7,095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5,946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Outside directors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employee and director stock-based compensation expense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11,943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10,324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7,913</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305"/>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2,954</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3,102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2,366</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18" w:right="239" w:bottom="1440" w:gutter="0" w:footer="0" w:header="0"/>
          <w:type w:val="continuous"/>
        </w:sectPr>
      </w:pPr>
    </w:p>
    <w:bookmarkStart w:id="69" w:name="page70"/>
    <w:bookmarkEnd w:id="6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264"/>
        </w:trPr>
        <w:tc>
          <w:tcPr>
            <w:tcW w:w="25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fair value of grants</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6"/>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4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ind w:right="146"/>
              <w:spacing w:after="0"/>
              <w:rPr>
                <w:sz w:val="20"/>
                <w:szCs w:val="20"/>
                <w:color w:val="auto"/>
              </w:rPr>
            </w:pPr>
            <w:r>
              <w:rPr>
                <w:rFonts w:ascii="Arial" w:cs="Arial" w:eastAsia="Arial" w:hAnsi="Arial"/>
                <w:sz w:val="18"/>
                <w:szCs w:val="18"/>
                <w:color w:val="auto"/>
                <w:w w:val="88"/>
              </w:rPr>
              <w:t>17.96</w:t>
            </w:r>
          </w:p>
        </w:tc>
        <w:tc>
          <w:tcPr>
            <w:tcW w:w="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681"/>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24.47</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6"/>
              </w:rPr>
              <w:t>1.75%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1.39%</w:t>
            </w:r>
          </w:p>
        </w:tc>
      </w:tr>
      <w:tr>
        <w:trPr>
          <w:trHeight w:val="27"/>
        </w:trPr>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41.38%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43.36%</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85"/>
              </w:rPr>
              <w:t>4.52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gridSpan w:val="3"/>
          </w:tcPr>
          <w:p>
            <w:pPr>
              <w:jc w:val="right"/>
              <w:ind w:right="146"/>
              <w:spacing w:after="0"/>
              <w:rPr>
                <w:sz w:val="20"/>
                <w:szCs w:val="20"/>
                <w:color w:val="auto"/>
              </w:rPr>
            </w:pPr>
            <w:r>
              <w:rPr>
                <w:rFonts w:ascii="Arial" w:cs="Arial" w:eastAsia="Arial" w:hAnsi="Arial"/>
                <w:sz w:val="18"/>
                <w:szCs w:val="18"/>
                <w:color w:val="auto"/>
              </w:rPr>
              <w:t>4.55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ind w:right="118"/>
              <w:spacing w:after="0"/>
              <w:rPr>
                <w:sz w:val="20"/>
                <w:szCs w:val="20"/>
                <w:color w:val="auto"/>
              </w:rPr>
            </w:pPr>
            <w:r>
              <w:rPr>
                <w:rFonts w:ascii="Arial" w:cs="Arial" w:eastAsia="Arial" w:hAnsi="Arial"/>
                <w:sz w:val="18"/>
                <w:szCs w:val="18"/>
                <w:color w:val="auto"/>
              </w:rPr>
              <w:t>4.57</w:t>
            </w:r>
          </w:p>
        </w:tc>
      </w:tr>
      <w:tr>
        <w:trPr>
          <w:trHeight w:val="675"/>
        </w:trPr>
        <w:tc>
          <w:tcPr>
            <w:tcW w:w="3220" w:type="dxa"/>
            <w:vAlign w:val="bottom"/>
            <w:gridSpan w:val="2"/>
          </w:tcPr>
          <w:p>
            <w:pPr>
              <w:spacing w:after="0"/>
              <w:rPr>
                <w:sz w:val="20"/>
                <w:szCs w:val="20"/>
                <w:color w:val="auto"/>
              </w:rPr>
            </w:pPr>
            <w:r>
              <w:rPr>
                <w:rFonts w:ascii="Arial" w:cs="Arial" w:eastAsia="Arial" w:hAnsi="Arial"/>
                <w:sz w:val="18"/>
                <w:szCs w:val="18"/>
                <w:color w:val="auto"/>
              </w:rPr>
              <w:t>Stock option activity was as follows: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99"/>
        </w:trPr>
        <w:tc>
          <w:tcPr>
            <w:tcW w:w="25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506"/>
              <w:spacing w:after="0"/>
              <w:rPr>
                <w:sz w:val="20"/>
                <w:szCs w:val="20"/>
                <w:color w:val="auto"/>
              </w:rPr>
            </w:pPr>
            <w:r>
              <w:rPr>
                <w:rFonts w:ascii="Arial" w:cs="Arial" w:eastAsia="Arial" w:hAnsi="Arial"/>
                <w:sz w:val="13"/>
                <w:szCs w:val="13"/>
                <w:color w:val="auto"/>
              </w:rPr>
              <w:t>2017</w:t>
            </w: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438"/>
              <w:spacing w:after="0"/>
              <w:rPr>
                <w:sz w:val="20"/>
                <w:szCs w:val="20"/>
                <w:color w:val="auto"/>
              </w:rPr>
            </w:pPr>
            <w:r>
              <w:rPr>
                <w:rFonts w:ascii="Arial" w:cs="Arial" w:eastAsia="Arial" w:hAnsi="Arial"/>
                <w:sz w:val="13"/>
                <w:szCs w:val="13"/>
                <w:color w:val="auto"/>
              </w:rPr>
              <w:t>2016</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581"/>
              <w:spacing w:after="0"/>
              <w:rPr>
                <w:sz w:val="20"/>
                <w:szCs w:val="20"/>
                <w:color w:val="auto"/>
              </w:rPr>
            </w:pPr>
            <w:r>
              <w:rPr>
                <w:rFonts w:ascii="Arial" w:cs="Arial" w:eastAsia="Arial" w:hAnsi="Arial"/>
                <w:sz w:val="13"/>
                <w:szCs w:val="13"/>
                <w:color w:val="auto"/>
                <w:w w:val="82"/>
              </w:rPr>
              <w:t>2015</w:t>
            </w: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139"/>
        </w:trPr>
        <w:tc>
          <w:tcPr>
            <w:tcW w:w="2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1"/>
              </w:rPr>
              <w:t>Weighted-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jc w:val="center"/>
              <w:ind w:left="18"/>
              <w:spacing w:after="0"/>
              <w:rPr>
                <w:sz w:val="20"/>
                <w:szCs w:val="20"/>
                <w:color w:val="auto"/>
              </w:rPr>
            </w:pPr>
            <w:r>
              <w:rPr>
                <w:rFonts w:ascii="Arial" w:cs="Arial" w:eastAsia="Arial" w:hAnsi="Arial"/>
                <w:sz w:val="11"/>
                <w:szCs w:val="11"/>
                <w:color w:val="auto"/>
                <w:w w:val="91"/>
              </w:rPr>
              <w:t>Weighted-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22"/>
        </w:trPr>
        <w:tc>
          <w:tcPr>
            <w:tcW w:w="2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2"/>
              </w:rPr>
              <w:t>Average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Arial" w:cs="Arial" w:eastAsia="Arial" w:hAnsi="Arial"/>
                <w:sz w:val="11"/>
                <w:szCs w:val="11"/>
                <w:color w:val="auto"/>
                <w:w w:val="87"/>
              </w:rPr>
              <w:t>Average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22"/>
        </w:trPr>
        <w:tc>
          <w:tcPr>
            <w:tcW w:w="2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7"/>
              </w:rPr>
              <w:t>Remaining</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jc w:val="center"/>
              <w:ind w:left="18"/>
              <w:spacing w:after="0" w:line="122" w:lineRule="exact"/>
              <w:rPr>
                <w:sz w:val="20"/>
                <w:szCs w:val="20"/>
                <w:color w:val="auto"/>
              </w:rPr>
            </w:pPr>
            <w:r>
              <w:rPr>
                <w:rFonts w:ascii="Arial" w:cs="Arial" w:eastAsia="Arial" w:hAnsi="Arial"/>
                <w:sz w:val="11"/>
                <w:szCs w:val="11"/>
                <w:color w:val="auto"/>
                <w:w w:val="87"/>
              </w:rPr>
              <w:t>Remaining</w:t>
            </w:r>
          </w:p>
        </w:tc>
        <w:tc>
          <w:tcPr>
            <w:tcW w:w="220" w:type="dxa"/>
            <w:vAlign w:val="bottom"/>
          </w:tcPr>
          <w:p>
            <w:pPr>
              <w:spacing w:after="0"/>
              <w:rPr>
                <w:sz w:val="10"/>
                <w:szCs w:val="10"/>
                <w:color w:val="auto"/>
              </w:rPr>
            </w:pPr>
          </w:p>
        </w:tc>
        <w:tc>
          <w:tcPr>
            <w:tcW w:w="680" w:type="dxa"/>
            <w:vAlign w:val="bottom"/>
            <w:gridSpan w:val="5"/>
          </w:tcPr>
          <w:p>
            <w:pPr>
              <w:jc w:val="center"/>
              <w:ind w:right="200"/>
              <w:spacing w:after="0" w:line="122" w:lineRule="exact"/>
              <w:rPr>
                <w:sz w:val="20"/>
                <w:szCs w:val="20"/>
                <w:color w:val="auto"/>
              </w:rPr>
            </w:pPr>
            <w:r>
              <w:rPr>
                <w:rFonts w:ascii="Arial" w:cs="Arial" w:eastAsia="Arial" w:hAnsi="Arial"/>
                <w:sz w:val="11"/>
                <w:szCs w:val="11"/>
                <w:color w:val="auto"/>
                <w:w w:val="86"/>
              </w:rPr>
              <w:t>Aggregate</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40" w:type="dxa"/>
            <w:vAlign w:val="bottom"/>
            <w:gridSpan w:val="6"/>
          </w:tcPr>
          <w:p>
            <w:pPr>
              <w:jc w:val="center"/>
              <w:ind w:right="18"/>
              <w:spacing w:after="0" w:line="122" w:lineRule="exact"/>
              <w:rPr>
                <w:sz w:val="20"/>
                <w:szCs w:val="20"/>
                <w:color w:val="auto"/>
              </w:rPr>
            </w:pPr>
            <w:r>
              <w:rPr>
                <w:rFonts w:ascii="Arial" w:cs="Arial" w:eastAsia="Arial" w:hAnsi="Arial"/>
                <w:sz w:val="11"/>
                <w:szCs w:val="11"/>
                <w:color w:val="auto"/>
                <w:w w:val="96"/>
              </w:rPr>
              <w:t>Weighted-   Weighted-Average   Aggregate</w:t>
            </w:r>
          </w:p>
        </w:tc>
      </w:tr>
      <w:tr>
        <w:trPr>
          <w:trHeight w:val="122"/>
        </w:trPr>
        <w:tc>
          <w:tcPr>
            <w:tcW w:w="25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9"/>
              </w:rPr>
              <w:t>Number of</w:t>
            </w:r>
          </w:p>
        </w:tc>
        <w:tc>
          <w:tcPr>
            <w:tcW w:w="100" w:type="dxa"/>
            <w:vAlign w:val="bottom"/>
          </w:tcPr>
          <w:p>
            <w:pPr>
              <w:spacing w:after="0"/>
              <w:rPr>
                <w:sz w:val="10"/>
                <w:szCs w:val="10"/>
                <w:color w:val="auto"/>
              </w:rPr>
            </w:pPr>
          </w:p>
        </w:tc>
        <w:tc>
          <w:tcPr>
            <w:tcW w:w="660" w:type="dxa"/>
            <w:vAlign w:val="bottom"/>
          </w:tcPr>
          <w:p>
            <w:pPr>
              <w:jc w:val="right"/>
              <w:ind w:right="125"/>
              <w:spacing w:after="0" w:line="122" w:lineRule="exact"/>
              <w:rPr>
                <w:sz w:val="20"/>
                <w:szCs w:val="20"/>
                <w:color w:val="auto"/>
              </w:rPr>
            </w:pPr>
            <w:r>
              <w:rPr>
                <w:rFonts w:ascii="Arial" w:cs="Arial" w:eastAsia="Arial" w:hAnsi="Arial"/>
                <w:sz w:val="11"/>
                <w:szCs w:val="11"/>
                <w:color w:val="auto"/>
                <w:w w:val="91"/>
              </w:rPr>
              <w:t>Weighted-</w:t>
            </w: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8"/>
              </w:rPr>
              <w:t>Contractual</w:t>
            </w:r>
          </w:p>
        </w:tc>
        <w:tc>
          <w:tcPr>
            <w:tcW w:w="160" w:type="dxa"/>
            <w:vAlign w:val="bottom"/>
          </w:tcPr>
          <w:p>
            <w:pPr>
              <w:spacing w:after="0"/>
              <w:rPr>
                <w:sz w:val="10"/>
                <w:szCs w:val="10"/>
                <w:color w:val="auto"/>
              </w:rPr>
            </w:pPr>
          </w:p>
        </w:tc>
        <w:tc>
          <w:tcPr>
            <w:tcW w:w="7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w w:val="90"/>
              </w:rPr>
              <w:t>Aggregate</w:t>
            </w: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9"/>
              </w:rPr>
              <w:t>Number of</w:t>
            </w:r>
          </w:p>
        </w:tc>
        <w:tc>
          <w:tcPr>
            <w:tcW w:w="100" w:type="dxa"/>
            <w:vAlign w:val="bottom"/>
          </w:tcPr>
          <w:p>
            <w:pPr>
              <w:spacing w:after="0"/>
              <w:rPr>
                <w:sz w:val="10"/>
                <w:szCs w:val="10"/>
                <w:color w:val="auto"/>
              </w:rPr>
            </w:pPr>
          </w:p>
        </w:tc>
        <w:tc>
          <w:tcPr>
            <w:tcW w:w="640" w:type="dxa"/>
            <w:vAlign w:val="bottom"/>
            <w:gridSpan w:val="2"/>
          </w:tcPr>
          <w:p>
            <w:pPr>
              <w:jc w:val="right"/>
              <w:ind w:right="126"/>
              <w:spacing w:after="0" w:line="122" w:lineRule="exact"/>
              <w:rPr>
                <w:sz w:val="20"/>
                <w:szCs w:val="20"/>
                <w:color w:val="auto"/>
              </w:rPr>
            </w:pPr>
            <w:r>
              <w:rPr>
                <w:rFonts w:ascii="Arial" w:cs="Arial" w:eastAsia="Arial" w:hAnsi="Arial"/>
                <w:sz w:val="11"/>
                <w:szCs w:val="11"/>
                <w:color w:val="auto"/>
                <w:w w:val="87"/>
              </w:rPr>
              <w:t>Weighted-</w:t>
            </w:r>
          </w:p>
        </w:tc>
        <w:tc>
          <w:tcPr>
            <w:tcW w:w="620" w:type="dxa"/>
            <w:vAlign w:val="bottom"/>
          </w:tcPr>
          <w:p>
            <w:pPr>
              <w:jc w:val="center"/>
              <w:ind w:left="18"/>
              <w:spacing w:after="0" w:line="122" w:lineRule="exact"/>
              <w:rPr>
                <w:sz w:val="20"/>
                <w:szCs w:val="20"/>
                <w:color w:val="auto"/>
              </w:rPr>
            </w:pPr>
            <w:r>
              <w:rPr>
                <w:rFonts w:ascii="Arial" w:cs="Arial" w:eastAsia="Arial" w:hAnsi="Arial"/>
                <w:sz w:val="11"/>
                <w:szCs w:val="11"/>
                <w:color w:val="auto"/>
                <w:w w:val="88"/>
              </w:rPr>
              <w:t>Contractual</w:t>
            </w:r>
          </w:p>
        </w:tc>
        <w:tc>
          <w:tcPr>
            <w:tcW w:w="220" w:type="dxa"/>
            <w:vAlign w:val="bottom"/>
          </w:tcPr>
          <w:p>
            <w:pPr>
              <w:spacing w:after="0"/>
              <w:rPr>
                <w:sz w:val="10"/>
                <w:szCs w:val="10"/>
                <w:color w:val="auto"/>
              </w:rPr>
            </w:pPr>
          </w:p>
        </w:tc>
        <w:tc>
          <w:tcPr>
            <w:tcW w:w="680" w:type="dxa"/>
            <w:vAlign w:val="bottom"/>
            <w:gridSpan w:val="5"/>
          </w:tcPr>
          <w:p>
            <w:pPr>
              <w:jc w:val="center"/>
              <w:ind w:right="200"/>
              <w:spacing w:after="0" w:line="122" w:lineRule="exact"/>
              <w:rPr>
                <w:sz w:val="20"/>
                <w:szCs w:val="20"/>
                <w:color w:val="auto"/>
              </w:rPr>
            </w:pPr>
            <w:r>
              <w:rPr>
                <w:rFonts w:ascii="Arial" w:cs="Arial" w:eastAsia="Arial" w:hAnsi="Arial"/>
                <w:sz w:val="11"/>
                <w:szCs w:val="11"/>
                <w:color w:val="auto"/>
                <w:w w:val="94"/>
              </w:rPr>
              <w:t>Intrinsic</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w w:val="89"/>
              </w:rPr>
              <w:t>Number of</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center"/>
              <w:ind w:right="80"/>
              <w:spacing w:after="0" w:line="122" w:lineRule="exact"/>
              <w:rPr>
                <w:sz w:val="20"/>
                <w:szCs w:val="20"/>
                <w:color w:val="auto"/>
              </w:rPr>
            </w:pPr>
            <w:r>
              <w:rPr>
                <w:rFonts w:ascii="Arial" w:cs="Arial" w:eastAsia="Arial" w:hAnsi="Arial"/>
                <w:sz w:val="11"/>
                <w:szCs w:val="11"/>
                <w:color w:val="auto"/>
                <w:w w:val="87"/>
              </w:rPr>
              <w:t>Average</w:t>
            </w:r>
          </w:p>
        </w:tc>
        <w:tc>
          <w:tcPr>
            <w:tcW w:w="4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1"/>
                <w:szCs w:val="11"/>
                <w:color w:val="auto"/>
                <w:w w:val="91"/>
              </w:rPr>
              <w:t>Remaining</w:t>
            </w:r>
          </w:p>
        </w:tc>
        <w:tc>
          <w:tcPr>
            <w:tcW w:w="120" w:type="dxa"/>
            <w:vAlign w:val="bottom"/>
          </w:tcPr>
          <w:p>
            <w:pPr>
              <w:spacing w:after="0"/>
              <w:rPr>
                <w:sz w:val="10"/>
                <w:szCs w:val="10"/>
                <w:color w:val="auto"/>
              </w:rPr>
            </w:pPr>
          </w:p>
        </w:tc>
        <w:tc>
          <w:tcPr>
            <w:tcW w:w="560" w:type="dxa"/>
            <w:vAlign w:val="bottom"/>
          </w:tcPr>
          <w:p>
            <w:pPr>
              <w:jc w:val="center"/>
              <w:ind w:right="58"/>
              <w:spacing w:after="0" w:line="122" w:lineRule="exact"/>
              <w:rPr>
                <w:sz w:val="20"/>
                <w:szCs w:val="20"/>
                <w:color w:val="auto"/>
              </w:rPr>
            </w:pPr>
            <w:r>
              <w:rPr>
                <w:rFonts w:ascii="Arial" w:cs="Arial" w:eastAsia="Arial" w:hAnsi="Arial"/>
                <w:sz w:val="11"/>
                <w:szCs w:val="11"/>
                <w:color w:val="auto"/>
                <w:w w:val="94"/>
              </w:rPr>
              <w:t>Intrinsic</w:t>
            </w:r>
          </w:p>
        </w:tc>
      </w:tr>
      <w:tr>
        <w:trPr>
          <w:trHeight w:val="122"/>
        </w:trPr>
        <w:tc>
          <w:tcPr>
            <w:tcW w:w="25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9"/>
              </w:rPr>
              <w:t>Options</w:t>
            </w:r>
          </w:p>
        </w:tc>
        <w:tc>
          <w:tcPr>
            <w:tcW w:w="100" w:type="dxa"/>
            <w:vAlign w:val="bottom"/>
          </w:tcPr>
          <w:p>
            <w:pPr>
              <w:spacing w:after="0"/>
              <w:rPr>
                <w:sz w:val="10"/>
                <w:szCs w:val="10"/>
                <w:color w:val="auto"/>
              </w:rPr>
            </w:pPr>
          </w:p>
        </w:tc>
        <w:tc>
          <w:tcPr>
            <w:tcW w:w="660" w:type="dxa"/>
            <w:vAlign w:val="bottom"/>
          </w:tcPr>
          <w:p>
            <w:pPr>
              <w:jc w:val="right"/>
              <w:ind w:right="165"/>
              <w:spacing w:after="0" w:line="122" w:lineRule="exact"/>
              <w:rPr>
                <w:sz w:val="20"/>
                <w:szCs w:val="20"/>
                <w:color w:val="auto"/>
              </w:rPr>
            </w:pPr>
            <w:r>
              <w:rPr>
                <w:rFonts w:ascii="Arial" w:cs="Arial" w:eastAsia="Arial" w:hAnsi="Arial"/>
                <w:sz w:val="11"/>
                <w:szCs w:val="11"/>
                <w:color w:val="auto"/>
              </w:rPr>
              <w:t>Average</w:t>
            </w: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5"/>
              </w:rPr>
              <w:t>Term</w:t>
            </w:r>
          </w:p>
        </w:tc>
        <w:tc>
          <w:tcPr>
            <w:tcW w:w="880" w:type="dxa"/>
            <w:vAlign w:val="bottom"/>
            <w:gridSpan w:val="3"/>
          </w:tcPr>
          <w:p>
            <w:pPr>
              <w:ind w:left="80"/>
              <w:spacing w:after="0" w:line="122" w:lineRule="exact"/>
              <w:rPr>
                <w:sz w:val="20"/>
                <w:szCs w:val="20"/>
                <w:color w:val="auto"/>
              </w:rPr>
            </w:pPr>
            <w:r>
              <w:rPr>
                <w:rFonts w:ascii="Arial" w:cs="Arial" w:eastAsia="Arial" w:hAnsi="Arial"/>
                <w:sz w:val="11"/>
                <w:szCs w:val="11"/>
                <w:color w:val="auto"/>
              </w:rPr>
              <w:t>Intrinsic Value</w:t>
            </w: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9"/>
              </w:rPr>
              <w:t>Options</w:t>
            </w:r>
          </w:p>
        </w:tc>
        <w:tc>
          <w:tcPr>
            <w:tcW w:w="100" w:type="dxa"/>
            <w:vAlign w:val="bottom"/>
          </w:tcPr>
          <w:p>
            <w:pPr>
              <w:spacing w:after="0"/>
              <w:rPr>
                <w:sz w:val="10"/>
                <w:szCs w:val="10"/>
                <w:color w:val="auto"/>
              </w:rPr>
            </w:pPr>
          </w:p>
        </w:tc>
        <w:tc>
          <w:tcPr>
            <w:tcW w:w="640" w:type="dxa"/>
            <w:vAlign w:val="bottom"/>
            <w:gridSpan w:val="2"/>
          </w:tcPr>
          <w:p>
            <w:pPr>
              <w:jc w:val="right"/>
              <w:ind w:right="166"/>
              <w:spacing w:after="0" w:line="122" w:lineRule="exact"/>
              <w:rPr>
                <w:sz w:val="20"/>
                <w:szCs w:val="20"/>
                <w:color w:val="auto"/>
              </w:rPr>
            </w:pPr>
            <w:r>
              <w:rPr>
                <w:rFonts w:ascii="Arial" w:cs="Arial" w:eastAsia="Arial" w:hAnsi="Arial"/>
                <w:sz w:val="11"/>
                <w:szCs w:val="11"/>
                <w:color w:val="auto"/>
                <w:w w:val="97"/>
              </w:rPr>
              <w:t>Average</w:t>
            </w:r>
          </w:p>
        </w:tc>
        <w:tc>
          <w:tcPr>
            <w:tcW w:w="620" w:type="dxa"/>
            <w:vAlign w:val="bottom"/>
          </w:tcPr>
          <w:p>
            <w:pPr>
              <w:jc w:val="center"/>
              <w:ind w:left="18"/>
              <w:spacing w:after="0" w:line="122" w:lineRule="exact"/>
              <w:rPr>
                <w:sz w:val="20"/>
                <w:szCs w:val="20"/>
                <w:color w:val="auto"/>
              </w:rPr>
            </w:pPr>
            <w:r>
              <w:rPr>
                <w:rFonts w:ascii="Arial" w:cs="Arial" w:eastAsia="Arial" w:hAnsi="Arial"/>
                <w:sz w:val="11"/>
                <w:szCs w:val="11"/>
                <w:color w:val="auto"/>
                <w:w w:val="85"/>
              </w:rPr>
              <w:t>Term</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4"/>
          </w:tcPr>
          <w:p>
            <w:pPr>
              <w:jc w:val="center"/>
              <w:ind w:right="300"/>
              <w:spacing w:after="0" w:line="122" w:lineRule="exact"/>
              <w:rPr>
                <w:sz w:val="20"/>
                <w:szCs w:val="20"/>
                <w:color w:val="auto"/>
              </w:rPr>
            </w:pPr>
            <w:r>
              <w:rPr>
                <w:rFonts w:ascii="Arial" w:cs="Arial" w:eastAsia="Arial" w:hAnsi="Arial"/>
                <w:sz w:val="11"/>
                <w:szCs w:val="11"/>
                <w:color w:val="auto"/>
                <w:w w:val="85"/>
              </w:rPr>
              <w:t>Value</w:t>
            </w:r>
          </w:p>
        </w:tc>
        <w:tc>
          <w:tcPr>
            <w:tcW w:w="640" w:type="dxa"/>
            <w:vAlign w:val="bottom"/>
          </w:tcPr>
          <w:p>
            <w:pPr>
              <w:jc w:val="center"/>
              <w:spacing w:after="0" w:line="122" w:lineRule="exact"/>
              <w:rPr>
                <w:sz w:val="20"/>
                <w:szCs w:val="20"/>
                <w:color w:val="auto"/>
              </w:rPr>
            </w:pPr>
            <w:r>
              <w:rPr>
                <w:rFonts w:ascii="Arial" w:cs="Arial" w:eastAsia="Arial" w:hAnsi="Arial"/>
                <w:sz w:val="11"/>
                <w:szCs w:val="11"/>
                <w:color w:val="auto"/>
                <w:w w:val="89"/>
              </w:rPr>
              <w:t>Options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center"/>
              <w:ind w:right="80"/>
              <w:spacing w:after="0" w:line="122" w:lineRule="exact"/>
              <w:rPr>
                <w:sz w:val="20"/>
                <w:szCs w:val="20"/>
                <w:color w:val="auto"/>
              </w:rPr>
            </w:pPr>
            <w:r>
              <w:rPr>
                <w:rFonts w:ascii="Arial" w:cs="Arial" w:eastAsia="Arial" w:hAnsi="Arial"/>
                <w:sz w:val="11"/>
                <w:szCs w:val="11"/>
                <w:color w:val="auto"/>
                <w:w w:val="85"/>
              </w:rPr>
              <w:t>Exercise</w:t>
            </w:r>
          </w:p>
        </w:tc>
        <w:tc>
          <w:tcPr>
            <w:tcW w:w="4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1"/>
                <w:szCs w:val="11"/>
                <w:color w:val="auto"/>
                <w:w w:val="89"/>
              </w:rPr>
              <w:t>Contractual Term</w:t>
            </w:r>
          </w:p>
        </w:tc>
        <w:tc>
          <w:tcPr>
            <w:tcW w:w="120" w:type="dxa"/>
            <w:vAlign w:val="bottom"/>
          </w:tcPr>
          <w:p>
            <w:pPr>
              <w:spacing w:after="0"/>
              <w:rPr>
                <w:sz w:val="10"/>
                <w:szCs w:val="10"/>
                <w:color w:val="auto"/>
              </w:rPr>
            </w:pPr>
          </w:p>
        </w:tc>
        <w:tc>
          <w:tcPr>
            <w:tcW w:w="560" w:type="dxa"/>
            <w:vAlign w:val="bottom"/>
          </w:tcPr>
          <w:p>
            <w:pPr>
              <w:jc w:val="center"/>
              <w:ind w:right="38"/>
              <w:spacing w:after="0" w:line="122" w:lineRule="exact"/>
              <w:rPr>
                <w:sz w:val="20"/>
                <w:szCs w:val="20"/>
                <w:color w:val="auto"/>
              </w:rPr>
            </w:pPr>
            <w:r>
              <w:rPr>
                <w:rFonts w:ascii="Arial" w:cs="Arial" w:eastAsia="Arial" w:hAnsi="Arial"/>
                <w:sz w:val="11"/>
                <w:szCs w:val="11"/>
                <w:color w:val="auto"/>
                <w:w w:val="92"/>
              </w:rPr>
              <w:t>Value</w:t>
            </w:r>
          </w:p>
        </w:tc>
      </w:tr>
      <w:tr>
        <w:trPr>
          <w:trHeight w:val="136"/>
        </w:trPr>
        <w:tc>
          <w:tcPr>
            <w:tcW w:w="25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3"/>
              </w:rPr>
              <w:t>(in 000's)</w:t>
            </w:r>
          </w:p>
        </w:tc>
        <w:tc>
          <w:tcPr>
            <w:tcW w:w="760" w:type="dxa"/>
            <w:vAlign w:val="bottom"/>
            <w:gridSpan w:val="2"/>
          </w:tcPr>
          <w:p>
            <w:pPr>
              <w:ind w:left="40"/>
              <w:spacing w:after="0"/>
              <w:rPr>
                <w:sz w:val="20"/>
                <w:szCs w:val="20"/>
                <w:color w:val="auto"/>
              </w:rPr>
            </w:pPr>
            <w:r>
              <w:rPr>
                <w:rFonts w:ascii="Arial" w:cs="Arial" w:eastAsia="Arial" w:hAnsi="Arial"/>
                <w:sz w:val="11"/>
                <w:szCs w:val="11"/>
                <w:color w:val="auto"/>
                <w:w w:val="99"/>
              </w:rPr>
              <w:t>Exercise Price</w:t>
            </w:r>
          </w:p>
        </w:tc>
        <w:tc>
          <w:tcPr>
            <w:tcW w:w="700" w:type="dxa"/>
            <w:vAlign w:val="bottom"/>
          </w:tcPr>
          <w:p>
            <w:pPr>
              <w:jc w:val="center"/>
              <w:spacing w:after="0"/>
              <w:rPr>
                <w:sz w:val="20"/>
                <w:szCs w:val="20"/>
                <w:color w:val="auto"/>
              </w:rPr>
            </w:pPr>
            <w:r>
              <w:rPr>
                <w:rFonts w:ascii="Arial" w:cs="Arial" w:eastAsia="Arial" w:hAnsi="Arial"/>
                <w:sz w:val="11"/>
                <w:szCs w:val="11"/>
                <w:color w:val="auto"/>
                <w:w w:val="91"/>
              </w:rPr>
              <w:t>(in years)</w:t>
            </w:r>
          </w:p>
        </w:tc>
        <w:tc>
          <w:tcPr>
            <w:tcW w:w="16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color w:val="auto"/>
              </w:rPr>
              <w:t>(in 000's)</w:t>
            </w:r>
          </w:p>
        </w:tc>
        <w:tc>
          <w:tcPr>
            <w:tcW w:w="700" w:type="dxa"/>
            <w:vAlign w:val="bottom"/>
          </w:tcPr>
          <w:p>
            <w:pPr>
              <w:jc w:val="center"/>
              <w:spacing w:after="0"/>
              <w:rPr>
                <w:sz w:val="20"/>
                <w:szCs w:val="20"/>
                <w:color w:val="auto"/>
              </w:rPr>
            </w:pPr>
            <w:r>
              <w:rPr>
                <w:rFonts w:ascii="Arial" w:cs="Arial" w:eastAsia="Arial" w:hAnsi="Arial"/>
                <w:sz w:val="11"/>
                <w:szCs w:val="11"/>
                <w:color w:val="auto"/>
                <w:w w:val="93"/>
              </w:rPr>
              <w:t>(in 000's)</w:t>
            </w:r>
          </w:p>
        </w:tc>
        <w:tc>
          <w:tcPr>
            <w:tcW w:w="740" w:type="dxa"/>
            <w:vAlign w:val="bottom"/>
            <w:gridSpan w:val="3"/>
          </w:tcPr>
          <w:p>
            <w:pPr>
              <w:ind w:left="40"/>
              <w:spacing w:after="0"/>
              <w:rPr>
                <w:sz w:val="20"/>
                <w:szCs w:val="20"/>
                <w:color w:val="auto"/>
              </w:rPr>
            </w:pPr>
            <w:r>
              <w:rPr>
                <w:rFonts w:ascii="Arial" w:cs="Arial" w:eastAsia="Arial" w:hAnsi="Arial"/>
                <w:sz w:val="11"/>
                <w:szCs w:val="11"/>
                <w:color w:val="auto"/>
                <w:w w:val="96"/>
              </w:rPr>
              <w:t>Exercise Price</w:t>
            </w:r>
          </w:p>
        </w:tc>
        <w:tc>
          <w:tcPr>
            <w:tcW w:w="620" w:type="dxa"/>
            <w:vAlign w:val="bottom"/>
          </w:tcPr>
          <w:p>
            <w:pPr>
              <w:jc w:val="center"/>
              <w:ind w:left="18"/>
              <w:spacing w:after="0"/>
              <w:rPr>
                <w:sz w:val="20"/>
                <w:szCs w:val="20"/>
                <w:color w:val="auto"/>
              </w:rPr>
            </w:pPr>
            <w:r>
              <w:rPr>
                <w:rFonts w:ascii="Arial" w:cs="Arial" w:eastAsia="Arial" w:hAnsi="Arial"/>
                <w:sz w:val="11"/>
                <w:szCs w:val="11"/>
                <w:color w:val="auto"/>
                <w:w w:val="91"/>
              </w:rPr>
              <w:t>(in years)</w:t>
            </w:r>
          </w:p>
        </w:tc>
        <w:tc>
          <w:tcPr>
            <w:tcW w:w="220" w:type="dxa"/>
            <w:vAlign w:val="bottom"/>
          </w:tcPr>
          <w:p>
            <w:pPr>
              <w:spacing w:after="0"/>
              <w:rPr>
                <w:sz w:val="11"/>
                <w:szCs w:val="11"/>
                <w:color w:val="auto"/>
              </w:rPr>
            </w:pPr>
          </w:p>
        </w:tc>
        <w:tc>
          <w:tcPr>
            <w:tcW w:w="680" w:type="dxa"/>
            <w:vAlign w:val="bottom"/>
            <w:gridSpan w:val="5"/>
          </w:tcPr>
          <w:p>
            <w:pPr>
              <w:jc w:val="center"/>
              <w:ind w:right="200"/>
              <w:spacing w:after="0"/>
              <w:rPr>
                <w:sz w:val="20"/>
                <w:szCs w:val="20"/>
                <w:color w:val="auto"/>
              </w:rPr>
            </w:pPr>
            <w:r>
              <w:rPr>
                <w:rFonts w:ascii="Arial" w:cs="Arial" w:eastAsia="Arial" w:hAnsi="Arial"/>
                <w:sz w:val="11"/>
                <w:szCs w:val="11"/>
                <w:color w:val="auto"/>
                <w:w w:val="88"/>
              </w:rPr>
              <w:t>(in 000's)</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(in 000's)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center"/>
              <w:ind w:right="60"/>
              <w:spacing w:after="0"/>
              <w:rPr>
                <w:sz w:val="20"/>
                <w:szCs w:val="20"/>
                <w:color w:val="auto"/>
              </w:rPr>
            </w:pPr>
            <w:r>
              <w:rPr>
                <w:rFonts w:ascii="Arial" w:cs="Arial" w:eastAsia="Arial" w:hAnsi="Arial"/>
                <w:sz w:val="11"/>
                <w:szCs w:val="11"/>
                <w:color w:val="auto"/>
                <w:w w:val="87"/>
              </w:rPr>
              <w:t>Price</w:t>
            </w:r>
          </w:p>
        </w:tc>
        <w:tc>
          <w:tcPr>
            <w:tcW w:w="4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1"/>
              </w:rPr>
              <w:t>(in years)</w:t>
            </w:r>
          </w:p>
        </w:tc>
        <w:tc>
          <w:tcPr>
            <w:tcW w:w="120" w:type="dxa"/>
            <w:vAlign w:val="bottom"/>
          </w:tcPr>
          <w:p>
            <w:pPr>
              <w:spacing w:after="0"/>
              <w:rPr>
                <w:sz w:val="11"/>
                <w:szCs w:val="11"/>
                <w:color w:val="auto"/>
              </w:rPr>
            </w:pPr>
          </w:p>
        </w:tc>
        <w:tc>
          <w:tcPr>
            <w:tcW w:w="560" w:type="dxa"/>
            <w:vAlign w:val="bottom"/>
          </w:tcPr>
          <w:p>
            <w:pPr>
              <w:jc w:val="center"/>
              <w:ind w:right="38"/>
              <w:spacing w:after="0"/>
              <w:rPr>
                <w:sz w:val="20"/>
                <w:szCs w:val="20"/>
                <w:color w:val="auto"/>
              </w:rPr>
            </w:pPr>
            <w:r>
              <w:rPr>
                <w:rFonts w:ascii="Arial" w:cs="Arial" w:eastAsia="Arial" w:hAnsi="Arial"/>
                <w:sz w:val="11"/>
                <w:szCs w:val="11"/>
                <w:color w:val="auto"/>
                <w:w w:val="93"/>
              </w:rPr>
              <w:t>(in 000's)</w:t>
            </w:r>
          </w:p>
        </w:tc>
      </w:tr>
      <w:tr>
        <w:trPr>
          <w:trHeight w:val="22"/>
        </w:trPr>
        <w:tc>
          <w:tcPr>
            <w:tcW w:w="25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Outstanding at beginning of the year</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652</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1"/>
                <w:szCs w:val="11"/>
                <w:color w:val="auto"/>
              </w:rPr>
              <w:t>39.27</w:t>
            </w: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648</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CCEEFF"/>
            </w:tcBorders>
            <w:gridSpan w:val="2"/>
            <w:shd w:val="clear" w:color="auto" w:fill="CCEEFF"/>
          </w:tcPr>
          <w:p>
            <w:pPr>
              <w:jc w:val="right"/>
              <w:ind w:right="106"/>
              <w:spacing w:after="0"/>
              <w:rPr>
                <w:sz w:val="20"/>
                <w:szCs w:val="20"/>
                <w:color w:val="auto"/>
              </w:rPr>
            </w:pPr>
            <w:r>
              <w:rPr>
                <w:rFonts w:ascii="Arial" w:cs="Arial" w:eastAsia="Arial" w:hAnsi="Arial"/>
                <w:sz w:val="11"/>
                <w:szCs w:val="11"/>
                <w:color w:val="auto"/>
              </w:rPr>
              <w:t>30.50</w:t>
            </w:r>
          </w:p>
        </w:tc>
        <w:tc>
          <w:tcPr>
            <w:tcW w:w="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1"/>
                <w:szCs w:val="11"/>
                <w:color w:val="auto"/>
              </w:rPr>
              <w:t>650</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25.56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48"/>
        </w:trPr>
        <w:tc>
          <w:tcPr>
            <w:tcW w:w="2520" w:type="dxa"/>
            <w:vAlign w:val="bottom"/>
          </w:tcPr>
          <w:p>
            <w:pPr>
              <w:ind w:left="40"/>
              <w:spacing w:after="0"/>
              <w:rPr>
                <w:sz w:val="20"/>
                <w:szCs w:val="20"/>
                <w:color w:val="auto"/>
              </w:rPr>
            </w:pPr>
            <w:r>
              <w:rPr>
                <w:rFonts w:ascii="Arial" w:cs="Arial" w:eastAsia="Arial" w:hAnsi="Arial"/>
                <w:sz w:val="11"/>
                <w:szCs w:val="11"/>
                <w:color w:val="auto"/>
              </w:rPr>
              <w:t>Granted</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92</w:t>
            </w:r>
          </w:p>
        </w:tc>
        <w:tc>
          <w:tcPr>
            <w:tcW w:w="100" w:type="dxa"/>
            <w:vAlign w:val="bottom"/>
          </w:tcPr>
          <w:p>
            <w:pPr>
              <w:spacing w:after="0"/>
              <w:rPr>
                <w:sz w:val="21"/>
                <w:szCs w:val="21"/>
                <w:color w:val="auto"/>
              </w:rPr>
            </w:pPr>
          </w:p>
        </w:tc>
        <w:tc>
          <w:tcPr>
            <w:tcW w:w="660" w:type="dxa"/>
            <w:vAlign w:val="bottom"/>
          </w:tcPr>
          <w:p>
            <w:pPr>
              <w:jc w:val="right"/>
              <w:ind w:right="125"/>
              <w:spacing w:after="0"/>
              <w:rPr>
                <w:sz w:val="20"/>
                <w:szCs w:val="20"/>
                <w:color w:val="auto"/>
              </w:rPr>
            </w:pPr>
            <w:r>
              <w:rPr>
                <w:rFonts w:ascii="Arial" w:cs="Arial" w:eastAsia="Arial" w:hAnsi="Arial"/>
                <w:sz w:val="11"/>
                <w:szCs w:val="11"/>
                <w:color w:val="auto"/>
              </w:rPr>
              <w:t>62.70</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243</w:t>
            </w:r>
          </w:p>
        </w:tc>
        <w:tc>
          <w:tcPr>
            <w:tcW w:w="100" w:type="dxa"/>
            <w:vAlign w:val="bottom"/>
          </w:tcPr>
          <w:p>
            <w:pPr>
              <w:spacing w:after="0"/>
              <w:rPr>
                <w:sz w:val="21"/>
                <w:szCs w:val="21"/>
                <w:color w:val="auto"/>
              </w:rPr>
            </w:pPr>
          </w:p>
        </w:tc>
        <w:tc>
          <w:tcPr>
            <w:tcW w:w="640" w:type="dxa"/>
            <w:vAlign w:val="bottom"/>
            <w:gridSpan w:val="2"/>
          </w:tcPr>
          <w:p>
            <w:pPr>
              <w:jc w:val="right"/>
              <w:ind w:right="106"/>
              <w:spacing w:after="0"/>
              <w:rPr>
                <w:sz w:val="20"/>
                <w:szCs w:val="20"/>
                <w:color w:val="auto"/>
              </w:rPr>
            </w:pPr>
            <w:r>
              <w:rPr>
                <w:rFonts w:ascii="Arial" w:cs="Arial" w:eastAsia="Arial" w:hAnsi="Arial"/>
                <w:sz w:val="11"/>
                <w:szCs w:val="11"/>
                <w:color w:val="auto"/>
              </w:rPr>
              <w:t>49.67</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24"/>
              <w:spacing w:after="0"/>
              <w:rPr>
                <w:sz w:val="20"/>
                <w:szCs w:val="20"/>
                <w:color w:val="auto"/>
              </w:rPr>
            </w:pPr>
            <w:r>
              <w:rPr>
                <w:rFonts w:ascii="Arial" w:cs="Arial" w:eastAsia="Arial" w:hAnsi="Arial"/>
                <w:sz w:val="11"/>
                <w:szCs w:val="11"/>
                <w:color w:val="auto"/>
              </w:rPr>
              <w:t>77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64.81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2"/>
        </w:trPr>
        <w:tc>
          <w:tcPr>
            <w:tcW w:w="2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Exercised</w:t>
            </w: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1"/>
                <w:szCs w:val="11"/>
                <w:color w:val="auto"/>
              </w:rPr>
              <w:t>25.72</w:t>
            </w: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2,140</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06"/>
              <w:spacing w:after="0"/>
              <w:rPr>
                <w:sz w:val="20"/>
                <w:szCs w:val="20"/>
                <w:color w:val="auto"/>
              </w:rPr>
            </w:pPr>
            <w:r>
              <w:rPr>
                <w:rFonts w:ascii="Arial" w:cs="Arial" w:eastAsia="Arial" w:hAnsi="Arial"/>
                <w:sz w:val="11"/>
                <w:szCs w:val="11"/>
                <w:color w:val="auto"/>
              </w:rPr>
              <w:t>26.09</w:t>
            </w:r>
          </w:p>
        </w:tc>
        <w:tc>
          <w:tcPr>
            <w:tcW w:w="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9,933</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23.97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1"/>
                <w:szCs w:val="11"/>
                <w:color w:val="auto"/>
              </w:rPr>
              <w:t>2,193</w:t>
            </w:r>
          </w:p>
        </w:tc>
      </w:tr>
      <w:tr>
        <w:trPr>
          <w:trHeight w:val="248"/>
        </w:trPr>
        <w:tc>
          <w:tcPr>
            <w:tcW w:w="2520" w:type="dxa"/>
            <w:vAlign w:val="bottom"/>
          </w:tcPr>
          <w:p>
            <w:pPr>
              <w:ind w:left="40"/>
              <w:spacing w:after="0"/>
              <w:rPr>
                <w:sz w:val="20"/>
                <w:szCs w:val="20"/>
                <w:color w:val="auto"/>
              </w:rPr>
            </w:pPr>
            <w:r>
              <w:rPr>
                <w:rFonts w:ascii="Arial" w:cs="Arial" w:eastAsia="Arial" w:hAnsi="Arial"/>
                <w:sz w:val="11"/>
                <w:szCs w:val="11"/>
                <w:color w:val="auto"/>
              </w:rPr>
              <w:t>Forfeited/canceled/expired</w:t>
            </w: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(168)</w:t>
            </w:r>
          </w:p>
        </w:tc>
        <w:tc>
          <w:tcPr>
            <w:tcW w:w="100" w:type="dxa"/>
            <w:vAlign w:val="bottom"/>
          </w:tcPr>
          <w:p>
            <w:pPr>
              <w:spacing w:after="0"/>
              <w:rPr>
                <w:sz w:val="21"/>
                <w:szCs w:val="21"/>
                <w:color w:val="auto"/>
              </w:rPr>
            </w:pPr>
          </w:p>
        </w:tc>
        <w:tc>
          <w:tcPr>
            <w:tcW w:w="660" w:type="dxa"/>
            <w:vAlign w:val="bottom"/>
          </w:tcPr>
          <w:p>
            <w:pPr>
              <w:jc w:val="right"/>
              <w:ind w:right="125"/>
              <w:spacing w:after="0"/>
              <w:rPr>
                <w:sz w:val="20"/>
                <w:szCs w:val="20"/>
                <w:color w:val="auto"/>
              </w:rPr>
            </w:pPr>
            <w:r>
              <w:rPr>
                <w:rFonts w:ascii="Arial" w:cs="Arial" w:eastAsia="Arial" w:hAnsi="Arial"/>
                <w:sz w:val="11"/>
                <w:szCs w:val="11"/>
                <w:color w:val="auto"/>
              </w:rPr>
              <w:t>46.44</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20.64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2"/>
        </w:trPr>
        <w:tc>
          <w:tcPr>
            <w:tcW w:w="25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gridSpan w:val="2"/>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gridSpan w:val="3"/>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gridSpan w:val="2"/>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r>
      <w:tr>
        <w:trPr>
          <w:trHeight w:val="232"/>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 xml:space="preserve">Outstanding at end of the year </w:t>
            </w:r>
            <w:r>
              <w:rPr>
                <w:rFonts w:ascii="Arial" w:cs="Arial" w:eastAsia="Arial" w:hAnsi="Arial"/>
                <w:sz w:val="8"/>
                <w:szCs w:val="8"/>
                <w:color w:val="auto"/>
              </w:rPr>
              <w:t>(1)</w:t>
            </w:r>
          </w:p>
        </w:tc>
        <w:tc>
          <w:tcPr>
            <w:tcW w:w="7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520</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1"/>
                <w:szCs w:val="11"/>
                <w:color w:val="auto"/>
              </w:rPr>
              <w:t>42.56</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3"/>
              </w:rPr>
              <w:t>4.25</w:t>
            </w:r>
          </w:p>
        </w:tc>
        <w:tc>
          <w:tcPr>
            <w:tcW w:w="1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5,607</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652</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CCEEFF"/>
            </w:tcBorders>
            <w:gridSpan w:val="2"/>
            <w:shd w:val="clear" w:color="auto" w:fill="CCEEFF"/>
          </w:tcPr>
          <w:p>
            <w:pPr>
              <w:jc w:val="right"/>
              <w:ind w:right="106"/>
              <w:spacing w:after="0"/>
              <w:rPr>
                <w:sz w:val="20"/>
                <w:szCs w:val="20"/>
                <w:color w:val="auto"/>
              </w:rPr>
            </w:pPr>
            <w:r>
              <w:rPr>
                <w:rFonts w:ascii="Arial" w:cs="Arial" w:eastAsia="Arial" w:hAnsi="Arial"/>
                <w:sz w:val="11"/>
                <w:szCs w:val="11"/>
                <w:color w:val="auto"/>
              </w:rPr>
              <w:t>39.27</w:t>
            </w:r>
          </w:p>
        </w:tc>
        <w:tc>
          <w:tcPr>
            <w:tcW w:w="620" w:type="dxa"/>
            <w:vAlign w:val="bottom"/>
            <w:tcBorders>
              <w:bottom w:val="single" w:sz="8" w:color="CCEEFF"/>
            </w:tcBorders>
            <w:shd w:val="clear" w:color="auto" w:fill="CCEEFF"/>
          </w:tcPr>
          <w:p>
            <w:pPr>
              <w:jc w:val="center"/>
              <w:ind w:left="18"/>
              <w:spacing w:after="0"/>
              <w:rPr>
                <w:sz w:val="20"/>
                <w:szCs w:val="20"/>
                <w:color w:val="auto"/>
              </w:rPr>
            </w:pPr>
            <w:r>
              <w:rPr>
                <w:rFonts w:ascii="Arial" w:cs="Arial" w:eastAsia="Arial" w:hAnsi="Arial"/>
                <w:sz w:val="11"/>
                <w:szCs w:val="11"/>
                <w:color w:val="auto"/>
                <w:w w:val="83"/>
              </w:rPr>
              <w:t>4.78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16,553</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rPr>
              <w:t>648</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30.50</w:t>
            </w:r>
          </w:p>
        </w:tc>
        <w:tc>
          <w:tcPr>
            <w:tcW w:w="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1"/>
                <w:szCs w:val="11"/>
                <w:color w:val="auto"/>
                <w:w w:val="83"/>
              </w:rPr>
              <w:t>4.85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1"/>
                <w:szCs w:val="11"/>
                <w:color w:val="auto"/>
              </w:rPr>
              <w:t>14,556</w:t>
            </w:r>
          </w:p>
        </w:tc>
      </w:tr>
      <w:tr>
        <w:trPr>
          <w:trHeight w:val="20"/>
        </w:trPr>
        <w:tc>
          <w:tcPr>
            <w:tcW w:w="2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6"/>
        </w:trPr>
        <w:tc>
          <w:tcPr>
            <w:tcW w:w="2520" w:type="dxa"/>
            <w:vAlign w:val="bottom"/>
          </w:tcPr>
          <w:p>
            <w:pPr>
              <w:ind w:left="40"/>
              <w:spacing w:after="0"/>
              <w:rPr>
                <w:sz w:val="20"/>
                <w:szCs w:val="20"/>
                <w:color w:val="auto"/>
              </w:rPr>
            </w:pPr>
            <w:r>
              <w:rPr>
                <w:rFonts w:ascii="Arial" w:cs="Arial" w:eastAsia="Arial" w:hAnsi="Arial"/>
                <w:sz w:val="11"/>
                <w:szCs w:val="11"/>
                <w:color w:val="auto"/>
                <w:w w:val="95"/>
              </w:rPr>
              <w:t xml:space="preserve">Vested and expected to vest at the end of the year </w:t>
            </w:r>
            <w:r>
              <w:rPr>
                <w:rFonts w:ascii="Arial" w:cs="Arial" w:eastAsia="Arial" w:hAnsi="Arial"/>
                <w:sz w:val="8"/>
                <w:szCs w:val="8"/>
                <w:color w:val="auto"/>
                <w:w w:val="95"/>
              </w:rPr>
              <w:t>(1)</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520</w:t>
            </w: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25"/>
              <w:spacing w:after="0"/>
              <w:rPr>
                <w:sz w:val="20"/>
                <w:szCs w:val="20"/>
                <w:color w:val="auto"/>
              </w:rPr>
            </w:pPr>
            <w:r>
              <w:rPr>
                <w:rFonts w:ascii="Arial" w:cs="Arial" w:eastAsia="Arial" w:hAnsi="Arial"/>
                <w:sz w:val="11"/>
                <w:szCs w:val="11"/>
                <w:color w:val="auto"/>
              </w:rPr>
              <w:t>42.56</w:t>
            </w:r>
          </w:p>
        </w:tc>
        <w:tc>
          <w:tcPr>
            <w:tcW w:w="700" w:type="dxa"/>
            <w:vAlign w:val="bottom"/>
          </w:tcPr>
          <w:p>
            <w:pPr>
              <w:jc w:val="center"/>
              <w:spacing w:after="0"/>
              <w:rPr>
                <w:sz w:val="20"/>
                <w:szCs w:val="20"/>
                <w:color w:val="auto"/>
              </w:rPr>
            </w:pPr>
            <w:r>
              <w:rPr>
                <w:rFonts w:ascii="Arial" w:cs="Arial" w:eastAsia="Arial" w:hAnsi="Arial"/>
                <w:sz w:val="11"/>
                <w:szCs w:val="11"/>
                <w:color w:val="auto"/>
                <w:w w:val="83"/>
              </w:rPr>
              <w:t>4.25</w:t>
            </w:r>
          </w:p>
        </w:tc>
        <w:tc>
          <w:tcPr>
            <w:tcW w:w="160" w:type="dxa"/>
            <w:vAlign w:val="bottom"/>
          </w:tcPr>
          <w:p>
            <w:pPr>
              <w:ind w:left="80"/>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5,607</w:t>
            </w:r>
          </w:p>
        </w:tc>
        <w:tc>
          <w:tcPr>
            <w:tcW w:w="120" w:type="dxa"/>
            <w:vAlign w:val="bottom"/>
          </w:tcPr>
          <w:p>
            <w:pPr>
              <w:spacing w:after="0"/>
              <w:rPr>
                <w:sz w:val="17"/>
                <w:szCs w:val="17"/>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652</w:t>
            </w: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640" w:type="dxa"/>
            <w:vAlign w:val="bottom"/>
            <w:gridSpan w:val="2"/>
          </w:tcPr>
          <w:p>
            <w:pPr>
              <w:jc w:val="right"/>
              <w:ind w:right="106"/>
              <w:spacing w:after="0"/>
              <w:rPr>
                <w:sz w:val="20"/>
                <w:szCs w:val="20"/>
                <w:color w:val="auto"/>
              </w:rPr>
            </w:pPr>
            <w:r>
              <w:rPr>
                <w:rFonts w:ascii="Arial" w:cs="Arial" w:eastAsia="Arial" w:hAnsi="Arial"/>
                <w:sz w:val="11"/>
                <w:szCs w:val="11"/>
                <w:color w:val="auto"/>
              </w:rPr>
              <w:t>39.27</w:t>
            </w:r>
          </w:p>
        </w:tc>
        <w:tc>
          <w:tcPr>
            <w:tcW w:w="620" w:type="dxa"/>
            <w:vAlign w:val="bottom"/>
          </w:tcPr>
          <w:p>
            <w:pPr>
              <w:jc w:val="center"/>
              <w:ind w:left="18"/>
              <w:spacing w:after="0"/>
              <w:rPr>
                <w:sz w:val="20"/>
                <w:szCs w:val="20"/>
                <w:color w:val="auto"/>
              </w:rPr>
            </w:pPr>
            <w:r>
              <w:rPr>
                <w:rFonts w:ascii="Arial" w:cs="Arial" w:eastAsia="Arial" w:hAnsi="Arial"/>
                <w:sz w:val="11"/>
                <w:szCs w:val="11"/>
                <w:color w:val="auto"/>
                <w:w w:val="83"/>
              </w:rPr>
              <w:t>4.78</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1"/>
                <w:szCs w:val="11"/>
                <w:color w:val="auto"/>
              </w:rPr>
              <w:t>16,548</w:t>
            </w:r>
          </w:p>
        </w:tc>
        <w:tc>
          <w:tcPr>
            <w:tcW w:w="120" w:type="dxa"/>
            <w:vAlign w:val="bottom"/>
          </w:tcPr>
          <w:p>
            <w:pPr>
              <w:spacing w:after="0"/>
              <w:rPr>
                <w:sz w:val="17"/>
                <w:szCs w:val="17"/>
                <w:color w:val="auto"/>
              </w:rPr>
            </w:pPr>
          </w:p>
        </w:tc>
        <w:tc>
          <w:tcPr>
            <w:tcW w:w="640" w:type="dxa"/>
            <w:vAlign w:val="bottom"/>
          </w:tcPr>
          <w:p>
            <w:pPr>
              <w:jc w:val="right"/>
              <w:ind w:right="24"/>
              <w:spacing w:after="0"/>
              <w:rPr>
                <w:sz w:val="20"/>
                <w:szCs w:val="20"/>
                <w:color w:val="auto"/>
              </w:rPr>
            </w:pPr>
            <w:r>
              <w:rPr>
                <w:rFonts w:ascii="Arial" w:cs="Arial" w:eastAsia="Arial" w:hAnsi="Arial"/>
                <w:sz w:val="11"/>
                <w:szCs w:val="11"/>
                <w:color w:val="auto"/>
              </w:rPr>
              <w:t>648</w:t>
            </w:r>
          </w:p>
        </w:tc>
        <w:tc>
          <w:tcPr>
            <w:tcW w:w="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30.50</w:t>
            </w:r>
          </w:p>
        </w:tc>
        <w:tc>
          <w:tcPr>
            <w:tcW w:w="6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Arial" w:cs="Arial" w:eastAsia="Arial" w:hAnsi="Arial"/>
                <w:sz w:val="11"/>
                <w:szCs w:val="11"/>
                <w:color w:val="auto"/>
                <w:w w:val="83"/>
              </w:rPr>
              <w:t>4.85</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38"/>
              <w:spacing w:after="0"/>
              <w:rPr>
                <w:sz w:val="20"/>
                <w:szCs w:val="20"/>
                <w:color w:val="auto"/>
              </w:rPr>
            </w:pPr>
            <w:r>
              <w:rPr>
                <w:rFonts w:ascii="Arial" w:cs="Arial" w:eastAsia="Arial" w:hAnsi="Arial"/>
                <w:sz w:val="11"/>
                <w:szCs w:val="11"/>
                <w:color w:val="auto"/>
              </w:rPr>
              <w:t>14,551</w:t>
            </w:r>
          </w:p>
        </w:tc>
      </w:tr>
      <w:tr>
        <w:trPr>
          <w:trHeight w:val="22"/>
        </w:trPr>
        <w:tc>
          <w:tcPr>
            <w:tcW w:w="2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48"/>
        </w:trPr>
        <w:tc>
          <w:tcPr>
            <w:tcW w:w="2520" w:type="dxa"/>
            <w:vAlign w:val="bottom"/>
            <w:shd w:val="clear" w:color="auto" w:fill="CCEEFF"/>
          </w:tcPr>
          <w:p>
            <w:pPr>
              <w:ind w:left="40"/>
              <w:spacing w:after="0"/>
              <w:rPr>
                <w:sz w:val="20"/>
                <w:szCs w:val="20"/>
                <w:color w:val="auto"/>
              </w:rPr>
            </w:pPr>
            <w:r>
              <w:rPr>
                <w:rFonts w:ascii="Arial" w:cs="Arial" w:eastAsia="Arial" w:hAnsi="Arial"/>
                <w:sz w:val="11"/>
                <w:szCs w:val="11"/>
                <w:color w:val="auto"/>
              </w:rPr>
              <w:t xml:space="preserve">Exercisable at the end of the year </w:t>
            </w:r>
            <w:r>
              <w:rPr>
                <w:rFonts w:ascii="Arial" w:cs="Arial" w:eastAsia="Arial" w:hAnsi="Arial"/>
                <w:sz w:val="8"/>
                <w:szCs w:val="8"/>
                <w:color w:val="auto"/>
              </w:rPr>
              <w:t>(1)</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381</w:t>
            </w: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125"/>
              <w:spacing w:after="0"/>
              <w:rPr>
                <w:sz w:val="20"/>
                <w:szCs w:val="20"/>
                <w:color w:val="auto"/>
              </w:rPr>
            </w:pPr>
            <w:r>
              <w:rPr>
                <w:rFonts w:ascii="Arial" w:cs="Arial" w:eastAsia="Arial" w:hAnsi="Arial"/>
                <w:sz w:val="11"/>
                <w:szCs w:val="11"/>
                <w:color w:val="auto"/>
              </w:rPr>
              <w:t>36.39</w:t>
            </w:r>
          </w:p>
        </w:tc>
        <w:tc>
          <w:tcPr>
            <w:tcW w:w="7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3"/>
              </w:rPr>
              <w:t>3.72</w:t>
            </w:r>
          </w:p>
        </w:tc>
        <w:tc>
          <w:tcPr>
            <w:tcW w:w="160" w:type="dxa"/>
            <w:vAlign w:val="bottom"/>
            <w:shd w:val="clear" w:color="auto" w:fill="CCEEFF"/>
          </w:tcPr>
          <w:p>
            <w:pPr>
              <w:ind w:left="80"/>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5,607</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363</w:t>
            </w: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640" w:type="dxa"/>
            <w:vAlign w:val="bottom"/>
            <w:gridSpan w:val="2"/>
            <w:shd w:val="clear" w:color="auto" w:fill="CCEEFF"/>
          </w:tcPr>
          <w:p>
            <w:pPr>
              <w:jc w:val="right"/>
              <w:ind w:right="106"/>
              <w:spacing w:after="0"/>
              <w:rPr>
                <w:sz w:val="20"/>
                <w:szCs w:val="20"/>
                <w:color w:val="auto"/>
              </w:rPr>
            </w:pPr>
            <w:r>
              <w:rPr>
                <w:rFonts w:ascii="Arial" w:cs="Arial" w:eastAsia="Arial" w:hAnsi="Arial"/>
                <w:sz w:val="11"/>
                <w:szCs w:val="11"/>
                <w:color w:val="auto"/>
              </w:rPr>
              <w:t>30.21</w:t>
            </w:r>
          </w:p>
        </w:tc>
        <w:tc>
          <w:tcPr>
            <w:tcW w:w="620" w:type="dxa"/>
            <w:vAlign w:val="bottom"/>
            <w:shd w:val="clear" w:color="auto" w:fill="CCEEFF"/>
          </w:tcPr>
          <w:p>
            <w:pPr>
              <w:jc w:val="center"/>
              <w:ind w:left="18"/>
              <w:spacing w:after="0"/>
              <w:rPr>
                <w:sz w:val="20"/>
                <w:szCs w:val="20"/>
                <w:color w:val="auto"/>
              </w:rPr>
            </w:pPr>
            <w:r>
              <w:rPr>
                <w:rFonts w:ascii="Arial" w:cs="Arial" w:eastAsia="Arial" w:hAnsi="Arial"/>
                <w:sz w:val="11"/>
                <w:szCs w:val="11"/>
                <w:color w:val="auto"/>
                <w:w w:val="83"/>
              </w:rPr>
              <w:t>3.88</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21"/>
                <w:szCs w:val="21"/>
                <w:color w:val="auto"/>
              </w:rPr>
            </w:pP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12,511</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493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25.03</w:t>
            </w:r>
          </w:p>
        </w:tc>
        <w:tc>
          <w:tcPr>
            <w:tcW w:w="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83"/>
              </w:rPr>
              <w:t>4.51</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1"/>
                <w:szCs w:val="11"/>
                <w:color w:val="auto"/>
              </w:rPr>
              <w:t>12,979</w:t>
            </w:r>
          </w:p>
        </w:tc>
      </w:tr>
      <w:tr>
        <w:trPr>
          <w:trHeight w:val="22"/>
        </w:trPr>
        <w:tc>
          <w:tcPr>
            <w:tcW w:w="25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62" w:lineRule="auto"/>
        <w:tabs>
          <w:tab w:leader="none" w:pos="660" w:val="left"/>
        </w:tabs>
        <w:numPr>
          <w:ilvl w:val="0"/>
          <w:numId w:val="29"/>
        </w:numPr>
        <w:rPr>
          <w:rFonts w:ascii="Arial" w:cs="Arial" w:eastAsia="Arial" w:hAnsi="Arial"/>
          <w:sz w:val="22"/>
          <w:szCs w:val="22"/>
          <w:color w:val="auto"/>
          <w:vertAlign w:val="superscript"/>
        </w:rPr>
      </w:pPr>
      <w:r>
        <w:rPr>
          <w:rFonts w:ascii="Arial" w:cs="Arial" w:eastAsia="Arial" w:hAnsi="Arial"/>
          <w:sz w:val="16"/>
          <w:szCs w:val="16"/>
          <w:color w:val="auto"/>
        </w:rPr>
        <w:t>The aggregate intrinsic value represents the total pre-tax value (the difference between our closing stock price on the last trading day of 2017, 2016, and 2015 and the exercise price, multiplied by the number of in-the-money options) that would have been received by the option holders had they all exercised their options on December 31, 2017, 2016, and 2015. This amount will change based on the fair market value of our stock.</w:t>
      </w:r>
    </w:p>
    <w:p>
      <w:pPr>
        <w:spacing w:after="0" w:line="132"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On September 11, 2017, the independent members of our Board of Directors voluntarily surrendered 150,000 stock options originally granted to them in February 2016, resulting in the acceleration and recording of $1.2 million of stock-based compensation expense during the year ended December 31, 2017. This amount represented all remaining unamortized compensation expense associated with the surrendered stock options as of the surrender date.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2017, 2016, and 2015, there were no modifications made to outstanding stock options.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received from option exercises for the years ended December 31, 2017, 2016, and 2015 was $1.4 million, $6.2 million, and $1.7 million, respectively. The actual tax benefit realized from option exercises was $0.7 million, $2.6 million and $0.5 million for the years ended December 31, 2017, 2016, and 2015,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18" w:right="2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Significant option groups outstanding at December 31, 2017 and the related weighted average exercise price and life information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Options Outstanding</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3"/>
                <w:szCs w:val="13"/>
                <w:color w:val="auto"/>
              </w:rPr>
            </w:pPr>
          </w:p>
        </w:tc>
        <w:tc>
          <w:tcPr>
            <w:tcW w:w="18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Weighted-Average</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Remaining</w:t>
            </w: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Weighted-Average</w:t>
            </w: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Weighted-Average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20" w:type="dxa"/>
            <w:vAlign w:val="bottom"/>
            <w:vMerge w:val="restart"/>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Contractual Term (in</w:t>
            </w:r>
          </w:p>
        </w:tc>
        <w:tc>
          <w:tcPr>
            <w:tcW w:w="1380" w:type="dxa"/>
            <w:vAlign w:val="bottom"/>
            <w:gridSpan w:val="3"/>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 000’s)</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3"/>
              </w:rPr>
              <w:t>Exercise Price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 000’s)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$18.25 to $21.95</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155</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26.48 to 27.74</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17</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27.02</w:t>
            </w:r>
          </w:p>
        </w:tc>
        <w:tc>
          <w:tcPr>
            <w:tcW w:w="120" w:type="dxa"/>
            <w:vAlign w:val="bottom"/>
          </w:tcPr>
          <w:p>
            <w:pPr>
              <w:spacing w:after="0"/>
              <w:rPr>
                <w:sz w:val="21"/>
                <w:szCs w:val="21"/>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35.28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85</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51.38 to 65.54</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263</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59.31</w:t>
            </w:r>
          </w:p>
        </w:tc>
        <w:tc>
          <w:tcPr>
            <w:tcW w:w="120" w:type="dxa"/>
            <w:vAlign w:val="bottom"/>
          </w:tcPr>
          <w:p>
            <w:pPr>
              <w:spacing w:after="0"/>
              <w:rPr>
                <w:sz w:val="21"/>
                <w:szCs w:val="21"/>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59.10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520</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42.56</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381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36.39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we expect to recognize $2.0 million of total unrecognized pre-tax stock-based compensation expense related to non-vested stock options over a remaining weighted-average life of 1.7 years.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February 8, 2018, certain executive employees were granted 119,220 stock options in connection with the 2017 annual review cycle. The options were granted as part of long-term incentive compensation to assist us in meeting our performance and retention objectives and are subject to a three-year vesting period (33.33% on February 8, 2019 and 8.33% each quarter thereafter). The total grant date fair value of these awards was $1.7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3"/>
              </w:rPr>
              <w:t>2017</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9"/>
              </w:rPr>
              <w:t>2016</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Weighted-</w:t>
            </w: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9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(in 000’s)</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9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(in 000’s)</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10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(in 000’s)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Non-vested at beginning of the year</w:t>
            </w:r>
          </w:p>
        </w:tc>
        <w:tc>
          <w:tcPr>
            <w:tcW w:w="980" w:type="dxa"/>
            <w:vAlign w:val="bottom"/>
          </w:tcPr>
          <w:p>
            <w:pPr>
              <w:jc w:val="right"/>
              <w:spacing w:after="0"/>
              <w:rPr>
                <w:sz w:val="20"/>
                <w:szCs w:val="20"/>
                <w:color w:val="auto"/>
              </w:rPr>
            </w:pPr>
            <w:r>
              <w:rPr>
                <w:rFonts w:ascii="Arial" w:cs="Arial" w:eastAsia="Arial" w:hAnsi="Arial"/>
                <w:sz w:val="18"/>
                <w:szCs w:val="18"/>
                <w:color w:val="auto"/>
              </w:rPr>
              <w:t>153</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57.43</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51.31</w:t>
            </w:r>
          </w:p>
        </w:tc>
        <w:tc>
          <w:tcPr>
            <w:tcW w:w="10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266</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39.28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64.14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63.30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53.64</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Vested</w:t>
            </w:r>
          </w:p>
        </w:tc>
        <w:tc>
          <w:tcPr>
            <w:tcW w:w="980" w:type="dxa"/>
            <w:vAlign w:val="bottom"/>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59.67</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51.10</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35.09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60.11</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60.17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63.19</w:t>
            </w:r>
          </w:p>
        </w:tc>
        <w:tc>
          <w:tcPr>
            <w:tcW w:w="0" w:type="dxa"/>
            <w:vAlign w:val="bottom"/>
          </w:tcPr>
          <w:p>
            <w:pPr>
              <w:spacing w:after="0"/>
              <w:rPr>
                <w:sz w:val="1"/>
                <w:szCs w:val="1"/>
                <w:color w:val="auto"/>
              </w:rPr>
            </w:pPr>
          </w:p>
        </w:tc>
      </w:tr>
      <w:tr>
        <w:trPr>
          <w:trHeight w:val="257"/>
        </w:trPr>
        <w:tc>
          <w:tcPr>
            <w:tcW w:w="4360" w:type="dxa"/>
            <w:vAlign w:val="bottom"/>
          </w:tcPr>
          <w:p>
            <w:pPr>
              <w:ind w:left="40"/>
              <w:spacing w:after="0"/>
              <w:rPr>
                <w:sz w:val="20"/>
                <w:szCs w:val="20"/>
                <w:color w:val="auto"/>
              </w:rPr>
            </w:pPr>
            <w:r>
              <w:rPr>
                <w:rFonts w:ascii="Arial" w:cs="Arial" w:eastAsia="Arial" w:hAnsi="Arial"/>
                <w:sz w:val="18"/>
                <w:szCs w:val="18"/>
                <w:color w:val="auto"/>
              </w:rPr>
              <w:t>Non-vested at end of the year</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60" w:type="dxa"/>
            <w:vAlign w:val="bottom"/>
            <w:tcBorders>
              <w:top w:val="single" w:sz="8" w:color="auto"/>
              <w:bottom w:val="single" w:sz="8" w:color="auto"/>
            </w:tcBorders>
          </w:tcPr>
          <w:p>
            <w:pPr>
              <w:spacing w:after="0"/>
              <w:rPr>
                <w:sz w:val="22"/>
                <w:szCs w:val="22"/>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61.19</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40" w:type="dxa"/>
            <w:vAlign w:val="bottom"/>
            <w:tcBorders>
              <w:top w:val="single" w:sz="8" w:color="auto"/>
              <w:bottom w:val="single" w:sz="8" w:color="auto"/>
            </w:tcBorders>
          </w:tcPr>
          <w:p>
            <w:pPr>
              <w:spacing w:after="0"/>
              <w:rPr>
                <w:sz w:val="22"/>
                <w:szCs w:val="22"/>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57.43</w:t>
            </w:r>
          </w:p>
        </w:tc>
        <w:tc>
          <w:tcPr>
            <w:tcW w:w="100" w:type="dxa"/>
            <w:vAlign w:val="bottom"/>
            <w:tcBorders>
              <w:top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225</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51.31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we expect to recognize $7.7 million of total unrecognized pre-tax stock-based compensation expense related to non-vested restricted stock awards over a weighted-average life of 1.6 years.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2018, certain executives and employees were granted 133,406 restricted stock awards in connection with the 2017 annual review cycle. These awards were granted as part of long-term incentive compensation to assist us in meeting our performance and retention objectives and are subject to a three-year vesting period (37,820 of these awards vest 33.33% on February 8, 2019 and 8.33% each quarter thereafter; and 95,586 of these awards vest at a rate of 33.33% per year beginning on February 21, 2019). The total grant date fair value of these awards was $6.0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active stock-based incentive plans include those adopted in 1999, 2003, 2006, 2010 and 2014 ("Stock Incentive Plans"). Under the Stock Incentive Plans, we may grant stock options, stock appreciation rights, restricted stock units, performance stock units, or any combination thereof for a period of ten years from the approval date of each respective plan, unless the plan is terminated by resolution of our Board of Directors. No stock appreciation rights or performance stock units have been awarded under our Stock Incentive Plans. Only directors and employees meeting certain employment qualifications are eligible to receive stock-based awards.</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grant price of stock option and restricted stock awards granted under our Stock Incentive Plans is the average of the high and low trades of our stock on the grant date. We prohibit the re-pricing or backdating of stock options. Our stock options become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18" w:right="2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3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exercisable in various proportions over a three- or four-year time frame. Stock options have a maximum ten-year term. Restricted stock awards vest in various proportions over a one- to three-year time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Detailed information regarding our active Stock Incentive Plans was as follows at December 31, 2017:</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Initial Shares</w:t>
            </w: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Remaining Shares</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1"/>
              </w:rPr>
              <w:t>Outstanding Shares</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Approval Date</w:t>
            </w:r>
          </w:p>
        </w:tc>
        <w:tc>
          <w:tcPr>
            <w:tcW w:w="120" w:type="dxa"/>
            <w:vAlign w:val="bottom"/>
            <w:vMerge w:val="restart"/>
          </w:tcPr>
          <w:p>
            <w:pPr>
              <w:spacing w:after="0"/>
              <w:rPr>
                <w:sz w:val="12"/>
                <w:szCs w:val="12"/>
                <w:color w:val="auto"/>
              </w:rPr>
            </w:pP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Available for Grant</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Available for Grant</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Granted</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Under the Plan</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Under the Plan</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Under the Plan</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1999A Stock Incentive Plan</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10/7/1999</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1,000,000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2003 Stock Incentive Plan</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6/18/2003</w:t>
            </w:r>
          </w:p>
        </w:tc>
        <w:tc>
          <w:tcPr>
            <w:tcW w:w="120" w:type="dxa"/>
            <w:vAlign w:val="bottom"/>
          </w:tcPr>
          <w:p>
            <w:pPr>
              <w:spacing w:after="0"/>
              <w:rPr>
                <w:sz w:val="21"/>
                <w:szCs w:val="21"/>
                <w:color w:val="auto"/>
              </w:rPr>
            </w:pPr>
          </w:p>
        </w:tc>
        <w:tc>
          <w:tcPr>
            <w:tcW w:w="1840" w:type="dxa"/>
            <w:vAlign w:val="bottom"/>
          </w:tcPr>
          <w:p>
            <w:pPr>
              <w:jc w:val="right"/>
              <w:ind w:right="57"/>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1"/>
                <w:szCs w:val="21"/>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14,391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2006 Stock Incentive Plan</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6/13/2006</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1,000,000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82,572</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2010 Stock Incentive Plan</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6/15/2010</w:t>
            </w:r>
          </w:p>
        </w:tc>
        <w:tc>
          <w:tcPr>
            <w:tcW w:w="120" w:type="dxa"/>
            <w:vAlign w:val="bottom"/>
          </w:tcPr>
          <w:p>
            <w:pPr>
              <w:spacing w:after="0"/>
              <w:rPr>
                <w:sz w:val="21"/>
                <w:szCs w:val="21"/>
                <w:color w:val="auto"/>
              </w:rPr>
            </w:pPr>
          </w:p>
        </w:tc>
        <w:tc>
          <w:tcPr>
            <w:tcW w:w="1840" w:type="dxa"/>
            <w:vAlign w:val="bottom"/>
          </w:tcPr>
          <w:p>
            <w:pPr>
              <w:jc w:val="right"/>
              <w:ind w:right="57"/>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1"/>
                <w:szCs w:val="21"/>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203,303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2014 Stock Incentive Plan</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6/12/2014</w:t>
            </w:r>
          </w:p>
        </w:tc>
        <w:tc>
          <w:tcPr>
            <w:tcW w:w="1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1,100,000</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448,051</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373,673</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448,051</w:t>
            </w: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681,439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Performance-Based Common Stock Warrants</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9, 2016, we issued common stock purchase warrants to Comcast to purchase up to 725,000 shares of our common stock at a price of $54.55 per share. The right to exercise the warrants is subject to vesting over three successive two-year periods (with the first two-year period commencing on January 1, 2016) based on the level of purchases of goods and services from us by Comcast and its affiliates, as defined in the warrants. The table below presents the purchase levels and number of warrants that will vest in each period based upon achieving these purchase levels.</w:t>
      </w:r>
    </w:p>
    <w:p>
      <w:pPr>
        <w:spacing w:after="0" w:line="271"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3820" w:type="dxa"/>
            <w:vAlign w:val="bottom"/>
            <w:tcBorders>
              <w:bottom w:val="single" w:sz="8" w:color="auto"/>
            </w:tcBorders>
            <w:gridSpan w:val="5"/>
          </w:tcPr>
          <w:p>
            <w:pPr>
              <w:jc w:val="center"/>
              <w:ind w:left="1398"/>
              <w:spacing w:after="0"/>
              <w:rPr>
                <w:sz w:val="20"/>
                <w:szCs w:val="20"/>
                <w:color w:val="auto"/>
              </w:rPr>
            </w:pPr>
            <w:r>
              <w:rPr>
                <w:rFonts w:ascii="Arial" w:cs="Arial" w:eastAsia="Arial" w:hAnsi="Arial"/>
                <w:sz w:val="14"/>
                <w:szCs w:val="14"/>
                <w:b w:val="1"/>
                <w:bCs w:val="1"/>
                <w:color w:val="auto"/>
                <w:w w:val="96"/>
              </w:rPr>
              <w:t>Incremental Warrants That Will Vest</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Aggregate Level of Purchases by Comcast and Affiliates</w:t>
            </w:r>
          </w:p>
        </w:tc>
        <w:tc>
          <w:tcPr>
            <w:tcW w:w="18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January 1, 2016 -</w:t>
            </w:r>
          </w:p>
        </w:tc>
        <w:tc>
          <w:tcPr>
            <w:tcW w:w="202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January 1, 2018 -</w:t>
            </w:r>
          </w:p>
        </w:tc>
        <w:tc>
          <w:tcPr>
            <w:tcW w:w="146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w w:val="99"/>
              </w:rPr>
              <w:t>January 1, 2020 -</w:t>
            </w:r>
          </w:p>
        </w:tc>
        <w:tc>
          <w:tcPr>
            <w:tcW w:w="0" w:type="dxa"/>
            <w:vAlign w:val="bottom"/>
          </w:tcPr>
          <w:p>
            <w:pPr>
              <w:spacing w:after="0"/>
              <w:rPr>
                <w:sz w:val="1"/>
                <w:szCs w:val="1"/>
                <w:color w:val="auto"/>
              </w:rPr>
            </w:pPr>
          </w:p>
        </w:tc>
      </w:tr>
      <w:tr>
        <w:trPr>
          <w:trHeight w:val="192"/>
        </w:trPr>
        <w:tc>
          <w:tcPr>
            <w:tcW w:w="6000" w:type="dxa"/>
            <w:vAlign w:val="bottom"/>
            <w:vMerge w:val="continue"/>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2017</w:t>
            </w:r>
          </w:p>
        </w:tc>
        <w:tc>
          <w:tcPr>
            <w:tcW w:w="2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December 31, 2019</w:t>
            </w:r>
          </w:p>
        </w:tc>
        <w:tc>
          <w:tcPr>
            <w:tcW w:w="1460" w:type="dxa"/>
            <w:vAlign w:val="bottom"/>
          </w:tcPr>
          <w:p>
            <w:pPr>
              <w:jc w:val="right"/>
              <w:ind w:right="176"/>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50"/>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$260 million</w:t>
            </w:r>
          </w:p>
        </w:tc>
        <w:tc>
          <w:tcPr>
            <w:tcW w:w="17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$300 million</w:t>
            </w:r>
          </w:p>
        </w:tc>
        <w:tc>
          <w:tcPr>
            <w:tcW w:w="1700" w:type="dxa"/>
            <w:vAlign w:val="bottom"/>
          </w:tcPr>
          <w:p>
            <w:pPr>
              <w:jc w:val="right"/>
              <w:ind w:right="38"/>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$340 million</w:t>
            </w:r>
          </w:p>
        </w:tc>
        <w:tc>
          <w:tcPr>
            <w:tcW w:w="1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64"/>
        </w:trPr>
        <w:tc>
          <w:tcPr>
            <w:tcW w:w="6000" w:type="dxa"/>
            <w:vAlign w:val="bottom"/>
          </w:tcPr>
          <w:p>
            <w:pPr>
              <w:ind w:left="20"/>
              <w:spacing w:after="0"/>
              <w:rPr>
                <w:sz w:val="20"/>
                <w:szCs w:val="20"/>
                <w:color w:val="auto"/>
              </w:rPr>
            </w:pPr>
            <w:r>
              <w:rPr>
                <w:rFonts w:ascii="Arial" w:cs="Arial" w:eastAsia="Arial" w:hAnsi="Arial"/>
                <w:sz w:val="14"/>
                <w:szCs w:val="14"/>
                <w:b w:val="1"/>
                <w:bCs w:val="1"/>
                <w:color w:val="auto"/>
              </w:rPr>
              <w:t>Maximum Potential Warrants Earned by Comcast</w:t>
            </w:r>
          </w:p>
        </w:tc>
        <w:tc>
          <w:tcPr>
            <w:tcW w:w="17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total aggregate purchases by Comcast and its affiliates are below $260 million in any of the two-year periods above, no warrants will vest related to that two-year period. If total aggregate purchases of goods and services by Comcast and its affiliates exceed $340 million during either the first or second two-year period, the amount of any such excess will count toward aggregate purchases in the following two-year period. To fully vest in the rights to purchase all of the underlying shares, Comcast and its affiliates must purchase an aggregate of $1.02 billion in goods and services from us during the six-year vesting period.</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and all warrants that vest will expire on January 1, 2023. The warrants provide for certain adjustments that may be made to the exercise price and the number of shares issuable upon exercise due to customary anti-dilution provisions. Additionally, in connection with the common stock purchase warrants, we have also entered into a registration rights agreement with Comcast under which Comcast may from time to time request that we register the shares of common stock underlying vested warrants with the SEC.</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the warrants contain performance criteria under which Comcast must achieve specified aggregate purchase levels for the warrants to vest, as detailed above, the measurement date for the warrants is the date on which the warrants vest. For the first two-year period ended December 31, 2017, Comcast earned and vested in 175,000 out of the maximum potential 250,000 warrants.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18" w:right="2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The assumptions we utilized in the Black-Scholes option pricing model and the resulting weighted average fair value of the warrants were the following:</w:t>
      </w:r>
    </w:p>
    <w:p>
      <w:pPr>
        <w:spacing w:after="0" w:line="296"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23495</wp:posOffset>
            </wp:positionV>
            <wp:extent cx="24523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6"/>
                <w:szCs w:val="16"/>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0"/>
              </w:rPr>
              <w:t>$19.49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left="614"/>
              <w:spacing w:after="0"/>
              <w:rPr>
                <w:sz w:val="20"/>
                <w:szCs w:val="20"/>
                <w:color w:val="auto"/>
              </w:rPr>
            </w:pPr>
            <w:r>
              <w:rPr>
                <w:rFonts w:ascii="Arial" w:cs="Arial" w:eastAsia="Arial" w:hAnsi="Arial"/>
                <w:sz w:val="18"/>
                <w:szCs w:val="18"/>
                <w:color w:val="auto"/>
                <w:w w:val="90"/>
              </w:rPr>
              <w:t>$30.88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Price of Universal Electronics Inc. common stock</w:t>
            </w: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ind w:left="180"/>
              <w:spacing w:after="0"/>
              <w:rPr>
                <w:sz w:val="20"/>
                <w:szCs w:val="20"/>
                <w:color w:val="auto"/>
              </w:rPr>
            </w:pPr>
            <w:r>
              <w:rPr>
                <w:rFonts w:ascii="Arial" w:cs="Arial" w:eastAsia="Arial" w:hAnsi="Arial"/>
                <w:sz w:val="18"/>
                <w:szCs w:val="18"/>
                <w:color w:val="auto"/>
                <w:w w:val="90"/>
              </w:rPr>
              <w:t>$55.61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center"/>
              <w:ind w:left="614"/>
              <w:spacing w:after="0"/>
              <w:rPr>
                <w:sz w:val="20"/>
                <w:szCs w:val="20"/>
                <w:color w:val="auto"/>
              </w:rPr>
            </w:pPr>
            <w:r>
              <w:rPr>
                <w:rFonts w:ascii="Arial" w:cs="Arial" w:eastAsia="Arial" w:hAnsi="Arial"/>
                <w:sz w:val="18"/>
                <w:szCs w:val="18"/>
                <w:color w:val="auto"/>
                <w:w w:val="90"/>
              </w:rPr>
              <w:t>$65.78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ind w:left="634"/>
              <w:spacing w:after="0"/>
              <w:rPr>
                <w:sz w:val="20"/>
                <w:szCs w:val="20"/>
                <w:color w:val="auto"/>
              </w:rPr>
            </w:pPr>
            <w:r>
              <w:rPr>
                <w:rFonts w:ascii="Arial" w:cs="Arial" w:eastAsia="Arial" w:hAnsi="Arial"/>
                <w:sz w:val="18"/>
                <w:szCs w:val="18"/>
                <w:color w:val="auto"/>
                <w:w w:val="90"/>
              </w:rPr>
              <w:t>2.09%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34.30%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39.30%</w:t>
            </w:r>
          </w:p>
        </w:tc>
        <w:tc>
          <w:tcPr>
            <w:tcW w:w="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5.17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6.00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378"/>
        </w:trPr>
        <w:tc>
          <w:tcPr>
            <w:tcW w:w="8740" w:type="dxa"/>
            <w:vAlign w:val="bottom"/>
            <w:gridSpan w:val="7"/>
          </w:tcPr>
          <w:p>
            <w:pPr>
              <w:spacing w:after="0"/>
              <w:rPr>
                <w:sz w:val="20"/>
                <w:szCs w:val="20"/>
                <w:color w:val="auto"/>
              </w:rPr>
            </w:pPr>
            <w:r>
              <w:rPr>
                <w:rFonts w:ascii="Arial" w:cs="Arial" w:eastAsia="Arial" w:hAnsi="Arial"/>
                <w:sz w:val="18"/>
                <w:szCs w:val="18"/>
                <w:color w:val="auto"/>
                <w:w w:val="94"/>
              </w:rPr>
              <w:t>The impact to net sales recorded in connection with the warrants and the related income tax benefit were as follows:</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 to 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3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1"/>
                <w:szCs w:val="21"/>
                <w:color w:val="auto"/>
              </w:rPr>
            </w:pPr>
          </w:p>
        </w:tc>
      </w:tr>
      <w:tr>
        <w:trPr>
          <w:trHeight w:val="648"/>
        </w:trPr>
        <w:tc>
          <w:tcPr>
            <w:tcW w:w="6740" w:type="dxa"/>
            <w:vAlign w:val="bottom"/>
          </w:tcPr>
          <w:p>
            <w:pPr>
              <w:spacing w:after="0"/>
              <w:rPr>
                <w:sz w:val="20"/>
                <w:szCs w:val="20"/>
                <w:color w:val="auto"/>
              </w:rPr>
            </w:pPr>
            <w:r>
              <w:rPr>
                <w:rFonts w:ascii="Arial" w:cs="Arial" w:eastAsia="Arial" w:hAnsi="Arial"/>
                <w:sz w:val="18"/>
                <w:szCs w:val="18"/>
                <w:b w:val="1"/>
                <w:bCs w:val="1"/>
                <w:color w:val="auto"/>
              </w:rPr>
              <w:t>Note 18 — Other Income (Expense), Net</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6740" w:type="dxa"/>
            <w:vAlign w:val="bottom"/>
          </w:tcPr>
          <w:p>
            <w:pPr>
              <w:spacing w:after="0"/>
              <w:rPr>
                <w:sz w:val="20"/>
                <w:szCs w:val="20"/>
                <w:color w:val="auto"/>
              </w:rPr>
            </w:pPr>
            <w:r>
              <w:rPr>
                <w:rFonts w:ascii="Arial" w:cs="Arial" w:eastAsia="Arial" w:hAnsi="Arial"/>
                <w:sz w:val="18"/>
                <w:szCs w:val="18"/>
                <w:color w:val="auto"/>
              </w:rPr>
              <w:t>Other income (expense), net consisted of the following:</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67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2"/>
                <w:szCs w:val="22"/>
                <w:color w:val="auto"/>
              </w:rPr>
            </w:pP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Net gain (loss) on foreign currency exchange contracts</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(3,603)</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ind w:left="634"/>
              <w:spacing w:after="0"/>
              <w:rPr>
                <w:sz w:val="20"/>
                <w:szCs w:val="20"/>
                <w:color w:val="auto"/>
              </w:rPr>
            </w:pPr>
            <w:r>
              <w:rPr>
                <w:rFonts w:ascii="Arial" w:cs="Arial" w:eastAsia="Arial" w:hAnsi="Arial"/>
                <w:sz w:val="18"/>
                <w:szCs w:val="18"/>
                <w:color w:val="auto"/>
                <w:w w:val="86"/>
              </w:rPr>
              <w:t>294</w:t>
            </w:r>
          </w:p>
        </w:tc>
        <w:tc>
          <w:tcPr>
            <w:tcW w:w="20" w:type="dxa"/>
            <w:vAlign w:val="bottom"/>
          </w:tcPr>
          <w:p>
            <w:pPr>
              <w:spacing w:after="0"/>
              <w:rPr>
                <w:sz w:val="23"/>
                <w:szCs w:val="23"/>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gain (loss) on foreign currency exchange transactions</w:t>
            </w:r>
          </w:p>
        </w:tc>
        <w:tc>
          <w:tcPr>
            <w:tcW w:w="360" w:type="dxa"/>
            <w:vAlign w:val="bottom"/>
          </w:tcPr>
          <w:p>
            <w:pPr>
              <w:spacing w:after="0"/>
              <w:rPr>
                <w:sz w:val="21"/>
                <w:szCs w:val="21"/>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5"/>
          </w:tcPr>
          <w:p>
            <w:pPr>
              <w:jc w:val="right"/>
              <w:ind w:right="120"/>
              <w:spacing w:after="0"/>
              <w:rPr>
                <w:sz w:val="20"/>
                <w:szCs w:val="20"/>
                <w:color w:val="auto"/>
              </w:rPr>
            </w:pPr>
            <w:r>
              <w:rPr>
                <w:rFonts w:ascii="Arial" w:cs="Arial" w:eastAsia="Arial" w:hAnsi="Arial"/>
                <w:sz w:val="18"/>
                <w:szCs w:val="18"/>
                <w:color w:val="auto"/>
              </w:rPr>
              <w:t>1,911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center"/>
              <w:ind w:left="634"/>
              <w:spacing w:after="0"/>
              <w:rPr>
                <w:sz w:val="20"/>
                <w:szCs w:val="20"/>
                <w:color w:val="auto"/>
              </w:rPr>
            </w:pPr>
            <w:r>
              <w:rPr>
                <w:rFonts w:ascii="Arial" w:cs="Arial" w:eastAsia="Arial" w:hAnsi="Arial"/>
                <w:sz w:val="18"/>
                <w:szCs w:val="18"/>
                <w:color w:val="auto"/>
                <w:w w:val="90"/>
              </w:rPr>
              <w:t>(522)</w:t>
            </w:r>
          </w:p>
        </w:tc>
        <w:tc>
          <w:tcPr>
            <w:tcW w:w="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79"/>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center"/>
              <w:ind w:left="634"/>
              <w:spacing w:after="0"/>
              <w:rPr>
                <w:sz w:val="20"/>
                <w:szCs w:val="20"/>
                <w:color w:val="auto"/>
              </w:rPr>
            </w:pPr>
            <w:r>
              <w:rPr>
                <w:rFonts w:ascii="Arial" w:cs="Arial" w:eastAsia="Arial" w:hAnsi="Arial"/>
                <w:sz w:val="18"/>
                <w:szCs w:val="18"/>
                <w:color w:val="auto"/>
                <w:w w:val="86"/>
              </w:rPr>
              <w:t>221</w:t>
            </w:r>
          </w:p>
        </w:tc>
        <w:tc>
          <w:tcPr>
            <w:tcW w:w="20" w:type="dxa"/>
            <w:vAlign w:val="bottom"/>
          </w:tcPr>
          <w:p>
            <w:pPr>
              <w:spacing w:after="0"/>
              <w:rPr>
                <w:sz w:val="23"/>
                <w:szCs w:val="23"/>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0"/>
                <w:szCs w:val="20"/>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gridSpan w:val="4"/>
          </w:tcPr>
          <w:p>
            <w:pPr>
              <w:jc w:val="right"/>
              <w:ind w:right="120"/>
              <w:spacing w:after="0"/>
              <w:rPr>
                <w:sz w:val="20"/>
                <w:szCs w:val="20"/>
                <w:color w:val="auto"/>
              </w:rPr>
            </w:pPr>
            <w:r>
              <w:rPr>
                <w:rFonts w:ascii="Arial" w:cs="Arial" w:eastAsia="Arial" w:hAnsi="Arial"/>
                <w:sz w:val="18"/>
                <w:szCs w:val="18"/>
                <w:color w:val="auto"/>
                <w:w w:val="79"/>
              </w:rPr>
              <w:t>840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This represents the gains and (losses) incurred on foreign currency hedging derivatives (see Note 20 for further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Earnings (Loss)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Earnings (loss) per share was calculated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per-share amounts)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(loss) attributable to Universal Electronics Inc.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(10,323)</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20,354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29,174</w:t>
            </w: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15,248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Basic earnings (loss) per share attributable to Universal Electronics Inc.</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1.91</w:t>
            </w: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DILUTED</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(loss) attributable to Universal Electronics Inc.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(10,323)</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20,354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29,174</w:t>
            </w: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 for basic</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14,351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14,465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15,248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Dilutive effect of stock options, restricted stock and common stock warrants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294</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on a diluted basis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15,542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Diluted earnings (loss) per share attributable to Universal Electronics Inc.</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1.88</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18" w:right="239" w:bottom="1440" w:gutter="0" w:footer="0" w:header="0"/>
          <w:type w:val="continuous"/>
        </w:sectPr>
      </w:pPr>
    </w:p>
    <w:bookmarkStart w:id="73" w:name="page74"/>
    <w:bookmarkEnd w:id="7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number of stock options, shares of restricted stock and common stock warrants were excluded from the computation of diluted earnings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 common share as their inclusion would have been anti-dilutive: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14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648</w:t>
            </w:r>
          </w:p>
        </w:tc>
        <w:tc>
          <w:tcPr>
            <w:tcW w:w="15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Restricted stock awards</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221</w:t>
            </w:r>
          </w:p>
        </w:tc>
        <w:tc>
          <w:tcPr>
            <w:tcW w:w="1580" w:type="dxa"/>
            <w:vAlign w:val="bottom"/>
            <w:gridSpan w:val="2"/>
          </w:tcPr>
          <w:p>
            <w:pPr>
              <w:jc w:val="right"/>
              <w:ind w:right="39"/>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28</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Performance-based warrants</w:t>
            </w: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Derivatives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total net fair value of derivatives: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December 31, 2016</w:t>
            </w:r>
          </w:p>
        </w:tc>
        <w:tc>
          <w:tcPr>
            <w:tcW w:w="900" w:type="dxa"/>
            <w:vAlign w:val="bottom"/>
            <w:tcBorders>
              <w:bottom w:val="single" w:sz="8" w:color="auto"/>
            </w:tcBorders>
          </w:tcPr>
          <w:p>
            <w:pPr>
              <w:spacing w:after="0"/>
              <w:rPr>
                <w:sz w:val="16"/>
                <w:szCs w:val="16"/>
                <w:color w:val="auto"/>
              </w:rPr>
            </w:pPr>
          </w:p>
        </w:tc>
      </w:tr>
      <w:tr>
        <w:trPr>
          <w:trHeight w:val="264"/>
        </w:trPr>
        <w:tc>
          <w:tcPr>
            <w:tcW w:w="3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7"/>
          </w:tcPr>
          <w:p>
            <w:pPr>
              <w:jc w:val="center"/>
              <w:ind w:right="79"/>
              <w:spacing w:after="0"/>
              <w:rPr>
                <w:sz w:val="20"/>
                <w:szCs w:val="20"/>
                <w:color w:val="auto"/>
              </w:rPr>
            </w:pPr>
            <w:r>
              <w:rPr>
                <w:rFonts w:ascii="Arial" w:cs="Arial" w:eastAsia="Arial" w:hAnsi="Arial"/>
                <w:sz w:val="14"/>
                <w:szCs w:val="14"/>
                <w:b w:val="1"/>
                <w:bCs w:val="1"/>
                <w:color w:val="auto"/>
                <w:w w:val="94"/>
              </w:rPr>
              <w:t>Fair Value Measurement Using</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6"/>
          </w:tcPr>
          <w:p>
            <w:pPr>
              <w:jc w:val="center"/>
              <w:ind w:right="59"/>
              <w:spacing w:after="0"/>
              <w:rPr>
                <w:sz w:val="20"/>
                <w:szCs w:val="20"/>
                <w:color w:val="auto"/>
              </w:rPr>
            </w:pPr>
            <w:r>
              <w:rPr>
                <w:rFonts w:ascii="Arial" w:cs="Arial" w:eastAsia="Arial" w:hAnsi="Arial"/>
                <w:sz w:val="14"/>
                <w:szCs w:val="14"/>
                <w:b w:val="1"/>
                <w:bCs w:val="1"/>
                <w:color w:val="auto"/>
                <w:w w:val="94"/>
              </w:rPr>
              <w:t>Fair Value Measurement Using</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26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6"/>
              </w:rPr>
              <w:t>Level 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Balance</w:t>
            </w:r>
          </w:p>
        </w:tc>
      </w:tr>
      <w:tr>
        <w:trPr>
          <w:trHeight w:val="243"/>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(1,584)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(1,584)</w:t>
            </w:r>
          </w:p>
        </w:tc>
      </w:tr>
      <w:tr>
        <w:trPr>
          <w:trHeight w:val="27"/>
        </w:trPr>
        <w:tc>
          <w:tcPr>
            <w:tcW w:w="3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held foreign currency exchange contracts which resulted in a net pre-tax gain of $3.6 million, a net pre-tax loss of $1.3 million, and a net pre-tax gain of $0.3 million for the years ended December 31, 2017, 2016, and 2015, respectively (see Note 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Details of foreign currency exchange contracts held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Gain/(Loss) Recorded</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Notional Value</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at Balance Sheet</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Date Held</w:t>
            </w:r>
          </w:p>
        </w:tc>
        <w:tc>
          <w:tcPr>
            <w:tcW w:w="120" w:type="dxa"/>
            <w:vAlign w:val="bottom"/>
            <w:vMerge w:val="restart"/>
          </w:tcPr>
          <w:p>
            <w:pPr>
              <w:spacing w:after="0"/>
              <w:rPr>
                <w:sz w:val="12"/>
                <w:szCs w:val="12"/>
                <w:color w:val="auto"/>
              </w:rPr>
            </w:pPr>
          </w:p>
        </w:tc>
        <w:tc>
          <w:tcPr>
            <w:tcW w:w="148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Type</w:t>
            </w:r>
          </w:p>
        </w:tc>
        <w:tc>
          <w:tcPr>
            <w:tcW w:w="120" w:type="dxa"/>
            <w:vAlign w:val="bottom"/>
            <w:vMerge w:val="restart"/>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Position Held</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Forward Rate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Date</w:t>
            </w:r>
          </w:p>
        </w:tc>
        <w:tc>
          <w:tcPr>
            <w:tcW w:w="17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Settlement Date</w:t>
            </w:r>
          </w:p>
        </w:tc>
        <w:tc>
          <w:tcPr>
            <w:tcW w:w="0" w:type="dxa"/>
            <w:vAlign w:val="bottom"/>
          </w:tcPr>
          <w:p>
            <w:pPr>
              <w:spacing w:after="0"/>
              <w:rPr>
                <w:sz w:val="1"/>
                <w:szCs w:val="1"/>
                <w:color w:val="auto"/>
              </w:rPr>
            </w:pPr>
          </w:p>
        </w:tc>
      </w:tr>
      <w:tr>
        <w:trPr>
          <w:trHeight w:val="192"/>
        </w:trPr>
        <w:tc>
          <w:tcPr>
            <w:tcW w:w="1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2"/>
              </w:rPr>
              <w:t>(in thousands)</w:t>
            </w:r>
            <w:r>
              <w:rPr>
                <w:rFonts w:ascii="Arial" w:cs="Arial" w:eastAsia="Arial" w:hAnsi="Arial"/>
                <w:sz w:val="8"/>
                <w:szCs w:val="8"/>
                <w:b w:val="1"/>
                <w:bCs w:val="1"/>
                <w:color w:val="auto"/>
                <w:w w:val="92"/>
              </w:rPr>
              <w:t>(1)</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31, 2017</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USD/Euro</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USD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1.1858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January 5, 2018</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w w:val="99"/>
              </w:rPr>
              <w:t>USD/Chinese Yuan</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Chinese Yuan</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31, 2017</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Renminbi</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Renminbi</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6.6481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January 5, 2018</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USD/Brazilian</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31, 2017</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Real</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USD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3.2350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January 24, 2018</w:t>
            </w:r>
          </w:p>
        </w:tc>
        <w:tc>
          <w:tcPr>
            <w:tcW w:w="0" w:type="dxa"/>
            <w:vAlign w:val="bottom"/>
          </w:tcPr>
          <w:p>
            <w:pPr>
              <w:spacing w:after="0"/>
              <w:rPr>
                <w:sz w:val="1"/>
                <w:szCs w:val="1"/>
                <w:color w:val="auto"/>
              </w:rPr>
            </w:pPr>
          </w:p>
        </w:tc>
      </w:tr>
      <w:tr>
        <w:trPr>
          <w:trHeight w:val="432"/>
        </w:trPr>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31, 2016</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USD/Euro</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USD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1.0513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January 27, 2017</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w w:val="99"/>
              </w:rPr>
              <w:t>USD/Chinese Yuan</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Chinese Yuan</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31, 2016</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Renminbi</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Renminbi</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6.7230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January 13, 2017</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USD/Chinese Yuan</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Chinese Yuan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31, 2016</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Renminbi</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Renminbi</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6.6757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January 13, 2017</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USD/Brazilian</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31, 2016</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Real</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USD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3.4775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January 13, 2017</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USD/Brazilian</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31, 2016</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USD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3.2316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13, 2017</w:t>
            </w:r>
          </w:p>
        </w:tc>
        <w:tc>
          <w:tcPr>
            <w:tcW w:w="0" w:type="dxa"/>
            <w:vAlign w:val="bottom"/>
          </w:tcPr>
          <w:p>
            <w:pPr>
              <w:spacing w:after="0"/>
              <w:rPr>
                <w:sz w:val="1"/>
                <w:szCs w:val="1"/>
                <w:color w:val="auto"/>
              </w:rPr>
            </w:pPr>
          </w:p>
        </w:tc>
      </w:tr>
      <w:tr>
        <w:trPr>
          <w:trHeight w:val="27"/>
        </w:trPr>
        <w:tc>
          <w:tcPr>
            <w:tcW w:w="1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60" w:right="380" w:hanging="328"/>
        <w:spacing w:after="0" w:line="216" w:lineRule="auto"/>
        <w:tabs>
          <w:tab w:leader="none" w:pos="66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Unrealized gains on foreign currency exchange contracts are recorded in prepaid expenses and other current assets. Unrealized losses on foreign currency exchange contracts are recorded in other accrued liabilities.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Employee Benefit Plans</w:t>
      </w:r>
    </w:p>
    <w:p>
      <w:pPr>
        <w:spacing w:after="0" w:line="9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maintain a retirement and profit sharing plan under Section 401(k) of the Internal Revenue Code for all of our domestic employees that meet certain qualifications. Participants in the plan may elect to contribute up to the maximum allowed by law. We match 50% of the participants’ contributions up to 15% of their gross salary in the form of newly issued shares of our common stock. We may also make other discretionary contributions to the plan. We recorded $0.6 million, $0.9 million and $0.9 million of expense for company contributions for the years ended December 31, 2017, 2016, and 2015, respectively.</w:t>
      </w:r>
    </w:p>
    <w:p>
      <w:pPr>
        <w:sectPr>
          <w:pgSz w:w="11900" w:h="16838" w:orient="portrait"/>
          <w:cols w:equalWidth="0" w:num="1">
            <w:col w:w="11420"/>
          </w:cols>
          <w:pgMar w:left="240" w:top="118"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18" w:right="239" w:bottom="1440" w:gutter="0" w:footer="0" w:header="0"/>
          <w:type w:val="continuous"/>
        </w:sectPr>
      </w:pPr>
    </w:p>
    <w:bookmarkStart w:id="74" w:name="page75"/>
    <w:bookmarkEnd w:id="7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Business Combinations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Ecolink Intelligent Technology, Inc. Acquisition</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4, 2015, we entered into an Asset Purchase Agreement (the "APA") to acquire substantially all of the net assets of Ecolink Intelligent Technology, Inc. ("Ecolink"), a leading developer of smart home technology that designs, develops and manufactures a wide range of intelligent wireless security and home automation products. This transaction closed on August 31, 2015. The purchase price of $24.1 million was comprised of $12.9 million in cash and $11.2 million of contingent consideration. Additionally, we incurred $0.2 million in acquisition costs, consisting primarily of legal and accounting expenses, which are included within selling, general and administrative expenses for the year ended December 31, 2015. The acquisition of these assets will allow us to extend our product offerings to include home security and automation products previously marketed by Ecolink and to sell these products to our existing customers.</w:t>
      </w:r>
    </w:p>
    <w:p>
      <w:pPr>
        <w:spacing w:after="0" w:line="13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Included in the net assets acquired from Ecolink was a 50% ownership interest in Encore Controls LLC ("Encore"), a developer of smart home technology that designs and sells intelligent wireless fire safety products for use in home security systems.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time of acquisition, management determined that we were the primary beneficiary of Encore due to our ability to direct the activities that most significantly impacted the economic performance of Encore, and thus we consolidated the financial statements of Encore commencing on the acquisition date. The aggregate fair value of Encore’s net assets on the acquisition date was $0.7 million, of which $0.4 million was attributable to the noncontrolling interest. The fair value attributable to the noncontrolling interest was based on the noncontrolling interest's ownership percentage in the fair values of the assets and liabilities of Encore.</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21, 2016, we sold our ownership interest in Encore to Encore's noncontrolling interest holder in exchange for full rights and ownership of Encore's patents and developed technology as well as the noncontrolling interest's portion of certain of Encore's tangible net assets. Additionally, as a condition of the sale of our ownership interest in Encore, we agreed to grant a royalty-free license to Encore for the use of Encore's developed technology and patents in connection with selling specific products to specific customers. As a result of this transaction, we no longer have any involvement with Encore other than the granting of this limited license. Upon deconsolidation, we recorded a gain of $65 thousand, based on the difference between the fair value of the net assets received and our ownership interest in Encore. This gain is presented in our consolidated statement of operations within other income (expense), net for the year ended December 31, 2016.</w:t>
      </w:r>
    </w:p>
    <w:p>
      <w:pPr>
        <w:spacing w:after="0" w:line="13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consolidated statements of operations for the years ended December 31, 2017, 2016 and 2015 include net sales of $33.0 million, $4.8 million and $1.3 million, respectively, and net losses of $0.7 million, $1.6 million and $1.0 million attributable to Ecolink.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required to make annual earnout payments upon the achievement of certain operating income levels attributable to Ecolink over the five year period from 2016 through 2020. The amount of earnout contingent consideration has no upper limit and is calculated at the end of each calendar year based upon certain percentages of operating income target levels as defined in the APA. Ecolink's operating income will be calculated using certain revenues, costs and expenses directly attributable to Ecolink as specified in the APA. At the acquisition date, the value of earnout contingent consideration was estimated using a valuation methodology based on projections of future operating income calculated in accordance with the APA. Such projections were then discounted using an average discount rate of 15.5% to reflect the risk in achieving the projected operating income levels as well as the time value of money. The fair value measurement of the earnout contingent consideration was based primarily on significant inputs not observable in an active market and thus represents a Level 3 measurement as defined under U.S. GAAP. At December 31, 2015 the fair value of the earnout contingent consideration was $11.8 million. During the year ended December 31, 2016, the fair value of the earnout contingent consideration decreased $1.3 million to $10.5 million, and during the year ended December 31, 2017, the fair value of earnout contingent consideration increased $4.4 million to $14.9 million. Changes in the fair value of earnout contingent consideration primarily reflect adjustments to the timing and amount of earnout payments as well as the related accretion driven by the time value of money. These adjustments are recorded within selling, general and administrative expenses. At December 31, 2017, $3.8 million of the earnout contingent consideration liability attributable to Ecolink is presented within other accrued liabilities, and the remaining $11.1 million is presented within long-term contingent consideration in our consolidated balance sheet.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18" w:right="2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Using the acquisition method of accounting, the acquisition date fair value of the consideration transferred was allocated to the net tangible and intangible assets acquired and liabilities assumed based on their estimated fair values on the acquisition date. The excess of the purchase price over the estimated fair value of net assets acquired was recorded as goodwill. The goodwill is expected to be deductible for income tax purposes. Management's purchase price allocation was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Estimated Lives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374</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253</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000" w:type="dxa"/>
            <w:vAlign w:val="bottom"/>
            <w:tcBorders>
              <w:bottom w:val="single" w:sz="8" w:color="CCEEFF"/>
            </w:tcBorders>
            <w:gridSpan w:val="3"/>
            <w:shd w:val="clear" w:color="auto" w:fill="CCEEFF"/>
          </w:tcPr>
          <w:p>
            <w:pPr>
              <w:jc w:val="center"/>
              <w:ind w:right="330"/>
              <w:spacing w:after="0"/>
              <w:rPr>
                <w:sz w:val="20"/>
                <w:szCs w:val="20"/>
                <w:color w:val="auto"/>
              </w:rPr>
            </w:pPr>
            <w:r>
              <w:rPr>
                <w:rFonts w:ascii="Arial" w:cs="Arial" w:eastAsia="Arial" w:hAnsi="Arial"/>
                <w:sz w:val="18"/>
                <w:szCs w:val="18"/>
                <w:color w:val="auto"/>
                <w:w w:val="87"/>
              </w:rPr>
              <w:t>1-4 years</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Non-interest bearing liabilities</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(1,557)</w:t>
            </w: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tangible assets acquired</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2000" w:type="dxa"/>
            <w:vAlign w:val="bottom"/>
            <w:gridSpan w:val="3"/>
          </w:tcPr>
          <w:p>
            <w:pPr>
              <w:jc w:val="center"/>
              <w:ind w:right="310"/>
              <w:spacing w:after="0"/>
              <w:rPr>
                <w:sz w:val="20"/>
                <w:szCs w:val="20"/>
                <w:color w:val="auto"/>
              </w:rPr>
            </w:pPr>
            <w:r>
              <w:rPr>
                <w:rFonts w:ascii="Arial" w:cs="Arial" w:eastAsia="Arial" w:hAnsi="Arial"/>
                <w:sz w:val="18"/>
                <w:szCs w:val="18"/>
                <w:color w:val="auto"/>
                <w:w w:val="88"/>
              </w:rPr>
              <w:t>7 years</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400</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000" w:type="dxa"/>
            <w:vAlign w:val="bottom"/>
            <w:tcBorders>
              <w:bottom w:val="single" w:sz="8" w:color="CCEEFF"/>
            </w:tcBorders>
            <w:gridSpan w:val="3"/>
            <w:shd w:val="clear" w:color="auto" w:fill="CCEEFF"/>
          </w:tcPr>
          <w:p>
            <w:pPr>
              <w:jc w:val="center"/>
              <w:ind w:right="310"/>
              <w:spacing w:after="0"/>
              <w:rPr>
                <w:sz w:val="20"/>
                <w:szCs w:val="20"/>
                <w:color w:val="auto"/>
              </w:rPr>
            </w:pPr>
            <w:r>
              <w:rPr>
                <w:rFonts w:ascii="Arial" w:cs="Arial" w:eastAsia="Arial" w:hAnsi="Arial"/>
                <w:sz w:val="18"/>
                <w:szCs w:val="18"/>
                <w:color w:val="auto"/>
                <w:w w:val="89"/>
              </w:rPr>
              <w:t>4-14 years</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9,080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000" w:type="dxa"/>
            <w:vAlign w:val="bottom"/>
            <w:gridSpan w:val="3"/>
          </w:tcPr>
          <w:p>
            <w:pPr>
              <w:jc w:val="center"/>
              <w:ind w:right="310"/>
              <w:spacing w:after="0"/>
              <w:rPr>
                <w:sz w:val="20"/>
                <w:szCs w:val="20"/>
                <w:color w:val="auto"/>
              </w:rPr>
            </w:pPr>
            <w:r>
              <w:rPr>
                <w:rFonts w:ascii="Arial" w:cs="Arial" w:eastAsia="Arial" w:hAnsi="Arial"/>
                <w:sz w:val="18"/>
                <w:szCs w:val="18"/>
                <w:color w:val="auto"/>
                <w:w w:val="88"/>
              </w:rPr>
              <w:t>5 years</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1,300</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12,564</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purchase price</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24,527</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in Encore</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Net purchase price</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24,149</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Contingent consideration</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(11,200)</w:t>
            </w:r>
          </w:p>
        </w:tc>
      </w:tr>
      <w:tr>
        <w:trPr>
          <w:trHeight w:val="257"/>
        </w:trPr>
        <w:tc>
          <w:tcPr>
            <w:tcW w:w="8120" w:type="dxa"/>
            <w:vAlign w:val="bottom"/>
          </w:tcPr>
          <w:p>
            <w:pPr>
              <w:ind w:left="380"/>
              <w:spacing w:after="0"/>
              <w:rPr>
                <w:sz w:val="20"/>
                <w:szCs w:val="20"/>
                <w:color w:val="auto"/>
              </w:rPr>
            </w:pPr>
            <w:r>
              <w:rPr>
                <w:rFonts w:ascii="Arial" w:cs="Arial" w:eastAsia="Arial" w:hAnsi="Arial"/>
                <w:sz w:val="18"/>
                <w:szCs w:val="18"/>
                <w:color w:val="auto"/>
              </w:rPr>
              <w:t>Cash paid</w:t>
            </w:r>
          </w:p>
        </w:tc>
        <w:tc>
          <w:tcPr>
            <w:tcW w:w="1700" w:type="dxa"/>
            <w:vAlign w:val="bottom"/>
            <w:gridSpan w:val="2"/>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12,949</w:t>
            </w:r>
          </w:p>
        </w:tc>
      </w:tr>
      <w:tr>
        <w:trPr>
          <w:trHeight w:val="20"/>
        </w:trPr>
        <w:tc>
          <w:tcPr>
            <w:tcW w:w="8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Management's determination of the fair value of intangible assets acquired was based primarily on significant inputs not observable in an active market and thus represent Level 3 fair value measurements as defined under U.S. GAAP.</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assigned to Ecolink’s trade name intangible asset was determined utilizing a relief from royalty method. Under the relief from royalty method, the fair value of the intangible asset is estimated to be the present value of the royalties saved because the company owns the intangible asset. Revenue projections and estimated useful life were significant inputs into estimating the value of Ecolink’s trade name.</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assigned to Ecolink's developed technology was determined utilizing a multi-period excess earnings approach. Under the multi-period excess earnings approach, the fair value of the intangible asset is estimated to be the present value of future earnings attributable to the asset and utilizes revenue and cost projections, including an assumed contributory asset charge.</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assigned to Ecolink's customer relationships intangible asset was determined utilizing the with and without method. Under the with and without method, the fair value of the intangible asset is estimated based on the difference in projected earnings utilizing the existing Ecolink customer base versus projected earnings based on starting with no customers and reacquiring the customer base. Revenue and earnings projections were significant inputs into estimating the value of Ecolink’s customer relationships.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trade name, developed technology and customer relationships intangible assets are expected to be deductible for income tax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Residential Control Systems, Inc. Acquisition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6, 2017, we acquired substantially all of the net assets of Residential Control Systems, Inc. ("RCS"), a U.S.-based designer and manufacturer of energy management and control products for the residential, small commercial and hospitality markets. The purchase price of $12.6 million was comprised of $8.9 million in cash and $3.7 million of contingent consideration. Additionally, we incurred $0.1 million in acquisition costs, consisting primarily of accounting related expenses, which are included within selling, general and administrative expenses for the year ended December 31, 2017. The acquisition of these assets will allow us</w:t>
      </w:r>
    </w:p>
    <w:p>
      <w:pPr>
        <w:sectPr>
          <w:pgSz w:w="11900" w:h="16838" w:orient="portrait"/>
          <w:cols w:equalWidth="0" w:num="1">
            <w:col w:w="11420"/>
          </w:cols>
          <w:pgMar w:left="240" w:top="118"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18" w:right="239" w:bottom="1440" w:gutter="0" w:footer="0" w:header="0"/>
          <w:type w:val="continuous"/>
        </w:sectPr>
      </w:pPr>
    </w:p>
    <w:bookmarkStart w:id="76" w:name="page77"/>
    <w:bookmarkEnd w:id="7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4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expand our product offering of home sensing, monitoring and control solutions to include smart thermostat, sensing and monitoring products previously sold and marketed by RCS.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consolidated statement of operations for the year ended December 31, 2017 includes net sales and a net loss of $3.5 million and $0.4 million, respectively, attributable to RCS for the period commencing on April 6,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required to make additional earnout payments of up to $10.0 million upon the achievement of certain operating income levels attributable to RCS over the period commencing on the acquisition date through June 30, 2022. The amount of contingent consideration is calculated at the end of each calendar year and is based on the agreed upon percentage of operating income as defined in the RCS Asset Purchase Agreement (the "RCS APA"). Operating income will be calculated using certain revenues, costs and expenses directly attributable to RCS as specified in the RCS APA. At the acquisition date, the value of earnout contingent consideration was estimated using a valuation methodology based on projections of future operating income calculated in accordance with the RCS APA. Such projections were then discounted using an average discount rate of 24.8% to reflect the risk in achieving the projected operating income levels as well as the time value of money. The fair value measurement of the earnout contingent consideration was based primarily on significant inputs not observable in an active market and thus represents a Level 3 measurement as defined under U.S. GAAP. At December 31, 2017, the fair value of earnout contingent consideration attributable to RCS was $2.3 million, which is presented within long-term contingent consideration in our consolidated balance sheet.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Using the acquisition method of accounting, the acquisition date fair value of the consideration transferred was allocated to the net tangible and intangible assets acquired and liabilities assumed based on their estimated fair values on the acquisition date. The excess of the purchase price over the estimated fair value of net assets acquired is recorded as goodwill. The goodwill is expected to be deductible for income tax purposes. Management's purchase price allocation was the following:</w:t>
      </w: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Estimated Lives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9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429</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1,508</w:t>
            </w:r>
          </w:p>
        </w:tc>
      </w:tr>
      <w:tr>
        <w:trPr>
          <w:trHeight w:val="27"/>
        </w:trPr>
        <w:tc>
          <w:tcPr>
            <w:tcW w:w="8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98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1-4 years</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14</w:t>
            </w:r>
          </w:p>
        </w:tc>
      </w:tr>
      <w:tr>
        <w:trPr>
          <w:trHeight w:val="27"/>
        </w:trPr>
        <w:tc>
          <w:tcPr>
            <w:tcW w:w="8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37"/>
        </w:trPr>
        <w:tc>
          <w:tcPr>
            <w:tcW w:w="8080" w:type="dxa"/>
            <w:vAlign w:val="bottom"/>
          </w:tcPr>
          <w:p>
            <w:pPr>
              <w:ind w:left="380"/>
              <w:spacing w:after="0"/>
              <w:rPr>
                <w:sz w:val="20"/>
                <w:szCs w:val="20"/>
                <w:color w:val="auto"/>
              </w:rPr>
            </w:pPr>
            <w:r>
              <w:rPr>
                <w:rFonts w:ascii="Arial" w:cs="Arial" w:eastAsia="Arial" w:hAnsi="Arial"/>
                <w:sz w:val="18"/>
                <w:szCs w:val="18"/>
                <w:color w:val="auto"/>
              </w:rPr>
              <w:t>Net tangible assets acquired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1,550</w:t>
            </w:r>
          </w:p>
        </w:tc>
      </w:tr>
      <w:tr>
        <w:trPr>
          <w:trHeight w:val="27"/>
        </w:trPr>
        <w:tc>
          <w:tcPr>
            <w:tcW w:w="8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198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88"/>
              </w:rPr>
              <w:t>8 years</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980" w:type="dxa"/>
            <w:vAlign w:val="bottom"/>
            <w:gridSpan w:val="3"/>
          </w:tcPr>
          <w:p>
            <w:pPr>
              <w:jc w:val="center"/>
              <w:ind w:right="420"/>
              <w:spacing w:after="0"/>
              <w:rPr>
                <w:sz w:val="20"/>
                <w:szCs w:val="20"/>
                <w:color w:val="auto"/>
              </w:rPr>
            </w:pPr>
            <w:r>
              <w:rPr>
                <w:rFonts w:ascii="Arial" w:cs="Arial" w:eastAsia="Arial" w:hAnsi="Arial"/>
                <w:sz w:val="18"/>
                <w:szCs w:val="18"/>
                <w:color w:val="auto"/>
                <w:w w:val="86"/>
              </w:rPr>
              <w:t>10 years</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5,000</w:t>
            </w:r>
          </w:p>
        </w:tc>
      </w:tr>
      <w:tr>
        <w:trPr>
          <w:trHeight w:val="27"/>
        </w:trPr>
        <w:tc>
          <w:tcPr>
            <w:tcW w:w="8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Order backlog</w:t>
            </w:r>
          </w:p>
        </w:tc>
        <w:tc>
          <w:tcPr>
            <w:tcW w:w="198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87"/>
              </w:rPr>
              <w:t>1 year</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Goodwill</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5,494</w:t>
            </w:r>
          </w:p>
        </w:tc>
      </w:tr>
      <w:tr>
        <w:trPr>
          <w:trHeight w:val="27"/>
        </w:trPr>
        <w:tc>
          <w:tcPr>
            <w:tcW w:w="80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12,594</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Less: Contingent consideration</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(3,700)</w:t>
            </w:r>
          </w:p>
        </w:tc>
      </w:tr>
      <w:tr>
        <w:trPr>
          <w:trHeight w:val="27"/>
        </w:trPr>
        <w:tc>
          <w:tcPr>
            <w:tcW w:w="80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paid</w:t>
            </w:r>
          </w:p>
        </w:tc>
        <w:tc>
          <w:tcPr>
            <w:tcW w:w="1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8,894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Management's determination of the fair value of intangible assets acquired was based primarily on significant inputs not observable in an active market and thus represent Level 3 fair value measurements.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assigned to the RCS trade name intangible asset was determined utilizing a relief from royalty method. The fair value assigned to RCS customer relationships and order backlog intangible assets were determined utilizing a multi-period excess earnings approach. The relief from royalty and multi-period excess earnings methodologies are further described above.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trade name, customer relationships and order backlog intangible assets are expected to be deductible for income tax purposes.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18" w:right="2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(Unaudited)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unaudited pro forma financial information presents the combined results of our operations and the operations of RCS as if the RCS acquisition had occurred on January 1, 2016. This unaudited pro forma financial information is not intended to represent or be indicative of the consolidated results of operations that would have been achieved had the acquisition actually been completed as of January 1, 2016, and should not be taken as a projection of the future consolidated results of our operations.</w:t>
      </w:r>
    </w:p>
    <w:p>
      <w:pPr>
        <w:spacing w:after="0" w:line="192"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per-share amounts)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696,352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659,272</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19,997</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Universal Electronics Inc.</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19,967</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Basic earnings (loss) per share attributable to Universal Electronics Inc.</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1.38</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 attributable to Universal Electronics Inc.</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1.35</w:t>
            </w:r>
          </w:p>
        </w:tc>
      </w:tr>
      <w:tr>
        <w:trPr>
          <w:trHeight w:val="27"/>
        </w:trPr>
        <w:tc>
          <w:tcPr>
            <w:tcW w:w="8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purposes of determining pro forma net income (loss) attributable to Universal Electronics Inc., adjustments were made to all periods presented in the table above. The pro forma net income (loss) and net income (loss) attributable to Universal Electronics Inc. assume that amortization of acquired intangible assets began at January 1, 2016 rather than on April 6, 2017. The result is a net increase in amortization expense of $0.1 million and $0.7 million for the years ended December 31, 2017 and 2016, respectively. Additionally, acquisition costs totaling $0.2 million are excluded from pro forma net income (loss) and net income (loss) attributable to Universal Electronics Inc. All adjustments have been made net of their related tax effects.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18" w:right="2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Quarterly Financial Data (Unaudited)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Summarized quarterly financial data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3"/>
              </w:rPr>
              <w:t>2017</w:t>
            </w: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161,406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177,580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175,652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181,152</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41,034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43,751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43,070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37,852</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4,684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(16,854)</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Universal Electronics Inc.</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(16,854)</w:t>
            </w:r>
          </w:p>
        </w:tc>
      </w:tr>
      <w:tr>
        <w:trPr>
          <w:trHeight w:val="324"/>
        </w:trPr>
        <w:tc>
          <w:tcPr>
            <w:tcW w:w="5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5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1"/>
              </w:rPr>
              <w:t xml:space="preserve">Earnings (loss) per share attributable to Universal Electronics Inc. </w:t>
            </w:r>
            <w:r>
              <w:rPr>
                <w:rFonts w:ascii="Arial" w:cs="Arial" w:eastAsia="Arial" w:hAnsi="Arial"/>
                <w:sz w:val="25"/>
                <w:szCs w:val="25"/>
                <w:color w:val="auto"/>
                <w:w w:val="91"/>
                <w:vertAlign w:val="superscript"/>
              </w:rPr>
              <w:t>(1)</w:t>
            </w:r>
            <w:r>
              <w:rPr>
                <w:rFonts w:ascii="Arial" w:cs="Arial" w:eastAsia="Arial" w:hAnsi="Arial"/>
                <w:sz w:val="18"/>
                <w:szCs w:val="18"/>
                <w:color w:val="auto"/>
                <w:w w:val="91"/>
              </w:rPr>
              <w:t>:</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0.33</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548"/>
        </w:trPr>
        <w:tc>
          <w:tcPr>
            <w:tcW w:w="5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3"/>
              </w:rPr>
              <w:t>2016</w:t>
            </w: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150,658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170,986</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169,185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160,542</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37,647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43,456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41,785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41,236</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6,266</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2,743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6,598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7,807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3,236</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3,236</w:t>
            </w:r>
          </w:p>
        </w:tc>
      </w:tr>
      <w:tr>
        <w:trPr>
          <w:trHeight w:val="270"/>
        </w:trPr>
        <w:tc>
          <w:tcPr>
            <w:tcW w:w="5140" w:type="dxa"/>
            <w:vAlign w:val="bottom"/>
          </w:tcPr>
          <w:p>
            <w:pPr>
              <w:ind w:left="40"/>
              <w:spacing w:after="0" w:line="270" w:lineRule="exact"/>
              <w:rPr>
                <w:sz w:val="20"/>
                <w:szCs w:val="20"/>
                <w:color w:val="auto"/>
              </w:rPr>
            </w:pPr>
            <w:r>
              <w:rPr>
                <w:rFonts w:ascii="Arial" w:cs="Arial" w:eastAsia="Arial" w:hAnsi="Arial"/>
                <w:sz w:val="18"/>
                <w:szCs w:val="18"/>
                <w:color w:val="auto"/>
              </w:rPr>
              <w:t>Earnings per share attributable to Universal Electronics Inc.</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0.22</w:t>
            </w: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0.45</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0.22</w:t>
            </w:r>
          </w:p>
        </w:tc>
      </w:tr>
    </w:tbl>
    <w:p>
      <w:pPr>
        <w:spacing w:after="0" w:line="229" w:lineRule="exact"/>
        <w:rPr>
          <w:sz w:val="20"/>
          <w:szCs w:val="20"/>
          <w:color w:val="auto"/>
        </w:rPr>
      </w:pPr>
    </w:p>
    <w:p>
      <w:pPr>
        <w:ind w:left="660" w:right="100" w:hanging="328"/>
        <w:spacing w:after="0" w:line="227" w:lineRule="auto"/>
        <w:tabs>
          <w:tab w:leader="none" w:pos="660" w:val="left"/>
        </w:tabs>
        <w:numPr>
          <w:ilvl w:val="0"/>
          <w:numId w:val="32"/>
        </w:numPr>
        <w:rPr>
          <w:rFonts w:ascii="Arial" w:cs="Arial" w:eastAsia="Arial" w:hAnsi="Arial"/>
          <w:sz w:val="24"/>
          <w:szCs w:val="24"/>
          <w:color w:val="auto"/>
          <w:vertAlign w:val="superscript"/>
        </w:rPr>
      </w:pPr>
      <w:r>
        <w:rPr>
          <w:rFonts w:ascii="Arial" w:cs="Arial" w:eastAsia="Arial" w:hAnsi="Arial"/>
          <w:sz w:val="17"/>
          <w:szCs w:val="17"/>
          <w:color w:val="auto"/>
        </w:rPr>
        <w:t>The earnings per common share calculations for each of the quarters were based upon the weighted average number of shares and share equivalents outstanding during each period, and the sum of the quarters may not be equal to the full year earnings per share amounts.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18" w:right="25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200"/>
        <w:spacing w:after="0" w:line="376"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to allow timely decisions regarding required disclosures.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defined in Exchange Act Rule 13a-15(f). Our internal control over financial reporting is a process designed to provide reasonable assurance regarding the reliability of financial reporting and preparation of financial statements for external purposes in accordance with U.S. GAAP.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and principal financial officers, we evaluated the effectiveness of our internal control over financial reporting based on the 2013 Internal Control-Integrated Framework issued by the Committee of Sponsoring Organizations of the Treadway Commission ("COSO") in Internal Control Integrated Framework. Based on our evaluation under this framework, our management concluded that our internal control over financial reporting was effective as of December 31, 2017.</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2017 has been audited by Grant Thornton LLP, an independent registered public accounting firm, as stated in its attestation report which is included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changes in internal controls or in other factors that may significantly affect our internal controls during the fourth quarter of 2017.</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18" w:right="23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Opinion on internal control over financial reporting</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audited the internal control over financial reporting of Universal Electronics Inc. (a Delaware corporation) (the "Company") as of December 31, 2017, based on criteria established in the 2013 Internal Control-Integrated Framework issued by the Committee of Sponsoring Organizations of the Treadway Commission (COSO). In our opinion, the Company maintained, in all material respects, effective internal control over financial reporting as of December 31, 2017, based on criteria established in the 2013 Internal Control-Integrated Framework issued by COSO.</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2017, and our report dated March 12, 2018 expressed an unqualified opinion on those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(“Management’s Report”).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Definition and limitations of internal control over financial reporting</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2018</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18" w:right="2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Information required by Item 401 of Regulation S-K with respect to our directors will be contained in and is hereby incorporated by reference to our definitive Proxy Statement for our 2018 Annual Meeting of Stockholders to be filed pursuant to Regulation 14A promulgated by the Securities and Exchange Commission under the Exchange Act. Information regarding executive officers of the Company is set forth in Part I of this Form 10-K.</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Information required by Item 405 of Regulation S-K will be contained in and is hereby incorporated by reference to our definitive Proxy Statement for our 2018 Annual Meeting of Stockholders to be filed subsequent to the date of filing this Form 10-K, under the caption "Section 16(a) Beneficial Ownership Reporting Compliance". Copies of Section 16 reports, Forms 3, 4 and 5, are available on our website, </w:t>
      </w:r>
      <w:r>
        <w:rPr>
          <w:rFonts w:ascii="Arial" w:cs="Arial" w:eastAsia="Arial" w:hAnsi="Arial"/>
          <w:sz w:val="18"/>
          <w:szCs w:val="18"/>
          <w:u w:val="single" w:color="auto"/>
          <w:color w:val="auto"/>
        </w:rPr>
        <w:t>www.uei.com</w:t>
      </w:r>
      <w:r>
        <w:rPr>
          <w:rFonts w:ascii="Arial" w:cs="Arial" w:eastAsia="Arial" w:hAnsi="Arial"/>
          <w:sz w:val="18"/>
          <w:szCs w:val="18"/>
          <w:color w:val="auto"/>
        </w:rPr>
        <w:t xml:space="preserve"> under the caption "SEC Filings" on the Investor page.</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Code of Conduct. </w:t>
      </w:r>
      <w:r>
        <w:rPr>
          <w:rFonts w:ascii="Arial" w:cs="Arial" w:eastAsia="Arial" w:hAnsi="Arial"/>
          <w:sz w:val="17"/>
          <w:szCs w:val="17"/>
          <w:color w:val="auto"/>
        </w:rPr>
        <w:t>We have adopted a code of conduct that applies to all of our employees, including without limitation our principal executive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principal financial officer and principal accounting officer. A copy of the Code of Conduct is included as Exhibit 14.1 to our Annual Report on Form 10-K for the year ended December 31, 2003 filed on March 14, 2004 (File No. 0-21044). The Code of Conduct is also available on our website, </w:t>
      </w:r>
      <w:r>
        <w:rPr>
          <w:rFonts w:ascii="Arial" w:cs="Arial" w:eastAsia="Arial" w:hAnsi="Arial"/>
          <w:sz w:val="17"/>
          <w:szCs w:val="17"/>
          <w:u w:val="single" w:color="auto"/>
          <w:color w:val="auto"/>
        </w:rPr>
        <w:t>www.uei.com</w:t>
      </w:r>
      <w:r>
        <w:rPr>
          <w:rFonts w:ascii="Arial" w:cs="Arial" w:eastAsia="Arial" w:hAnsi="Arial"/>
          <w:sz w:val="17"/>
          <w:szCs w:val="17"/>
          <w:color w:val="auto"/>
        </w:rPr>
        <w:t xml:space="preserve"> under the caption "Corporate Governance" on the Investor page. We will post on our website information regarding any amendment to, or waiver from, any provision of the Code of Conduct that applies to our principal executive officer, principal financial officer or principal accounting officer.</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required by Items 407(c)(3), (d)(4) and (d)(5) of Regulation S-K will be contained in and is hereby incorporated by reference to our definitive Proxy Statement for our 2018 Annual Meeting of Stockholders to be filed pursuant to Regulation 14A promulgated by the Securities and Exchange Commission under the Exchange Act.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required by Items 402 and 407(e)(4) and (e)(5) of Regulation S-K will be contained in and is hereby incorporated by reference to our definitive Proxy Statement for our 2018 Annual Meeting of Stockholders to be filed pursuant to Regulation 14A promulgated by the Securities and Exchange Commission under the Exchange Act.</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required by Item 403 of Regulation S-K will be contained in and is hereby incorporated by reference to our definitive Proxy Statement for our 2018 Annual Meeting of Stockholders to be filed pursuant to Regulation 14A promulgated by the Securities and Exchange Commission under the Exchange Act.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equity compensation plans at December 31, 2017:</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securities</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 available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issued upon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Weighted-average</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(excluding</w:t>
            </w:r>
          </w:p>
        </w:tc>
        <w:tc>
          <w:tcPr>
            <w:tcW w:w="0" w:type="dxa"/>
            <w:vAlign w:val="bottom"/>
          </w:tcPr>
          <w:p>
            <w:pPr>
              <w:spacing w:after="0"/>
              <w:rPr>
                <w:sz w:val="1"/>
                <w:szCs w:val="1"/>
                <w:color w:val="auto"/>
              </w:rPr>
            </w:pPr>
          </w:p>
        </w:tc>
      </w:tr>
      <w:tr>
        <w:trPr>
          <w:trHeight w:val="149"/>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warrants and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rights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and rights</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 column (a))</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5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512,435</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42.78</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448,051</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500" w:type="dxa"/>
            <w:vAlign w:val="bottom"/>
          </w:tcPr>
          <w:p>
            <w:pPr>
              <w:jc w:val="right"/>
              <w:ind w:right="44"/>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42"/>
              <w:spacing w:after="0"/>
              <w:rPr>
                <w:sz w:val="20"/>
                <w:szCs w:val="20"/>
                <w:color w:val="auto"/>
              </w:rPr>
            </w:pPr>
            <w:r>
              <w:rPr>
                <w:rFonts w:ascii="Arial" w:cs="Arial" w:eastAsia="Arial" w:hAnsi="Arial"/>
                <w:sz w:val="18"/>
                <w:szCs w:val="18"/>
                <w:color w:val="auto"/>
              </w:rPr>
              <w:t>27.74</w:t>
            </w:r>
          </w:p>
        </w:tc>
        <w:tc>
          <w:tcPr>
            <w:tcW w:w="100" w:type="dxa"/>
            <w:vAlign w:val="bottom"/>
          </w:tcPr>
          <w:p>
            <w:pPr>
              <w:spacing w:after="0"/>
              <w:rPr>
                <w:sz w:val="21"/>
                <w:szCs w:val="21"/>
                <w:color w:val="auto"/>
              </w:rPr>
            </w:pPr>
          </w:p>
        </w:tc>
        <w:tc>
          <w:tcPr>
            <w:tcW w:w="204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519,935</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42.56</w:t>
            </w: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448,051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See "ITEM 8. FINANCIAL STATEMENTS AND SUPPLEMENTARY DATA- Notes to Consolidated Financial Statements - Note 16" for a description of each of our stock incentive plans.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18" w:right="23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required by Items 404 and 407(a) of Regulation S-K will be contained in and is hereby incorporated by reference to our definitive Proxy Statement for our 2018 Annual Meeting of Stockholders to be filed pursuant to Regulation 14A promulgated by the Securities and Exchange Commission under the Exchange Act.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Information required by this item will be contained in and is hereby incorporated by reference to our definitive Proxy Statement for our 2018 Annual Meeting of Stockholders to be filed pursuant to Regulation 14A promulgated by the Securities and Exchange Commission under the Exchange Act.</w:t>
      </w:r>
    </w:p>
    <w:p>
      <w:pPr>
        <w:spacing w:after="0" w:line="25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90"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Financial Statements</w:t>
      </w:r>
    </w:p>
    <w:p>
      <w:pPr>
        <w:spacing w:after="0" w:line="9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We include this portion of ITEM 15 under ITEM 8 of this Report on Form 10-K.</w:t>
      </w:r>
    </w:p>
    <w:p>
      <w:pPr>
        <w:spacing w:after="0" w:line="8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Financial Statement Schedules</w:t>
      </w:r>
    </w:p>
    <w:p>
      <w:pPr>
        <w:spacing w:after="0" w:line="94"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We include the financial statement schedules required by the applicable accounting regulations of the SEC in the notes to our consolidated financial statements and incorporate that information in this ITEM 15 by reference.</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Exhibits</w:t>
      </w:r>
    </w:p>
    <w:p>
      <w:pPr>
        <w:spacing w:after="0" w:line="94"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Any stockholder who would like a copy of any of the exhibits listed on the Exhibit Index in this Report may obtain one from us upon request at a charge that reflects the reproduction cost of such Exhibits. Requests should be made to the Secretary, Universal Electronics Inc., 201 E. Sandpointe Avenue, 8th Floor, Santa Ana, California 92707.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18"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85"/>
        </w:trPr>
        <w:tc>
          <w:tcPr>
            <w:tcW w:w="3340" w:type="dxa"/>
            <w:vAlign w:val="bottom"/>
          </w:tcPr>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1"/>
        </w:trPr>
        <w:tc>
          <w:tcPr>
            <w:tcW w:w="3340" w:type="dxa"/>
            <w:vAlign w:val="bottom"/>
          </w:tcPr>
          <w:p>
            <w:pPr>
              <w:jc w:val="center"/>
              <w:ind w:right="2048"/>
              <w:spacing w:after="0"/>
              <w:rPr>
                <w:sz w:val="20"/>
                <w:szCs w:val="20"/>
                <w:color w:val="auto"/>
              </w:rPr>
            </w:pPr>
            <w:r>
              <w:rPr>
                <w:rFonts w:ascii="Arial" w:cs="Arial" w:eastAsia="Arial" w:hAnsi="Arial"/>
                <w:sz w:val="14"/>
                <w:szCs w:val="14"/>
                <w:b w:val="1"/>
                <w:bCs w:val="1"/>
                <w:color w:val="auto"/>
                <w:w w:val="98"/>
              </w:rPr>
              <w:t>Exhibit</w:t>
            </w:r>
          </w:p>
        </w:tc>
        <w:tc>
          <w:tcPr>
            <w:tcW w:w="3640" w:type="dxa"/>
            <w:vAlign w:val="bottom"/>
            <w:vMerge w:val="restart"/>
          </w:tcPr>
          <w:p>
            <w:pPr>
              <w:ind w:left="2260"/>
              <w:spacing w:after="0"/>
              <w:rPr>
                <w:sz w:val="20"/>
                <w:szCs w:val="20"/>
                <w:color w:val="auto"/>
              </w:rPr>
            </w:pPr>
            <w:r>
              <w:rPr>
                <w:rFonts w:ascii="Arial" w:cs="Arial" w:eastAsia="Arial" w:hAnsi="Arial"/>
                <w:sz w:val="14"/>
                <w:szCs w:val="14"/>
                <w:b w:val="1"/>
                <w:bCs w:val="1"/>
                <w:u w:val="single" w:color="auto"/>
                <w:color w:val="auto"/>
                <w:w w:val="91"/>
              </w:rPr>
              <w:t>Document Description</w:t>
            </w:r>
          </w:p>
        </w:tc>
        <w:tc>
          <w:tcPr>
            <w:tcW w:w="0" w:type="dxa"/>
            <w:vAlign w:val="bottom"/>
          </w:tcPr>
          <w:p>
            <w:pPr>
              <w:spacing w:after="0"/>
              <w:rPr>
                <w:sz w:val="1"/>
                <w:szCs w:val="1"/>
                <w:color w:val="auto"/>
              </w:rPr>
            </w:pPr>
          </w:p>
        </w:tc>
      </w:tr>
      <w:tr>
        <w:trPr>
          <w:trHeight w:val="186"/>
        </w:trPr>
        <w:tc>
          <w:tcPr>
            <w:tcW w:w="3340" w:type="dxa"/>
            <w:vAlign w:val="bottom"/>
          </w:tcPr>
          <w:p>
            <w:pPr>
              <w:jc w:val="center"/>
              <w:ind w:right="2048"/>
              <w:spacing w:after="0"/>
              <w:rPr>
                <w:sz w:val="20"/>
                <w:szCs w:val="20"/>
                <w:color w:val="auto"/>
              </w:rPr>
            </w:pPr>
            <w:r>
              <w:rPr>
                <w:rFonts w:ascii="Arial" w:cs="Arial" w:eastAsia="Arial" w:hAnsi="Arial"/>
                <w:sz w:val="14"/>
                <w:szCs w:val="14"/>
                <w:b w:val="1"/>
                <w:bCs w:val="1"/>
                <w:u w:val="single" w:color="auto"/>
                <w:color w:val="auto"/>
                <w:w w:val="94"/>
              </w:rPr>
              <w:t>Number</w:t>
            </w:r>
          </w:p>
        </w:tc>
        <w:tc>
          <w:tcPr>
            <w:tcW w:w="3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jc w:val="both"/>
        <w:ind w:left="1220" w:hanging="591"/>
        <w:spacing w:after="0" w:line="277" w:lineRule="auto"/>
        <w:tabs>
          <w:tab w:leader="none" w:pos="12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Certificate of Incorporation of Universal Electronics Inc., as amended (incorporated by reference to Exhibit 3.1 to the Company's Form S-1 Registration filed on or about December 24, 1992 (File No. 33-56358)) (paper file)</w:t>
      </w:r>
    </w:p>
    <w:p>
      <w:pPr>
        <w:spacing w:after="0" w:line="130" w:lineRule="exact"/>
        <w:rPr>
          <w:sz w:val="20"/>
          <w:szCs w:val="20"/>
          <w:color w:val="auto"/>
        </w:rPr>
      </w:pPr>
    </w:p>
    <w:p>
      <w:pPr>
        <w:jc w:val="both"/>
        <w:ind w:left="1220" w:hanging="591"/>
        <w:spacing w:after="0" w:line="342" w:lineRule="auto"/>
        <w:tabs>
          <w:tab w:leader="none" w:pos="12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Certificate of Amendment to Restated Certificate of Incorporation of Universal Electronics Inc. (incorporated by reference to Exhibit 3.3 to the Company's Annual Report on Form 10-K for the year ended December 31, 1995 filed on April 1, 1996 (File No. 0-21044)) (paper file)</w:t>
      </w:r>
    </w:p>
    <w:p>
      <w:pPr>
        <w:spacing w:after="0" w:line="83" w:lineRule="exact"/>
        <w:rPr>
          <w:sz w:val="20"/>
          <w:szCs w:val="20"/>
          <w:color w:val="auto"/>
        </w:rPr>
      </w:pPr>
    </w:p>
    <w:p>
      <w:pPr>
        <w:ind w:left="620"/>
        <w:spacing w:after="0"/>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3.3</w:t>
      </w:r>
      <w:r>
        <w:rPr>
          <w:sz w:val="20"/>
          <w:szCs w:val="20"/>
          <w:color w:val="auto"/>
        </w:rPr>
        <w:tab/>
      </w:r>
      <w:hyperlink w:anchor="page89">
        <w:r>
          <w:rPr>
            <w:rFonts w:ascii="Arial" w:cs="Arial" w:eastAsia="Arial" w:hAnsi="Arial"/>
            <w:sz w:val="16"/>
            <w:szCs w:val="16"/>
            <w:u w:val="single" w:color="auto"/>
            <w:color w:val="0000FF"/>
          </w:rPr>
          <w:t>Certificate of Amendment to Restated Certificate of Incorporation of Universal Electronics Inc. (filed herewith)</w:t>
        </w:r>
      </w:hyperlink>
    </w:p>
    <w:p>
      <w:pPr>
        <w:spacing w:after="0" w:line="185" w:lineRule="exact"/>
        <w:rPr>
          <w:sz w:val="20"/>
          <w:szCs w:val="20"/>
          <w:color w:val="auto"/>
        </w:rPr>
      </w:pPr>
    </w:p>
    <w:p>
      <w:pPr>
        <w:ind w:left="620"/>
        <w:spacing w:after="0"/>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3.4</w:t>
      </w:r>
      <w:r>
        <w:rPr>
          <w:sz w:val="20"/>
          <w:szCs w:val="20"/>
          <w:color w:val="auto"/>
        </w:rPr>
        <w:tab/>
      </w:r>
      <w:hyperlink w:anchor="page90">
        <w:r>
          <w:rPr>
            <w:rFonts w:ascii="Arial" w:cs="Arial" w:eastAsia="Arial" w:hAnsi="Arial"/>
            <w:sz w:val="16"/>
            <w:szCs w:val="16"/>
            <w:u w:val="single" w:color="auto"/>
            <w:color w:val="0000FF"/>
          </w:rPr>
          <w:t>Amended and Restated By-laws of Universal Electronics Inc. (filed herewith)</w:t>
        </w:r>
      </w:hyperlink>
    </w:p>
    <w:p>
      <w:pPr>
        <w:spacing w:after="0" w:line="185" w:lineRule="exact"/>
        <w:rPr>
          <w:sz w:val="20"/>
          <w:szCs w:val="20"/>
          <w:color w:val="auto"/>
        </w:rPr>
      </w:pPr>
    </w:p>
    <w:p>
      <w:pPr>
        <w:jc w:val="both"/>
        <w:ind w:left="1220" w:hanging="591"/>
        <w:spacing w:after="0" w:line="257" w:lineRule="auto"/>
        <w:tabs>
          <w:tab w:leader="none" w:pos="12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Article Eighth of our Restated Certificate of Incorporation, as amended, contains certain provisions restricting business combinations with interested stockholders under certain circumstances and imposing higher voting requirements for the approval of certain transactions unless the transaction has been approved by two-thirds of the disinterested directors or fair price provisions have been met. (incorporated by reference to Exhibit 3.3 to the Company's Annual Report on Form 10-K for the year ended December 31, 1995 filed on April 1, 1996 (File No. 0-21044)) (paper file)</w:t>
      </w:r>
    </w:p>
    <w:p>
      <w:pPr>
        <w:spacing w:after="0" w:line="148" w:lineRule="exact"/>
        <w:rPr>
          <w:sz w:val="20"/>
          <w:szCs w:val="20"/>
          <w:color w:val="auto"/>
        </w:rPr>
      </w:pPr>
    </w:p>
    <w:p>
      <w:pPr>
        <w:jc w:val="both"/>
        <w:ind w:left="1220" w:hanging="591"/>
        <w:spacing w:after="0" w:line="342" w:lineRule="auto"/>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4.2</w:t>
      </w:r>
      <w:r>
        <w:rPr>
          <w:sz w:val="20"/>
          <w:szCs w:val="20"/>
          <w:color w:val="auto"/>
        </w:rPr>
        <w:tab/>
      </w:r>
      <w:hyperlink r:id="rId63">
        <w:r>
          <w:rPr>
            <w:rFonts w:ascii="Arial" w:cs="Arial" w:eastAsia="Arial" w:hAnsi="Arial"/>
            <w:sz w:val="16"/>
            <w:szCs w:val="16"/>
            <w:u w:val="single" w:color="auto"/>
            <w:color w:val="0000FF"/>
          </w:rPr>
          <w:t>Common Stock Purchase Warrant dated March 9, 2016 between Universal Electronics Inc. and Comcast Corporation (incorporated by</w:t>
        </w:r>
      </w:hyperlink>
      <w:r>
        <w:rPr>
          <w:rFonts w:ascii="Arial" w:cs="Arial" w:eastAsia="Arial" w:hAnsi="Arial"/>
          <w:sz w:val="16"/>
          <w:szCs w:val="16"/>
          <w:u w:val="single" w:color="auto"/>
          <w:color w:val="0000FF"/>
        </w:rPr>
        <w:t xml:space="preserve"> </w:t>
      </w:r>
      <w:hyperlink r:id="rId63">
        <w:r>
          <w:rPr>
            <w:rFonts w:ascii="Arial" w:cs="Arial" w:eastAsia="Arial" w:hAnsi="Arial"/>
            <w:sz w:val="16"/>
            <w:szCs w:val="16"/>
            <w:u w:val="single" w:color="auto"/>
            <w:color w:val="0000FF"/>
          </w:rPr>
          <w:t>references to Exhibit 4.1 to the Company's Current Report on Form 8-K dated March 9, 2016 filed on March 9, 2016 (File No. 0-21044))</w:t>
        </w:r>
      </w:hyperlink>
    </w:p>
    <w:p>
      <w:pPr>
        <w:spacing w:after="0" w:line="83" w:lineRule="exact"/>
        <w:rPr>
          <w:sz w:val="20"/>
          <w:szCs w:val="20"/>
          <w:color w:val="auto"/>
        </w:rPr>
      </w:pPr>
    </w:p>
    <w:p>
      <w:pPr>
        <w:jc w:val="both"/>
        <w:ind w:left="1220" w:hanging="803"/>
        <w:spacing w:after="0" w:line="264"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64">
        <w:r>
          <w:rPr>
            <w:rFonts w:ascii="Arial" w:cs="Arial" w:eastAsia="Arial" w:hAnsi="Arial"/>
            <w:sz w:val="18"/>
            <w:szCs w:val="18"/>
            <w:u w:val="single" w:color="auto"/>
            <w:color w:val="0000FF"/>
          </w:rPr>
          <w:t>Form of Salary Continuation Agreement by and between Universal Electronics Inc. and certain employees (incorporated by reference to</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Exhibit 10.25 to the Company's Annual Report on Form 10-K for the year ended December 31, 1997, filed on March 30, 1998 (File No. 0-</w:t>
        </w:r>
      </w:hyperlink>
      <w:hyperlink r:id="rId64">
        <w:r>
          <w:rPr>
            <w:rFonts w:ascii="Arial" w:cs="Arial" w:eastAsia="Arial" w:hAnsi="Arial"/>
            <w:sz w:val="18"/>
            <w:szCs w:val="18"/>
            <w:u w:val="single" w:color="auto"/>
            <w:color w:val="0000FF"/>
          </w:rPr>
          <w:t>21044))</w:t>
        </w:r>
      </w:hyperlink>
    </w:p>
    <w:p>
      <w:pPr>
        <w:spacing w:after="0" w:line="141" w:lineRule="exact"/>
        <w:rPr>
          <w:rFonts w:ascii="Arial" w:cs="Arial" w:eastAsia="Arial" w:hAnsi="Arial"/>
          <w:sz w:val="18"/>
          <w:szCs w:val="18"/>
          <w:u w:val="single" w:color="auto"/>
          <w:color w:val="0000FF"/>
        </w:rPr>
      </w:pPr>
    </w:p>
    <w:p>
      <w:pPr>
        <w:jc w:val="both"/>
        <w:ind w:left="1220" w:hanging="803"/>
        <w:spacing w:after="0" w:line="264" w:lineRule="auto"/>
        <w:tabs>
          <w:tab w:leader="none" w:pos="12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Form of Amendment to Salary Continuation Agreement by and between Universal Electronics Inc. and certain employees (incorporated by reference to Exhibit 10.26 to the Company's Annual Report on Form 10-K for the year ended December 31, 1997, filed on March 30, 1998 (File No. 0-21044)) (paper file)</w:t>
      </w:r>
    </w:p>
    <w:p>
      <w:pPr>
        <w:spacing w:after="0" w:line="141" w:lineRule="exact"/>
        <w:rPr>
          <w:rFonts w:ascii="Arial" w:cs="Arial" w:eastAsia="Arial" w:hAnsi="Arial"/>
          <w:sz w:val="18"/>
          <w:szCs w:val="18"/>
          <w:u w:val="single" w:color="auto"/>
          <w:color w:val="0000FF"/>
        </w:rPr>
      </w:pPr>
    </w:p>
    <w:p>
      <w:pPr>
        <w:jc w:val="both"/>
        <w:ind w:left="1220" w:hanging="803"/>
        <w:spacing w:after="0" w:line="264" w:lineRule="auto"/>
        <w:tabs>
          <w:tab w:leader="none" w:pos="12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Form of Salary Continuation Agreement by and between Universal Electronics Inc. and certain employees (incorporated by reference to Exhibit 10.39 to the Company's Annual Report on Form 10-K for the year ended December 31, 1999 filed on March 30, 2000 (File No. 0-21044)) (paper file)</w:t>
      </w:r>
    </w:p>
    <w:p>
      <w:pPr>
        <w:spacing w:after="0" w:line="141" w:lineRule="exact"/>
        <w:rPr>
          <w:rFonts w:ascii="Arial" w:cs="Arial" w:eastAsia="Arial" w:hAnsi="Arial"/>
          <w:sz w:val="18"/>
          <w:szCs w:val="18"/>
          <w:u w:val="single" w:color="auto"/>
          <w:color w:val="0000FF"/>
        </w:rPr>
      </w:pPr>
    </w:p>
    <w:p>
      <w:pPr>
        <w:jc w:val="both"/>
        <w:ind w:left="1220" w:hanging="803"/>
        <w:spacing w:after="0" w:line="264" w:lineRule="auto"/>
        <w:tabs>
          <w:tab w:leader="none" w:pos="12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Form of Universal Electronics Inc. 1999A Nonqualified Stock Plan effective October 7, 1999 and subsequently amended February 1, 2000 (incorporated by reference to Exhibit 10.42 to the Company's Annual Report on Form 10-K for the year ended December 31, 1999 filed on March 30, 2000 (File No. 0-21044)) (paper file)</w:t>
      </w:r>
    </w:p>
    <w:p>
      <w:pPr>
        <w:spacing w:after="0" w:line="141" w:lineRule="exact"/>
        <w:rPr>
          <w:rFonts w:ascii="Arial" w:cs="Arial" w:eastAsia="Arial" w:hAnsi="Arial"/>
          <w:sz w:val="18"/>
          <w:szCs w:val="18"/>
          <w:u w:val="single" w:color="auto"/>
          <w:color w:val="0000FF"/>
        </w:rPr>
      </w:pPr>
    </w:p>
    <w:p>
      <w:pPr>
        <w:jc w:val="both"/>
        <w:ind w:left="1220" w:hanging="803"/>
        <w:spacing w:after="0" w:line="259" w:lineRule="auto"/>
        <w:tabs>
          <w:tab w:leader="none" w:pos="12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Form of Stock Option Agreement by and between Universal Electronics Inc. and certain employees used in connection with options granted to the employees pursuant to the Universal Electronics Inc. 1999A Nonqualified Stock Plan (incorporated by reference to Exhibit 10.43 to the Company's Annual Report on Form 10-K for the year ended December 31, 1999 filed on March 30, 2000 (File No. 0-21044)) (paper file)</w:t>
      </w:r>
    </w:p>
    <w:p>
      <w:pPr>
        <w:spacing w:after="0" w:line="146" w:lineRule="exact"/>
        <w:rPr>
          <w:rFonts w:ascii="Arial" w:cs="Arial" w:eastAsia="Arial" w:hAnsi="Arial"/>
          <w:sz w:val="18"/>
          <w:szCs w:val="18"/>
          <w:u w:val="single" w:color="auto"/>
          <w:color w:val="0000FF"/>
        </w:rPr>
      </w:pPr>
    </w:p>
    <w:p>
      <w:pPr>
        <w:jc w:val="both"/>
        <w:ind w:left="1220" w:hanging="803"/>
        <w:spacing w:after="0" w:line="308" w:lineRule="auto"/>
        <w:tabs>
          <w:tab w:leader="none" w:pos="1200" w:val="left"/>
        </w:tabs>
        <w:rPr>
          <w:rFonts w:ascii="Arial" w:cs="Arial" w:eastAsia="Arial" w:hAnsi="Arial"/>
          <w:sz w:val="17"/>
          <w:szCs w:val="17"/>
          <w:u w:val="single" w:color="auto"/>
          <w:color w:val="0000FF"/>
        </w:rPr>
      </w:pPr>
      <w:r>
        <w:rPr>
          <w:rFonts w:ascii="Arial" w:cs="Arial" w:eastAsia="Arial" w:hAnsi="Arial"/>
          <w:sz w:val="18"/>
          <w:szCs w:val="18"/>
          <w:color w:val="auto"/>
        </w:rPr>
        <w:t>*10.6</w:t>
      </w:r>
      <w:r>
        <w:rPr>
          <w:sz w:val="20"/>
          <w:szCs w:val="20"/>
          <w:color w:val="auto"/>
        </w:rPr>
        <w:tab/>
      </w:r>
      <w:hyperlink r:id="rId65">
        <w:r>
          <w:rPr>
            <w:rFonts w:ascii="Arial" w:cs="Arial" w:eastAsia="Arial" w:hAnsi="Arial"/>
            <w:sz w:val="17"/>
            <w:szCs w:val="17"/>
            <w:u w:val="single" w:color="auto"/>
            <w:color w:val="0000FF"/>
          </w:rPr>
          <w:t>Form of Universal Electronics Inc. 2003 Stock Incentive Plan (incorporated by reference to Appendix B to the Company's Definitive Proxy</w:t>
        </w:r>
      </w:hyperlink>
      <w:r>
        <w:rPr>
          <w:rFonts w:ascii="Arial" w:cs="Arial" w:eastAsia="Arial" w:hAnsi="Arial"/>
          <w:sz w:val="17"/>
          <w:szCs w:val="17"/>
          <w:u w:val="single" w:color="auto"/>
          <w:color w:val="0000FF"/>
        </w:rPr>
        <w:t xml:space="preserve"> </w:t>
      </w:r>
      <w:hyperlink r:id="rId65">
        <w:r>
          <w:rPr>
            <w:rFonts w:ascii="Arial" w:cs="Arial" w:eastAsia="Arial" w:hAnsi="Arial"/>
            <w:sz w:val="17"/>
            <w:szCs w:val="17"/>
            <w:u w:val="single" w:color="auto"/>
            <w:color w:val="0000FF"/>
          </w:rPr>
          <w:t>Materials for the 2003 Annual Meeting of Stockholders of Universal Electronics Inc. filed on April 28, 2003 (File No. 0-21044))</w:t>
        </w:r>
      </w:hyperlink>
    </w:p>
    <w:p>
      <w:pPr>
        <w:spacing w:after="0" w:line="106" w:lineRule="exact"/>
        <w:rPr>
          <w:sz w:val="20"/>
          <w:szCs w:val="20"/>
          <w:color w:val="auto"/>
        </w:rPr>
      </w:pPr>
    </w:p>
    <w:p>
      <w:pPr>
        <w:jc w:val="both"/>
        <w:ind w:left="1220" w:hanging="803"/>
        <w:spacing w:after="0" w:line="264"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*10.7</w:t>
      </w:r>
      <w:r>
        <w:rPr>
          <w:sz w:val="20"/>
          <w:szCs w:val="20"/>
          <w:color w:val="auto"/>
        </w:rPr>
        <w:tab/>
      </w:r>
      <w:hyperlink r:id="rId66">
        <w:r>
          <w:rPr>
            <w:rFonts w:ascii="Arial" w:cs="Arial" w:eastAsia="Arial" w:hAnsi="Arial"/>
            <w:sz w:val="18"/>
            <w:szCs w:val="18"/>
            <w:u w:val="single" w:color="auto"/>
            <w:color w:val="0000FF"/>
          </w:rPr>
          <w:t>Form of Executive Officer Employment Agreement dated April 23, 2003 by and between Universal Electronics Inc. and Paul D. Arling</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(incorporated by reference to Exhibit 10.42 to the Company's Annual Report on Form 10-K for the year ended December 31, 2003 filed on</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March 14, 2004 (File No. 0-21044))</w:t>
        </w:r>
      </w:hyperlink>
    </w:p>
    <w:p>
      <w:pPr>
        <w:spacing w:after="0" w:line="141" w:lineRule="exact"/>
        <w:rPr>
          <w:rFonts w:ascii="Arial" w:cs="Arial" w:eastAsia="Arial" w:hAnsi="Arial"/>
          <w:sz w:val="18"/>
          <w:szCs w:val="18"/>
          <w:u w:val="single" w:color="auto"/>
          <w:color w:val="0000FF"/>
        </w:rPr>
      </w:pPr>
    </w:p>
    <w:p>
      <w:pPr>
        <w:jc w:val="both"/>
        <w:ind w:left="1220" w:hanging="803"/>
        <w:spacing w:after="0" w:line="264" w:lineRule="auto"/>
        <w:tabs>
          <w:tab w:leader="none" w:pos="12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Form of First Amendment to Executive Officer Employment Agreement dated October 21, 2005 by and between Universal Electronics Inc. and Paul D. Arling (incorporated by reference to Exhibit 10.24 to the Company's Annual Report on Form 10-K for the year ended December 31, 2005 filed on March 16, 2006 (File No. 0-21044)) (paper file)</w:t>
      </w:r>
    </w:p>
    <w:p>
      <w:pPr>
        <w:spacing w:after="0" w:line="141" w:lineRule="exact"/>
        <w:rPr>
          <w:rFonts w:ascii="Arial" w:cs="Arial" w:eastAsia="Arial" w:hAnsi="Arial"/>
          <w:sz w:val="18"/>
          <w:szCs w:val="18"/>
          <w:u w:val="single" w:color="auto"/>
          <w:color w:val="0000FF"/>
        </w:rPr>
      </w:pPr>
    </w:p>
    <w:p>
      <w:pPr>
        <w:jc w:val="both"/>
        <w:ind w:left="1220" w:hanging="803"/>
        <w:spacing w:after="0" w:line="308" w:lineRule="auto"/>
        <w:tabs>
          <w:tab w:leader="none" w:pos="1200" w:val="left"/>
        </w:tabs>
        <w:rPr>
          <w:rFonts w:ascii="Arial" w:cs="Arial" w:eastAsia="Arial" w:hAnsi="Arial"/>
          <w:sz w:val="17"/>
          <w:szCs w:val="17"/>
          <w:u w:val="single" w:color="auto"/>
          <w:color w:val="0000FF"/>
        </w:rPr>
      </w:pPr>
      <w:r>
        <w:rPr>
          <w:rFonts w:ascii="Arial" w:cs="Arial" w:eastAsia="Arial" w:hAnsi="Arial"/>
          <w:sz w:val="18"/>
          <w:szCs w:val="18"/>
          <w:color w:val="auto"/>
        </w:rPr>
        <w:t>*10.9</w:t>
      </w:r>
      <w:r>
        <w:rPr>
          <w:sz w:val="20"/>
          <w:szCs w:val="20"/>
          <w:color w:val="auto"/>
        </w:rPr>
        <w:tab/>
      </w:r>
      <w:hyperlink r:id="rId67">
        <w:r>
          <w:rPr>
            <w:rFonts w:ascii="Arial" w:cs="Arial" w:eastAsia="Arial" w:hAnsi="Arial"/>
            <w:sz w:val="17"/>
            <w:szCs w:val="17"/>
            <w:u w:val="single" w:color="auto"/>
            <w:color w:val="0000FF"/>
          </w:rPr>
          <w:t>Form of Universal Electronics Inc. 2006 Stock Incentive Plan (incorporated by reference to Appendix C to the Company's Definitive Proxy</w:t>
        </w:r>
      </w:hyperlink>
      <w:r>
        <w:rPr>
          <w:rFonts w:ascii="Arial" w:cs="Arial" w:eastAsia="Arial" w:hAnsi="Arial"/>
          <w:sz w:val="17"/>
          <w:szCs w:val="17"/>
          <w:u w:val="single" w:color="auto"/>
          <w:color w:val="0000FF"/>
        </w:rPr>
        <w:t xml:space="preserve"> </w:t>
      </w:r>
      <w:hyperlink r:id="rId67">
        <w:r>
          <w:rPr>
            <w:rFonts w:ascii="Arial" w:cs="Arial" w:eastAsia="Arial" w:hAnsi="Arial"/>
            <w:sz w:val="17"/>
            <w:szCs w:val="17"/>
            <w:u w:val="single" w:color="auto"/>
            <w:color w:val="0000FF"/>
          </w:rPr>
          <w:t>Materials for the 2006 Annual Meeting of Stockholders of Universal Electronics Inc. filed on April 26, 2006 (File No. 0-21044))</w:t>
        </w:r>
      </w:hyperlink>
    </w:p>
    <w:p>
      <w:pPr>
        <w:spacing w:after="0" w:line="106" w:lineRule="exact"/>
        <w:rPr>
          <w:sz w:val="20"/>
          <w:szCs w:val="20"/>
          <w:color w:val="auto"/>
        </w:rPr>
      </w:pPr>
    </w:p>
    <w:p>
      <w:pPr>
        <w:jc w:val="both"/>
        <w:ind w:left="1220" w:hanging="803"/>
        <w:spacing w:after="0" w:line="264"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68">
        <w:r>
          <w:rPr>
            <w:rFonts w:ascii="Arial" w:cs="Arial" w:eastAsia="Arial" w:hAnsi="Arial"/>
            <w:sz w:val="18"/>
            <w:szCs w:val="18"/>
            <w:u w:val="single" w:color="auto"/>
            <w:color w:val="0000FF"/>
          </w:rPr>
          <w:t>Form of Lease dated January 31, 2007 between FirstCal Industrial 2 Acquisition, LLC and Universal Electronics Inc. (incorporated by</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reference to Exhibit 10.26 to the Company's Annual Report on Form 10-K for the year ended December 31, 2006 filed on March 16, 2007</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(File No. 0-21044))</w:t>
        </w:r>
      </w:hyperlink>
    </w:p>
    <w:p>
      <w:pPr>
        <w:spacing w:after="0" w:line="141" w:lineRule="exact"/>
        <w:rPr>
          <w:rFonts w:ascii="Arial" w:cs="Arial" w:eastAsia="Arial" w:hAnsi="Arial"/>
          <w:sz w:val="18"/>
          <w:szCs w:val="18"/>
          <w:u w:val="single" w:color="auto"/>
          <w:color w:val="0000FF"/>
        </w:rPr>
      </w:pPr>
    </w:p>
    <w:p>
      <w:pPr>
        <w:jc w:val="both"/>
        <w:ind w:left="1220" w:hanging="844"/>
        <w:spacing w:after="0" w:line="264"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69">
        <w:r>
          <w:rPr>
            <w:rFonts w:ascii="Arial" w:cs="Arial" w:eastAsia="Arial" w:hAnsi="Arial"/>
            <w:sz w:val="18"/>
            <w:szCs w:val="18"/>
            <w:u w:val="single" w:color="auto"/>
            <w:color w:val="0000FF"/>
          </w:rPr>
          <w:t>Form of Indemnification Agreements, dated as of January 2, 2007 between the Company and each director and certain officers of the</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Company (incorporated by reference to Exhibit 10.28 to the Company's Annual Report on Form 10-K for the year ended December 31, 2006</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filed on March 16, 2007 (File No. 0-21044))</w:t>
        </w:r>
      </w:hyperlink>
    </w:p>
    <w:p>
      <w:pPr>
        <w:sectPr>
          <w:pgSz w:w="11900" w:h="16838" w:orient="portrait"/>
          <w:cols w:equalWidth="0" w:num="1">
            <w:col w:w="11360"/>
          </w:cols>
          <w:pgMar w:left="240" w:top="118" w:right="299" w:bottom="1440" w:gutter="0" w:footer="0" w:header="0"/>
        </w:sectPr>
      </w:pPr>
    </w:p>
    <w:p>
      <w:pPr>
        <w:spacing w:after="0" w:line="235" w:lineRule="exact"/>
        <w:rPr>
          <w:rFonts w:ascii="Arial" w:cs="Arial" w:eastAsia="Arial" w:hAnsi="Arial"/>
          <w:sz w:val="18"/>
          <w:szCs w:val="18"/>
          <w:u w:val="single" w:color="auto"/>
          <w:color w:val="0000FF"/>
        </w:rPr>
      </w:pPr>
    </w:p>
    <w:p>
      <w:pPr>
        <w:jc w:val="center"/>
        <w:ind w:right="-5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360"/>
          </w:cols>
          <w:pgMar w:left="240" w:top="118" w:right="29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1"/>
        </w:trPr>
        <w:tc>
          <w:tcPr>
            <w:tcW w:w="3340" w:type="dxa"/>
            <w:vAlign w:val="bottom"/>
          </w:tcPr>
          <w:p>
            <w:pPr>
              <w:jc w:val="center"/>
              <w:ind w:right="2048"/>
              <w:spacing w:after="0"/>
              <w:rPr>
                <w:sz w:val="20"/>
                <w:szCs w:val="20"/>
                <w:color w:val="auto"/>
              </w:rPr>
            </w:pPr>
            <w:r>
              <w:rPr>
                <w:rFonts w:ascii="Arial" w:cs="Arial" w:eastAsia="Arial" w:hAnsi="Arial"/>
                <w:sz w:val="14"/>
                <w:szCs w:val="14"/>
                <w:b w:val="1"/>
                <w:bCs w:val="1"/>
                <w:color w:val="auto"/>
                <w:w w:val="98"/>
              </w:rPr>
              <w:t>Exhibit</w:t>
            </w:r>
          </w:p>
        </w:tc>
        <w:tc>
          <w:tcPr>
            <w:tcW w:w="3640" w:type="dxa"/>
            <w:vAlign w:val="bottom"/>
            <w:vMerge w:val="restart"/>
          </w:tcPr>
          <w:p>
            <w:pPr>
              <w:ind w:left="2260"/>
              <w:spacing w:after="0"/>
              <w:rPr>
                <w:sz w:val="20"/>
                <w:szCs w:val="20"/>
                <w:color w:val="auto"/>
              </w:rPr>
            </w:pPr>
            <w:r>
              <w:rPr>
                <w:rFonts w:ascii="Arial" w:cs="Arial" w:eastAsia="Arial" w:hAnsi="Arial"/>
                <w:sz w:val="14"/>
                <w:szCs w:val="14"/>
                <w:b w:val="1"/>
                <w:bCs w:val="1"/>
                <w:u w:val="single" w:color="auto"/>
                <w:color w:val="auto"/>
                <w:w w:val="91"/>
              </w:rPr>
              <w:t>Document Description</w:t>
            </w:r>
          </w:p>
        </w:tc>
        <w:tc>
          <w:tcPr>
            <w:tcW w:w="0" w:type="dxa"/>
            <w:vAlign w:val="bottom"/>
          </w:tcPr>
          <w:p>
            <w:pPr>
              <w:spacing w:after="0"/>
              <w:rPr>
                <w:sz w:val="1"/>
                <w:szCs w:val="1"/>
                <w:color w:val="auto"/>
              </w:rPr>
            </w:pPr>
          </w:p>
        </w:tc>
      </w:tr>
      <w:tr>
        <w:trPr>
          <w:trHeight w:val="186"/>
        </w:trPr>
        <w:tc>
          <w:tcPr>
            <w:tcW w:w="3340" w:type="dxa"/>
            <w:vAlign w:val="bottom"/>
          </w:tcPr>
          <w:p>
            <w:pPr>
              <w:jc w:val="center"/>
              <w:ind w:right="2048"/>
              <w:spacing w:after="0"/>
              <w:rPr>
                <w:sz w:val="20"/>
                <w:szCs w:val="20"/>
                <w:color w:val="auto"/>
              </w:rPr>
            </w:pPr>
            <w:r>
              <w:rPr>
                <w:rFonts w:ascii="Arial" w:cs="Arial" w:eastAsia="Arial" w:hAnsi="Arial"/>
                <w:sz w:val="14"/>
                <w:szCs w:val="14"/>
                <w:b w:val="1"/>
                <w:bCs w:val="1"/>
                <w:u w:val="single" w:color="auto"/>
                <w:color w:val="auto"/>
                <w:w w:val="94"/>
              </w:rPr>
              <w:t>Number</w:t>
            </w:r>
          </w:p>
        </w:tc>
        <w:tc>
          <w:tcPr>
            <w:tcW w:w="3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1220" w:hanging="848"/>
        <w:spacing w:after="0" w:line="277"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70">
        <w:r>
          <w:rPr>
            <w:rFonts w:ascii="Arial" w:cs="Arial" w:eastAsia="Arial" w:hAnsi="Arial"/>
            <w:sz w:val="18"/>
            <w:szCs w:val="18"/>
            <w:u w:val="single" w:color="auto"/>
            <w:color w:val="0000FF"/>
          </w:rPr>
          <w:t>Form of Restricted Stock Unit Agreement (incorporated herein by reference to Exhibit 4.5 to the Company's Form S-8 Registration</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Statement filed on March 27, 2008 (File No. 333-149926))</w:t>
        </w:r>
      </w:hyperlink>
    </w:p>
    <w:p>
      <w:pPr>
        <w:spacing w:after="0" w:line="130" w:lineRule="exact"/>
        <w:rPr>
          <w:sz w:val="20"/>
          <w:szCs w:val="20"/>
          <w:color w:val="auto"/>
        </w:rPr>
      </w:pPr>
    </w:p>
    <w:p>
      <w:pPr>
        <w:jc w:val="both"/>
        <w:ind w:left="1220" w:hanging="803"/>
        <w:spacing w:after="0" w:line="264"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71">
        <w:r>
          <w:rPr>
            <w:rFonts w:ascii="Arial" w:cs="Arial" w:eastAsia="Arial" w:hAnsi="Arial"/>
            <w:sz w:val="18"/>
            <w:szCs w:val="18"/>
            <w:u w:val="single" w:color="auto"/>
            <w:color w:val="0000FF"/>
          </w:rPr>
          <w:t>Pledge Agreement dated November 1, 2010 between UEI Hong Kong Private Limited and Enson Assets Limited to U.S. Bank National</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Association (incorporated by reference to Exhibit 10.30 to the Company's Annual Report on Form 10-K for the year ended December 31,</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2010 filed on March 16, 2011 (File No. 0-21044))</w:t>
        </w:r>
      </w:hyperlink>
    </w:p>
    <w:p>
      <w:pPr>
        <w:spacing w:after="0" w:line="141" w:lineRule="exact"/>
        <w:rPr>
          <w:rFonts w:ascii="Arial" w:cs="Arial" w:eastAsia="Arial" w:hAnsi="Arial"/>
          <w:sz w:val="18"/>
          <w:szCs w:val="18"/>
          <w:u w:val="single" w:color="auto"/>
          <w:color w:val="0000FF"/>
        </w:rPr>
      </w:pPr>
    </w:p>
    <w:p>
      <w:pPr>
        <w:jc w:val="both"/>
        <w:ind w:left="1220" w:hanging="803"/>
        <w:spacing w:after="0" w:line="264"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72">
        <w:r>
          <w:rPr>
            <w:rFonts w:ascii="Arial" w:cs="Arial" w:eastAsia="Arial" w:hAnsi="Arial"/>
            <w:sz w:val="18"/>
            <w:szCs w:val="18"/>
            <w:u w:val="single" w:color="auto"/>
            <w:color w:val="0000FF"/>
          </w:rPr>
          <w:t>Security Agreement dated November 1, 2010 from Universal Electronics Inc. to U.S. Bank National Association (incorporated by reference</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to Exhibit 10.31 to the Company's Annual Report on Form 10-K for the year ended December 31, 2010 filed on March 16, 2011 (File No. 0-</w:t>
        </w:r>
      </w:hyperlink>
      <w:hyperlink r:id="rId72">
        <w:r>
          <w:rPr>
            <w:rFonts w:ascii="Arial" w:cs="Arial" w:eastAsia="Arial" w:hAnsi="Arial"/>
            <w:sz w:val="18"/>
            <w:szCs w:val="18"/>
            <w:u w:val="single" w:color="auto"/>
            <w:color w:val="0000FF"/>
          </w:rPr>
          <w:t>21044))</w:t>
        </w:r>
      </w:hyperlink>
    </w:p>
    <w:p>
      <w:pPr>
        <w:spacing w:after="0" w:line="141" w:lineRule="exact"/>
        <w:rPr>
          <w:rFonts w:ascii="Arial" w:cs="Arial" w:eastAsia="Arial" w:hAnsi="Arial"/>
          <w:sz w:val="18"/>
          <w:szCs w:val="18"/>
          <w:u w:val="single" w:color="auto"/>
          <w:color w:val="0000FF"/>
        </w:rPr>
      </w:pPr>
    </w:p>
    <w:p>
      <w:pPr>
        <w:ind w:left="360"/>
        <w:spacing w:after="0"/>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*10.15</w:t>
      </w:r>
      <w:r>
        <w:rPr>
          <w:sz w:val="20"/>
          <w:szCs w:val="20"/>
          <w:color w:val="auto"/>
        </w:rPr>
        <w:tab/>
      </w:r>
      <w:hyperlink r:id="rId73">
        <w:r>
          <w:rPr>
            <w:rFonts w:ascii="Arial" w:cs="Arial" w:eastAsia="Arial" w:hAnsi="Arial"/>
            <w:sz w:val="16"/>
            <w:szCs w:val="16"/>
            <w:u w:val="single" w:color="auto"/>
            <w:color w:val="0000FF"/>
          </w:rPr>
          <w:t>Universal Electronics Inc. 2010 Stock Incentive Plan (incorporated by reference to Appendix C to the Company's Proxy Statement for its</w:t>
        </w:r>
      </w:hyperlink>
    </w:p>
    <w:p>
      <w:pPr>
        <w:spacing w:after="0" w:line="23" w:lineRule="exact"/>
        <w:rPr>
          <w:rFonts w:ascii="Arial" w:cs="Arial" w:eastAsia="Arial" w:hAnsi="Arial"/>
          <w:sz w:val="18"/>
          <w:szCs w:val="18"/>
          <w:u w:val="single" w:color="auto"/>
          <w:color w:val="0000FF"/>
        </w:rPr>
      </w:pPr>
    </w:p>
    <w:p>
      <w:pPr>
        <w:ind w:left="1220"/>
        <w:spacing w:after="0"/>
        <w:rPr>
          <w:rFonts w:ascii="Arial" w:cs="Arial" w:eastAsia="Arial" w:hAnsi="Arial"/>
          <w:sz w:val="18"/>
          <w:szCs w:val="18"/>
          <w:u w:val="single" w:color="auto"/>
          <w:color w:val="0000FF"/>
        </w:rPr>
      </w:pPr>
      <w:hyperlink r:id="rId73">
        <w:r>
          <w:rPr>
            <w:rFonts w:ascii="Arial" w:cs="Arial" w:eastAsia="Arial" w:hAnsi="Arial"/>
            <w:sz w:val="18"/>
            <w:szCs w:val="18"/>
            <w:u w:val="single" w:color="auto"/>
            <w:color w:val="0000FF"/>
          </w:rPr>
          <w:t>2010 Annual Meeting of Stockholders filed on April 30, 2010 (File No. 0-21044))</w:t>
        </w:r>
      </w:hyperlink>
    </w:p>
    <w:p>
      <w:pPr>
        <w:spacing w:after="0" w:line="170" w:lineRule="exact"/>
        <w:rPr>
          <w:rFonts w:ascii="Arial" w:cs="Arial" w:eastAsia="Arial" w:hAnsi="Arial"/>
          <w:sz w:val="18"/>
          <w:szCs w:val="18"/>
          <w:u w:val="single" w:color="auto"/>
          <w:color w:val="0000FF"/>
        </w:rPr>
      </w:pPr>
    </w:p>
    <w:p>
      <w:pPr>
        <w:jc w:val="both"/>
        <w:ind w:left="1220" w:hanging="848"/>
        <w:spacing w:after="0" w:line="277"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74">
        <w:r>
          <w:rPr>
            <w:rFonts w:ascii="Arial" w:cs="Arial" w:eastAsia="Arial" w:hAnsi="Arial"/>
            <w:sz w:val="18"/>
            <w:szCs w:val="18"/>
            <w:u w:val="single" w:color="auto"/>
            <w:color w:val="0000FF"/>
          </w:rPr>
          <w:t>Form of Option Agreement used in connection with the Universal Electronics Inc. 2010 Stock Incentive Plan (incorporated by reference to</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Exhibit 4.6 to the Company's Registration Statement on Form S-8 filed on July 5, 2011 (File No. 333-175345))</w:t>
        </w:r>
      </w:hyperlink>
    </w:p>
    <w:p>
      <w:pPr>
        <w:spacing w:after="0" w:line="130" w:lineRule="exact"/>
        <w:rPr>
          <w:sz w:val="20"/>
          <w:szCs w:val="20"/>
          <w:color w:val="auto"/>
        </w:rPr>
      </w:pPr>
    </w:p>
    <w:p>
      <w:pPr>
        <w:jc w:val="both"/>
        <w:ind w:left="1220" w:hanging="848"/>
        <w:spacing w:after="0" w:line="342" w:lineRule="auto"/>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*10.17</w:t>
      </w:r>
      <w:r>
        <w:rPr>
          <w:sz w:val="20"/>
          <w:szCs w:val="20"/>
          <w:color w:val="auto"/>
        </w:rPr>
        <w:tab/>
      </w:r>
      <w:hyperlink r:id="rId75">
        <w:r>
          <w:rPr>
            <w:rFonts w:ascii="Arial" w:cs="Arial" w:eastAsia="Arial" w:hAnsi="Arial"/>
            <w:sz w:val="16"/>
            <w:szCs w:val="16"/>
            <w:u w:val="single" w:color="auto"/>
            <w:color w:val="0000FF"/>
          </w:rPr>
          <w:t>Form of Restricted Stock Unit Agreement used in connection with the Universal Electronics Inc. 2010 Stock Incentive Plan (incorporated by</w:t>
        </w:r>
      </w:hyperlink>
      <w:r>
        <w:rPr>
          <w:rFonts w:ascii="Arial" w:cs="Arial" w:eastAsia="Arial" w:hAnsi="Arial"/>
          <w:sz w:val="16"/>
          <w:szCs w:val="16"/>
          <w:u w:val="single" w:color="auto"/>
          <w:color w:val="0000FF"/>
        </w:rPr>
        <w:t xml:space="preserve"> </w:t>
      </w:r>
      <w:hyperlink r:id="rId75">
        <w:r>
          <w:rPr>
            <w:rFonts w:ascii="Arial" w:cs="Arial" w:eastAsia="Arial" w:hAnsi="Arial"/>
            <w:sz w:val="16"/>
            <w:szCs w:val="16"/>
            <w:u w:val="single" w:color="auto"/>
            <w:color w:val="0000FF"/>
          </w:rPr>
          <w:t>reference to Exhibit 4.7 to the Company's Registration Statement on Form S-8 filed on July 5, 2011 (File No. 333-175345))</w:t>
        </w:r>
      </w:hyperlink>
    </w:p>
    <w:p>
      <w:pPr>
        <w:spacing w:after="0" w:line="97" w:lineRule="exact"/>
        <w:rPr>
          <w:sz w:val="20"/>
          <w:szCs w:val="20"/>
          <w:color w:val="auto"/>
        </w:rPr>
      </w:pPr>
    </w:p>
    <w:p>
      <w:pPr>
        <w:jc w:val="both"/>
        <w:ind w:left="1220" w:hanging="848"/>
        <w:spacing w:after="0" w:line="264"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76">
        <w:r>
          <w:rPr>
            <w:rFonts w:ascii="Arial" w:cs="Arial" w:eastAsia="Arial" w:hAnsi="Arial"/>
            <w:sz w:val="18"/>
            <w:szCs w:val="18"/>
            <w:u w:val="single" w:color="auto"/>
            <w:color w:val="0000FF"/>
          </w:rPr>
          <w:t>Form of Second Amendment to Executive Officer Employment Agreement dated February 29, 2008 by and between Universal Electronics</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Inc. and Paul D. Arling (incorporated by reference to Exhibit 10.31 to the Company's Annual Report on Form 10-K for the year ended</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December 31, 2012 filed on March 14, 2013 (File No. 0-21044))</w:t>
        </w:r>
      </w:hyperlink>
    </w:p>
    <w:p>
      <w:pPr>
        <w:spacing w:after="0" w:line="141" w:lineRule="exact"/>
        <w:rPr>
          <w:rFonts w:ascii="Arial" w:cs="Arial" w:eastAsia="Arial" w:hAnsi="Arial"/>
          <w:sz w:val="18"/>
          <w:szCs w:val="18"/>
          <w:u w:val="single" w:color="auto"/>
          <w:color w:val="0000FF"/>
        </w:rPr>
      </w:pPr>
    </w:p>
    <w:p>
      <w:pPr>
        <w:jc w:val="both"/>
        <w:ind w:left="1220" w:hanging="803"/>
        <w:spacing w:after="0" w:line="264"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77">
        <w:r>
          <w:rPr>
            <w:rFonts w:ascii="Arial" w:cs="Arial" w:eastAsia="Arial" w:hAnsi="Arial"/>
            <w:sz w:val="18"/>
            <w:szCs w:val="18"/>
            <w:u w:val="single" w:color="auto"/>
            <w:color w:val="0000FF"/>
          </w:rPr>
          <w:t>Acknowledgment and Agreement of Pledgor dated October 26, 2011 from UEI Hong Kong Private Limited (incorporated by reference to</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Exhibit 10.36 to the Company's Annual Report on Form 10-K for the year ended December 31, 2011 filed on March 14, 2012 (File No. 0-</w:t>
        </w:r>
      </w:hyperlink>
      <w:hyperlink r:id="rId77">
        <w:r>
          <w:rPr>
            <w:rFonts w:ascii="Arial" w:cs="Arial" w:eastAsia="Arial" w:hAnsi="Arial"/>
            <w:sz w:val="18"/>
            <w:szCs w:val="18"/>
            <w:u w:val="single" w:color="auto"/>
            <w:color w:val="0000FF"/>
          </w:rPr>
          <w:t>21044))</w:t>
        </w:r>
      </w:hyperlink>
    </w:p>
    <w:p>
      <w:pPr>
        <w:spacing w:after="0" w:line="141" w:lineRule="exact"/>
        <w:rPr>
          <w:rFonts w:ascii="Arial" w:cs="Arial" w:eastAsia="Arial" w:hAnsi="Arial"/>
          <w:sz w:val="18"/>
          <w:szCs w:val="18"/>
          <w:u w:val="single" w:color="auto"/>
          <w:color w:val="0000FF"/>
        </w:rPr>
      </w:pPr>
    </w:p>
    <w:p>
      <w:pPr>
        <w:jc w:val="both"/>
        <w:ind w:left="1220" w:hanging="803"/>
        <w:spacing w:after="0" w:line="342" w:lineRule="auto"/>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10.20</w:t>
      </w:r>
      <w:r>
        <w:rPr>
          <w:sz w:val="20"/>
          <w:szCs w:val="20"/>
          <w:color w:val="auto"/>
        </w:rPr>
        <w:tab/>
      </w:r>
      <w:hyperlink r:id="rId78">
        <w:r>
          <w:rPr>
            <w:rFonts w:ascii="Arial" w:cs="Arial" w:eastAsia="Arial" w:hAnsi="Arial"/>
            <w:sz w:val="16"/>
            <w:szCs w:val="16"/>
            <w:u w:val="single" w:color="auto"/>
            <w:color w:val="0000FF"/>
          </w:rPr>
          <w:t>Standard Office Lease between Universal Electronics Inc. and The Realty Associates Fund VIII, L.P., dated May 11, 2012 (incorporated by</w:t>
        </w:r>
      </w:hyperlink>
      <w:r>
        <w:rPr>
          <w:rFonts w:ascii="Arial" w:cs="Arial" w:eastAsia="Arial" w:hAnsi="Arial"/>
          <w:sz w:val="16"/>
          <w:szCs w:val="16"/>
          <w:u w:val="single" w:color="auto"/>
          <w:color w:val="0000FF"/>
        </w:rPr>
        <w:t xml:space="preserve"> </w:t>
      </w:r>
      <w:hyperlink r:id="rId78">
        <w:r>
          <w:rPr>
            <w:rFonts w:ascii="Arial" w:cs="Arial" w:eastAsia="Arial" w:hAnsi="Arial"/>
            <w:sz w:val="16"/>
            <w:szCs w:val="16"/>
            <w:u w:val="single" w:color="auto"/>
            <w:color w:val="0000FF"/>
          </w:rPr>
          <w:t>references to Exhibit 10.1 to the Company's Current Report on Form 8-K dated May 11, 2012 filed on May 18, 2012 (File No. 0-21044))</w:t>
        </w:r>
      </w:hyperlink>
    </w:p>
    <w:p>
      <w:pPr>
        <w:spacing w:after="0" w:line="83" w:lineRule="exact"/>
        <w:rPr>
          <w:sz w:val="20"/>
          <w:szCs w:val="20"/>
          <w:color w:val="auto"/>
        </w:rPr>
      </w:pPr>
    </w:p>
    <w:p>
      <w:pPr>
        <w:jc w:val="both"/>
        <w:ind w:left="1220" w:hanging="803"/>
        <w:spacing w:after="0" w:line="264"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79">
        <w:r>
          <w:rPr>
            <w:rFonts w:ascii="Arial" w:cs="Arial" w:eastAsia="Arial" w:hAnsi="Arial"/>
            <w:sz w:val="18"/>
            <w:szCs w:val="18"/>
            <w:u w:val="single" w:color="auto"/>
            <w:color w:val="0000FF"/>
          </w:rPr>
          <w:t>Amended and Restated Credit Agreement dated October 2, 2012 between Universal Electronics Inc. and U.S. Bank National Association</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(incorporated by reference to Exhibit 10.36 to the Company's Annual Report on Form 10-K for the year ended December 31, 2012 filed on</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March 14, 2013 (File No. 0-21044))</w:t>
        </w:r>
      </w:hyperlink>
    </w:p>
    <w:p>
      <w:pPr>
        <w:spacing w:after="0" w:line="141" w:lineRule="exact"/>
        <w:rPr>
          <w:rFonts w:ascii="Arial" w:cs="Arial" w:eastAsia="Arial" w:hAnsi="Arial"/>
          <w:sz w:val="18"/>
          <w:szCs w:val="18"/>
          <w:u w:val="single" w:color="auto"/>
          <w:color w:val="0000FF"/>
        </w:rPr>
      </w:pPr>
    </w:p>
    <w:p>
      <w:pPr>
        <w:jc w:val="both"/>
        <w:ind w:left="1220" w:hanging="848"/>
        <w:spacing w:after="0" w:line="277"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80">
        <w:r>
          <w:rPr>
            <w:rFonts w:ascii="Arial" w:cs="Arial" w:eastAsia="Arial" w:hAnsi="Arial"/>
            <w:sz w:val="18"/>
            <w:szCs w:val="18"/>
            <w:u w:val="single" w:color="auto"/>
            <w:color w:val="0000FF"/>
          </w:rPr>
          <w:t>Summary of Universal Electronics Inc. 2013 Director Compensation (incorporated by reference to Exhibit 10.34 to the Company's Annual</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Report on 10-K for the year ended December 31, 2013 filed on March 12, 2014 (File No. 0-21044))</w:t>
        </w:r>
      </w:hyperlink>
    </w:p>
    <w:p>
      <w:pPr>
        <w:spacing w:after="0" w:line="130" w:lineRule="exact"/>
        <w:rPr>
          <w:sz w:val="20"/>
          <w:szCs w:val="20"/>
          <w:color w:val="auto"/>
        </w:rPr>
      </w:pPr>
    </w:p>
    <w:p>
      <w:pPr>
        <w:jc w:val="both"/>
        <w:ind w:left="1220" w:hanging="848"/>
        <w:spacing w:after="0" w:line="264"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81">
        <w:r>
          <w:rPr>
            <w:rFonts w:ascii="Arial" w:cs="Arial" w:eastAsia="Arial" w:hAnsi="Arial"/>
            <w:sz w:val="18"/>
            <w:szCs w:val="18"/>
            <w:u w:val="single" w:color="auto"/>
            <w:color w:val="0000FF"/>
          </w:rPr>
          <w:t>Universal Electronics Inc. 2003 Stock Incentive Plan, Universal Electronics Inc. Compensation Plan for Outside Members of the Board of</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Directors (2001), and Universal Electronics Inc. 2004 Directors' Compensation Plan (incorporated by reference to the Company's</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Registration Statement on Form S-8 filed on March 12, 2014 (File No. 333-194511))</w:t>
        </w:r>
      </w:hyperlink>
    </w:p>
    <w:p>
      <w:pPr>
        <w:spacing w:after="0" w:line="141" w:lineRule="exact"/>
        <w:rPr>
          <w:rFonts w:ascii="Arial" w:cs="Arial" w:eastAsia="Arial" w:hAnsi="Arial"/>
          <w:sz w:val="18"/>
          <w:szCs w:val="18"/>
          <w:u w:val="single" w:color="auto"/>
          <w:color w:val="0000FF"/>
        </w:rPr>
      </w:pPr>
    </w:p>
    <w:p>
      <w:pPr>
        <w:jc w:val="both"/>
        <w:ind w:left="1220" w:hanging="848"/>
        <w:spacing w:after="0" w:line="277"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82">
        <w:r>
          <w:rPr>
            <w:rFonts w:ascii="Arial" w:cs="Arial" w:eastAsia="Arial" w:hAnsi="Arial"/>
            <w:sz w:val="18"/>
            <w:szCs w:val="18"/>
            <w:u w:val="single" w:color="auto"/>
            <w:color w:val="0000FF"/>
          </w:rPr>
          <w:t>Universal Electronics Inc. 2014 Stock Incentive Plan (incorporated by reference to Exhibit 4.5 to the Company's Registration Statement on</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Form S-8 filed on August 12, 2014 (File No. 333-198083))</w:t>
        </w:r>
      </w:hyperlink>
    </w:p>
    <w:p>
      <w:pPr>
        <w:spacing w:after="0" w:line="130" w:lineRule="exact"/>
        <w:rPr>
          <w:sz w:val="20"/>
          <w:szCs w:val="20"/>
          <w:color w:val="auto"/>
        </w:rPr>
      </w:pPr>
    </w:p>
    <w:p>
      <w:pPr>
        <w:jc w:val="both"/>
        <w:ind w:left="1220" w:hanging="848"/>
        <w:spacing w:after="0" w:line="277"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83">
        <w:r>
          <w:rPr>
            <w:rFonts w:ascii="Arial" w:cs="Arial" w:eastAsia="Arial" w:hAnsi="Arial"/>
            <w:sz w:val="18"/>
            <w:szCs w:val="18"/>
            <w:u w:val="single" w:color="auto"/>
            <w:color w:val="0000FF"/>
          </w:rPr>
          <w:t>Form of Option Agreement used in connection with the Universal Electronics Inc. 2014 Stock Incentive Plan (incorporated by reference to</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Exhibit 4.6 to the Company's Registration Statement on Form S-8 filed on August 12, 2014 (File No. 333-198083))</w:t>
        </w:r>
      </w:hyperlink>
    </w:p>
    <w:p>
      <w:pPr>
        <w:spacing w:after="0" w:line="130" w:lineRule="exact"/>
        <w:rPr>
          <w:sz w:val="20"/>
          <w:szCs w:val="20"/>
          <w:color w:val="auto"/>
        </w:rPr>
      </w:pPr>
    </w:p>
    <w:p>
      <w:pPr>
        <w:jc w:val="both"/>
        <w:ind w:left="1220" w:hanging="848"/>
        <w:spacing w:after="0" w:line="342" w:lineRule="auto"/>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*10.26</w:t>
      </w:r>
      <w:r>
        <w:rPr>
          <w:sz w:val="20"/>
          <w:szCs w:val="20"/>
          <w:color w:val="auto"/>
        </w:rPr>
        <w:tab/>
      </w:r>
      <w:hyperlink r:id="rId84">
        <w:r>
          <w:rPr>
            <w:rFonts w:ascii="Arial" w:cs="Arial" w:eastAsia="Arial" w:hAnsi="Arial"/>
            <w:sz w:val="16"/>
            <w:szCs w:val="16"/>
            <w:u w:val="single" w:color="auto"/>
            <w:color w:val="0000FF"/>
          </w:rPr>
          <w:t>Form of Restricted Stock Unit Agreement used in connection with the Universal Electronics Inc. 2014 Stock Incentive Plan (incorporated by</w:t>
        </w:r>
      </w:hyperlink>
      <w:r>
        <w:rPr>
          <w:rFonts w:ascii="Arial" w:cs="Arial" w:eastAsia="Arial" w:hAnsi="Arial"/>
          <w:sz w:val="16"/>
          <w:szCs w:val="16"/>
          <w:u w:val="single" w:color="auto"/>
          <w:color w:val="0000FF"/>
        </w:rPr>
        <w:t xml:space="preserve"> </w:t>
      </w:r>
      <w:hyperlink r:id="rId84">
        <w:r>
          <w:rPr>
            <w:rFonts w:ascii="Arial" w:cs="Arial" w:eastAsia="Arial" w:hAnsi="Arial"/>
            <w:sz w:val="16"/>
            <w:szCs w:val="16"/>
            <w:u w:val="single" w:color="auto"/>
            <w:color w:val="0000FF"/>
          </w:rPr>
          <w:t>reference to Exhibit 4.7 to the Company's Registration Statement on Form S-8 filed on August 12, 2014 (File No. 333-198083))</w:t>
        </w:r>
      </w:hyperlink>
    </w:p>
    <w:p>
      <w:pPr>
        <w:spacing w:after="0" w:line="83" w:lineRule="exact"/>
        <w:rPr>
          <w:sz w:val="20"/>
          <w:szCs w:val="20"/>
          <w:color w:val="auto"/>
        </w:rPr>
      </w:pPr>
    </w:p>
    <w:p>
      <w:pPr>
        <w:jc w:val="both"/>
        <w:ind w:left="1220" w:hanging="803"/>
        <w:spacing w:after="0" w:line="264"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85">
        <w:r>
          <w:rPr>
            <w:rFonts w:ascii="Arial" w:cs="Arial" w:eastAsia="Arial" w:hAnsi="Arial"/>
            <w:sz w:val="18"/>
            <w:szCs w:val="18"/>
            <w:u w:val="single" w:color="auto"/>
            <w:color w:val="0000FF"/>
          </w:rPr>
          <w:t>First Amendment to Amended and Restated Credit Agreement dated October 9, 2014 between Universal Electronics Inc. and U.S. Bank</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National Association (incorporated by reference to Exhibit 10.31 to the Company's Annual Report on Form 10-K for the year ended</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December 31, 2014 filed on March 5, 2015 (File No. 0-21044))</w:t>
        </w:r>
      </w:hyperlink>
    </w:p>
    <w:p>
      <w:pPr>
        <w:spacing w:after="0" w:line="141" w:lineRule="exact"/>
        <w:rPr>
          <w:rFonts w:ascii="Arial" w:cs="Arial" w:eastAsia="Arial" w:hAnsi="Arial"/>
          <w:sz w:val="18"/>
          <w:szCs w:val="18"/>
          <w:u w:val="single" w:color="auto"/>
          <w:color w:val="0000FF"/>
        </w:rPr>
      </w:pPr>
    </w:p>
    <w:p>
      <w:pPr>
        <w:jc w:val="both"/>
        <w:ind w:left="1220" w:hanging="803"/>
        <w:spacing w:after="0" w:line="264"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86">
        <w:r>
          <w:rPr>
            <w:rFonts w:ascii="Arial" w:cs="Arial" w:eastAsia="Arial" w:hAnsi="Arial"/>
            <w:sz w:val="18"/>
            <w:szCs w:val="18"/>
            <w:u w:val="single" w:color="auto"/>
            <w:color w:val="0000FF"/>
          </w:rPr>
          <w:t>Second Amendment to Amended and Restated Credit Agreement dated September 3, 2015 between Universal Electronics Inc. and U.S.</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Bank National Association (incorporated by reference to Exhibit 10.1 to the Company's Quarterly Report on Form 10-Q for the quarter</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ended September 30, 2015 filed on November 6, 2015 (File No. 0-21044))</w:t>
        </w:r>
      </w:hyperlink>
    </w:p>
    <w:p>
      <w:pPr>
        <w:sectPr>
          <w:pgSz w:w="11900" w:h="16838" w:orient="portrait"/>
          <w:cols w:equalWidth="0" w:num="1">
            <w:col w:w="11360"/>
          </w:cols>
          <w:pgMar w:left="240" w:top="118" w:right="299" w:bottom="1440" w:gutter="0" w:footer="0" w:header="0"/>
        </w:sectPr>
      </w:pPr>
    </w:p>
    <w:p>
      <w:pPr>
        <w:spacing w:after="0" w:line="235" w:lineRule="exact"/>
        <w:rPr>
          <w:rFonts w:ascii="Arial" w:cs="Arial" w:eastAsia="Arial" w:hAnsi="Arial"/>
          <w:sz w:val="18"/>
          <w:szCs w:val="18"/>
          <w:u w:val="single" w:color="auto"/>
          <w:color w:val="0000FF"/>
        </w:rPr>
      </w:pPr>
    </w:p>
    <w:p>
      <w:pPr>
        <w:jc w:val="center"/>
        <w:ind w:right="-5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360"/>
          </w:cols>
          <w:pgMar w:left="240" w:top="118" w:right="299"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gridSpan w:val="3"/>
          </w:tcPr>
          <w:p>
            <w:pPr>
              <w:spacing w:after="0"/>
              <w:rPr>
                <w:rFonts w:ascii="Arial" w:cs="Arial" w:eastAsia="Arial" w:hAnsi="Arial"/>
                <w:sz w:val="14"/>
                <w:szCs w:val="14"/>
                <w:b w:val="1"/>
                <w:bCs w:val="1"/>
                <w:color w:val="0000EE"/>
                <w:w w:val="91"/>
              </w:rPr>
            </w:pPr>
            <w:hyperlink w:anchor="page3">
              <w:r>
                <w:rPr>
                  <w:rFonts w:ascii="Arial" w:cs="Arial" w:eastAsia="Arial" w:hAnsi="Arial"/>
                  <w:sz w:val="14"/>
                  <w:szCs w:val="14"/>
                  <w:b w:val="1"/>
                  <w:bCs w:val="1"/>
                  <w:color w:val="0000EE"/>
                  <w:w w:val="91"/>
                </w:rPr>
                <w:t>Table of Contents</w:t>
              </w:r>
            </w:hyperlink>
          </w:p>
        </w:tc>
        <w:tc>
          <w:tcPr>
            <w:tcW w:w="1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9"/>
        </w:trPr>
        <w:tc>
          <w:tcPr>
            <w:tcW w:w="360" w:type="dxa"/>
            <w:vAlign w:val="bottom"/>
          </w:tcPr>
          <w:p>
            <w:pPr>
              <w:spacing w:after="0"/>
              <w:rPr>
                <w:sz w:val="24"/>
                <w:szCs w:val="24"/>
                <w:color w:val="auto"/>
              </w:rPr>
            </w:pPr>
          </w:p>
        </w:tc>
        <w:tc>
          <w:tcPr>
            <w:tcW w:w="8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8"/>
              </w:rPr>
              <w:t>Exhibit</w:t>
            </w:r>
          </w:p>
        </w:tc>
        <w:tc>
          <w:tcPr>
            <w:tcW w:w="3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40" w:type="dxa"/>
            <w:vAlign w:val="bottom"/>
            <w:gridSpan w:val="12"/>
            <w:vMerge w:val="restart"/>
          </w:tcPr>
          <w:p>
            <w:pPr>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58"/>
        </w:trPr>
        <w:tc>
          <w:tcPr>
            <w:tcW w:w="1220" w:type="dxa"/>
            <w:vAlign w:val="bottom"/>
            <w:gridSpan w:val="4"/>
          </w:tcPr>
          <w:p>
            <w:pPr>
              <w:jc w:val="center"/>
              <w:spacing w:after="0" w:line="158" w:lineRule="exact"/>
              <w:rPr>
                <w:sz w:val="20"/>
                <w:szCs w:val="20"/>
                <w:color w:val="auto"/>
              </w:rPr>
            </w:pPr>
            <w:r>
              <w:rPr>
                <w:rFonts w:ascii="Arial" w:cs="Arial" w:eastAsia="Arial" w:hAnsi="Arial"/>
                <w:sz w:val="14"/>
                <w:szCs w:val="14"/>
                <w:b w:val="1"/>
                <w:bCs w:val="1"/>
                <w:color w:val="auto"/>
                <w:w w:val="94"/>
              </w:rPr>
              <w:t>Number</w:t>
            </w:r>
          </w:p>
        </w:tc>
        <w:tc>
          <w:tcPr>
            <w:tcW w:w="3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740" w:type="dxa"/>
            <w:vAlign w:val="bottom"/>
            <w:gridSpan w:val="1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340" w:type="dxa"/>
            <w:vAlign w:val="bottom"/>
            <w:tcBorders>
              <w:left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6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3"/>
              </w:rPr>
              <w:t>10.29</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FF"/>
            </w:tcBorders>
            <w:gridSpan w:val="16"/>
          </w:tcPr>
          <w:p>
            <w:pPr>
              <w:spacing w:after="0"/>
              <w:rPr>
                <w:rFonts w:ascii="Arial" w:cs="Arial" w:eastAsia="Arial" w:hAnsi="Arial"/>
                <w:sz w:val="18"/>
                <w:szCs w:val="18"/>
                <w:color w:val="0000FF"/>
                <w:w w:val="90"/>
              </w:rPr>
            </w:pPr>
            <w:hyperlink r:id="rId87">
              <w:r>
                <w:rPr>
                  <w:rFonts w:ascii="Arial" w:cs="Arial" w:eastAsia="Arial" w:hAnsi="Arial"/>
                  <w:sz w:val="18"/>
                  <w:szCs w:val="18"/>
                  <w:color w:val="0000FF"/>
                  <w:w w:val="90"/>
                </w:rPr>
                <w:t>Third Amendment to Amended and Restated Credit Agreement dated as of November 10, 2015 between Universal Electronics Inc. and U.S.</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FF"/>
            </w:tcBorders>
            <w:gridSpan w:val="16"/>
          </w:tcPr>
          <w:p>
            <w:pPr>
              <w:spacing w:after="0" w:line="196" w:lineRule="exact"/>
              <w:rPr>
                <w:rFonts w:ascii="Arial" w:cs="Arial" w:eastAsia="Arial" w:hAnsi="Arial"/>
                <w:sz w:val="18"/>
                <w:szCs w:val="18"/>
                <w:color w:val="0000FF"/>
                <w:w w:val="93"/>
              </w:rPr>
            </w:pPr>
            <w:hyperlink r:id="rId87">
              <w:r>
                <w:rPr>
                  <w:rFonts w:ascii="Arial" w:cs="Arial" w:eastAsia="Arial" w:hAnsi="Arial"/>
                  <w:sz w:val="18"/>
                  <w:szCs w:val="18"/>
                  <w:color w:val="0000FF"/>
                  <w:w w:val="93"/>
                </w:rPr>
                <w:t>Bank National Association (incorporated by reference to Exhibit 10.33 to the Company's Annual Report on Form 10-K for the year ended</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6"/>
          </w:tcPr>
          <w:p>
            <w:pPr>
              <w:spacing w:after="0" w:line="196" w:lineRule="exact"/>
              <w:rPr>
                <w:rFonts w:ascii="Arial" w:cs="Arial" w:eastAsia="Arial" w:hAnsi="Arial"/>
                <w:sz w:val="18"/>
                <w:szCs w:val="18"/>
                <w:color w:val="0000FF"/>
              </w:rPr>
            </w:pPr>
            <w:hyperlink r:id="rId87">
              <w:r>
                <w:rPr>
                  <w:rFonts w:ascii="Arial" w:cs="Arial" w:eastAsia="Arial" w:hAnsi="Arial"/>
                  <w:sz w:val="18"/>
                  <w:szCs w:val="18"/>
                  <w:color w:val="0000FF"/>
                </w:rPr>
                <w:t>December 31, 2015 filed on March 11, 2016 (File No. 0-21044))</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60" w:type="dxa"/>
            <w:vAlign w:val="bottom"/>
            <w:gridSpan w:val="2"/>
          </w:tcPr>
          <w:p>
            <w:pPr>
              <w:jc w:val="center"/>
              <w:ind w:left="271"/>
              <w:spacing w:after="0"/>
              <w:rPr>
                <w:sz w:val="20"/>
                <w:szCs w:val="20"/>
                <w:color w:val="auto"/>
              </w:rPr>
            </w:pPr>
            <w:r>
              <w:rPr>
                <w:rFonts w:ascii="Arial" w:cs="Arial" w:eastAsia="Arial" w:hAnsi="Arial"/>
                <w:sz w:val="18"/>
                <w:szCs w:val="18"/>
                <w:color w:val="auto"/>
                <w:w w:val="93"/>
              </w:rPr>
              <w:t>10.30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FF"/>
            </w:tcBorders>
            <w:gridSpan w:val="16"/>
          </w:tcPr>
          <w:p>
            <w:pPr>
              <w:spacing w:after="0"/>
              <w:rPr>
                <w:rFonts w:ascii="Arial" w:cs="Arial" w:eastAsia="Arial" w:hAnsi="Arial"/>
                <w:sz w:val="18"/>
                <w:szCs w:val="18"/>
                <w:color w:val="0000FF"/>
                <w:w w:val="91"/>
              </w:rPr>
            </w:pPr>
            <w:hyperlink r:id="rId88">
              <w:r>
                <w:rPr>
                  <w:rFonts w:ascii="Arial" w:cs="Arial" w:eastAsia="Arial" w:hAnsi="Arial"/>
                  <w:sz w:val="18"/>
                  <w:szCs w:val="18"/>
                  <w:color w:val="0000FF"/>
                  <w:w w:val="91"/>
                </w:rPr>
                <w:t>Fourth Amendment to Amended and Restated Credit Agreement dated as of February 3, 2016 between Universal Electronics Inc. and U.S.</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FF"/>
            </w:tcBorders>
            <w:gridSpan w:val="16"/>
          </w:tcPr>
          <w:p>
            <w:pPr>
              <w:spacing w:after="0" w:line="196" w:lineRule="exact"/>
              <w:rPr>
                <w:rFonts w:ascii="Arial" w:cs="Arial" w:eastAsia="Arial" w:hAnsi="Arial"/>
                <w:sz w:val="18"/>
                <w:szCs w:val="18"/>
                <w:color w:val="0000FF"/>
                <w:w w:val="93"/>
              </w:rPr>
            </w:pPr>
            <w:hyperlink r:id="rId88">
              <w:r>
                <w:rPr>
                  <w:rFonts w:ascii="Arial" w:cs="Arial" w:eastAsia="Arial" w:hAnsi="Arial"/>
                  <w:sz w:val="18"/>
                  <w:szCs w:val="18"/>
                  <w:color w:val="0000FF"/>
                  <w:w w:val="93"/>
                </w:rPr>
                <w:t>Bank National Association (incorporated by reference to Exhibit 10.34 to the Company's Annual Report on Form 10-K for the year ended</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6"/>
          </w:tcPr>
          <w:p>
            <w:pPr>
              <w:spacing w:after="0" w:line="196" w:lineRule="exact"/>
              <w:rPr>
                <w:rFonts w:ascii="Arial" w:cs="Arial" w:eastAsia="Arial" w:hAnsi="Arial"/>
                <w:sz w:val="18"/>
                <w:szCs w:val="18"/>
                <w:color w:val="0000FF"/>
              </w:rPr>
            </w:pPr>
            <w:hyperlink r:id="rId88">
              <w:r>
                <w:rPr>
                  <w:rFonts w:ascii="Arial" w:cs="Arial" w:eastAsia="Arial" w:hAnsi="Arial"/>
                  <w:sz w:val="18"/>
                  <w:szCs w:val="18"/>
                  <w:color w:val="0000FF"/>
                </w:rPr>
                <w:t>December 31, 2015 filed on March 11, 2016 (File No. 0-21044))</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60" w:type="dxa"/>
            <w:vAlign w:val="bottom"/>
            <w:gridSpan w:val="2"/>
          </w:tcPr>
          <w:p>
            <w:pPr>
              <w:jc w:val="center"/>
              <w:ind w:left="271"/>
              <w:spacing w:after="0"/>
              <w:rPr>
                <w:sz w:val="20"/>
                <w:szCs w:val="20"/>
                <w:color w:val="auto"/>
              </w:rPr>
            </w:pPr>
            <w:r>
              <w:rPr>
                <w:rFonts w:ascii="Arial" w:cs="Arial" w:eastAsia="Arial" w:hAnsi="Arial"/>
                <w:sz w:val="18"/>
                <w:szCs w:val="18"/>
                <w:color w:val="auto"/>
                <w:w w:val="93"/>
              </w:rPr>
              <w:t>10.31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FF"/>
            </w:tcBorders>
            <w:gridSpan w:val="16"/>
          </w:tcPr>
          <w:p>
            <w:pPr>
              <w:spacing w:after="0"/>
              <w:rPr>
                <w:rFonts w:ascii="Arial" w:cs="Arial" w:eastAsia="Arial" w:hAnsi="Arial"/>
                <w:sz w:val="18"/>
                <w:szCs w:val="18"/>
                <w:color w:val="0000FF"/>
                <w:w w:val="97"/>
              </w:rPr>
            </w:pPr>
            <w:hyperlink r:id="rId89">
              <w:r>
                <w:rPr>
                  <w:rFonts w:ascii="Arial" w:cs="Arial" w:eastAsia="Arial" w:hAnsi="Arial"/>
                  <w:sz w:val="18"/>
                  <w:szCs w:val="18"/>
                  <w:color w:val="0000FF"/>
                  <w:w w:val="97"/>
                </w:rPr>
                <w:t>Registration Rights Agreement dated March 9, 2016 between Universal Electronics Inc. and Comcast Corporation (incorporated by</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6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89">
              <w:r>
                <w:rPr>
                  <w:rFonts w:ascii="Arial" w:cs="Arial" w:eastAsia="Arial" w:hAnsi="Arial"/>
                  <w:sz w:val="18"/>
                  <w:szCs w:val="18"/>
                  <w:color w:val="0000FF"/>
                  <w:w w:val="91"/>
                </w:rPr>
                <w:t>references to Exhibit 10.1 to the Company's Current Report on Form 8-K dated March 9, 2016 filed on March 9, 2016 (File No. 0-21044))</w:t>
              </w:r>
            </w:hyperlink>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60" w:type="dxa"/>
            <w:vAlign w:val="bottom"/>
            <w:gridSpan w:val="2"/>
          </w:tcPr>
          <w:p>
            <w:pPr>
              <w:jc w:val="center"/>
              <w:ind w:left="271"/>
              <w:spacing w:after="0"/>
              <w:rPr>
                <w:sz w:val="20"/>
                <w:szCs w:val="20"/>
                <w:color w:val="auto"/>
              </w:rPr>
            </w:pPr>
            <w:r>
              <w:rPr>
                <w:rFonts w:ascii="Arial" w:cs="Arial" w:eastAsia="Arial" w:hAnsi="Arial"/>
                <w:sz w:val="18"/>
                <w:szCs w:val="18"/>
                <w:color w:val="auto"/>
                <w:w w:val="93"/>
              </w:rPr>
              <w:t>10.32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FF"/>
            </w:tcBorders>
            <w:gridSpan w:val="16"/>
          </w:tcPr>
          <w:p>
            <w:pPr>
              <w:spacing w:after="0"/>
              <w:rPr>
                <w:rFonts w:ascii="Arial" w:cs="Arial" w:eastAsia="Arial" w:hAnsi="Arial"/>
                <w:sz w:val="18"/>
                <w:szCs w:val="18"/>
                <w:color w:val="0000FF"/>
                <w:w w:val="90"/>
              </w:rPr>
            </w:pPr>
            <w:hyperlink r:id="rId90">
              <w:r>
                <w:rPr>
                  <w:rFonts w:ascii="Arial" w:cs="Arial" w:eastAsia="Arial" w:hAnsi="Arial"/>
                  <w:sz w:val="18"/>
                  <w:szCs w:val="18"/>
                  <w:color w:val="0000FF"/>
                  <w:w w:val="90"/>
                </w:rPr>
                <w:t>Fifth Amendment to Amended and Restated Credit Agreement dated as of September 19, 2016 between Universal Electronics Inc. and U.S.</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FF"/>
            </w:tcBorders>
            <w:gridSpan w:val="16"/>
          </w:tcPr>
          <w:p>
            <w:pPr>
              <w:spacing w:after="0" w:line="196" w:lineRule="exact"/>
              <w:rPr>
                <w:rFonts w:ascii="Arial" w:cs="Arial" w:eastAsia="Arial" w:hAnsi="Arial"/>
                <w:sz w:val="18"/>
                <w:szCs w:val="18"/>
                <w:color w:val="0000FF"/>
                <w:w w:val="95"/>
              </w:rPr>
            </w:pPr>
            <w:hyperlink r:id="rId90">
              <w:r>
                <w:rPr>
                  <w:rFonts w:ascii="Arial" w:cs="Arial" w:eastAsia="Arial" w:hAnsi="Arial"/>
                  <w:sz w:val="18"/>
                  <w:szCs w:val="18"/>
                  <w:color w:val="0000FF"/>
                  <w:w w:val="95"/>
                </w:rPr>
                <w:t>Bank National Association (incorporated by reference to Exhibit 10.1 to the Company's Quarterly Report on Form 10-Q for the quarter</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6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90">
              <w:r>
                <w:rPr>
                  <w:rFonts w:ascii="Arial" w:cs="Arial" w:eastAsia="Arial" w:hAnsi="Arial"/>
                  <w:sz w:val="18"/>
                  <w:szCs w:val="18"/>
                  <w:color w:val="0000FF"/>
                  <w:w w:val="90"/>
                </w:rPr>
                <w:t>ended September 30, 2016 filed on November 8, 2016 (File No. 0-21044))</w:t>
              </w:r>
            </w:hyperlink>
          </w:p>
        </w:tc>
        <w:tc>
          <w:tcPr>
            <w:tcW w:w="47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860" w:type="dxa"/>
            <w:vAlign w:val="bottom"/>
            <w:gridSpan w:val="2"/>
          </w:tcPr>
          <w:p>
            <w:pPr>
              <w:jc w:val="center"/>
              <w:ind w:left="271"/>
              <w:spacing w:after="0"/>
              <w:rPr>
                <w:sz w:val="20"/>
                <w:szCs w:val="20"/>
                <w:color w:val="auto"/>
              </w:rPr>
            </w:pPr>
            <w:r>
              <w:rPr>
                <w:rFonts w:ascii="Arial" w:cs="Arial" w:eastAsia="Arial" w:hAnsi="Arial"/>
                <w:sz w:val="18"/>
                <w:szCs w:val="18"/>
                <w:color w:val="auto"/>
                <w:w w:val="93"/>
              </w:rPr>
              <w:t>10.33</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FF"/>
            </w:tcBorders>
            <w:gridSpan w:val="16"/>
          </w:tcPr>
          <w:p>
            <w:pPr>
              <w:spacing w:after="0"/>
              <w:rPr>
                <w:rFonts w:ascii="Arial" w:cs="Arial" w:eastAsia="Arial" w:hAnsi="Arial"/>
                <w:sz w:val="18"/>
                <w:szCs w:val="18"/>
                <w:color w:val="0000FF"/>
                <w:w w:val="92"/>
              </w:rPr>
            </w:pPr>
            <w:hyperlink r:id="rId91">
              <w:r>
                <w:rPr>
                  <w:rFonts w:ascii="Arial" w:cs="Arial" w:eastAsia="Arial" w:hAnsi="Arial"/>
                  <w:sz w:val="18"/>
                  <w:szCs w:val="18"/>
                  <w:color w:val="0000FF"/>
                  <w:w w:val="92"/>
                </w:rPr>
                <w:t>Equity Transfer Agreement with Respect to Panyu Gemstar Project (incorporated by reference to Exhibit 10.2 to the Company's Quarterly</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6"/>
          </w:tcPr>
          <w:p>
            <w:pPr>
              <w:spacing w:after="0" w:line="196" w:lineRule="exact"/>
              <w:rPr>
                <w:rFonts w:ascii="Arial" w:cs="Arial" w:eastAsia="Arial" w:hAnsi="Arial"/>
                <w:sz w:val="18"/>
                <w:szCs w:val="18"/>
                <w:color w:val="0000FF"/>
              </w:rPr>
            </w:pPr>
            <w:hyperlink r:id="rId91">
              <w:r>
                <w:rPr>
                  <w:rFonts w:ascii="Arial" w:cs="Arial" w:eastAsia="Arial" w:hAnsi="Arial"/>
                  <w:sz w:val="18"/>
                  <w:szCs w:val="18"/>
                  <w:color w:val="0000FF"/>
                </w:rPr>
                <w:t>Report on Form 10-Q for the quarter ended September 30, 2016 filed on November 8, 2016 (File No. 0-21044))</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40" w:type="dxa"/>
            <w:vAlign w:val="bottom"/>
            <w:tcBorders>
              <w:left w:val="single" w:sz="8" w:color="0000FF"/>
            </w:tcBorders>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60" w:type="dxa"/>
            <w:vAlign w:val="bottom"/>
            <w:gridSpan w:val="2"/>
          </w:tcPr>
          <w:p>
            <w:pPr>
              <w:jc w:val="center"/>
              <w:ind w:left="271"/>
              <w:spacing w:after="0"/>
              <w:rPr>
                <w:sz w:val="20"/>
                <w:szCs w:val="20"/>
                <w:color w:val="auto"/>
              </w:rPr>
            </w:pPr>
            <w:r>
              <w:rPr>
                <w:rFonts w:ascii="Arial" w:cs="Arial" w:eastAsia="Arial" w:hAnsi="Arial"/>
                <w:sz w:val="18"/>
                <w:szCs w:val="18"/>
                <w:color w:val="auto"/>
                <w:w w:val="95"/>
              </w:rPr>
              <w:t>*10.34</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FF"/>
            </w:tcBorders>
            <w:gridSpan w:val="16"/>
          </w:tcPr>
          <w:p>
            <w:pPr>
              <w:spacing w:after="0"/>
              <w:rPr>
                <w:rFonts w:ascii="Arial" w:cs="Arial" w:eastAsia="Arial" w:hAnsi="Arial"/>
                <w:sz w:val="18"/>
                <w:szCs w:val="18"/>
                <w:color w:val="0000FF"/>
                <w:w w:val="89"/>
              </w:rPr>
            </w:pPr>
            <w:hyperlink r:id="rId92">
              <w:r>
                <w:rPr>
                  <w:rFonts w:ascii="Arial" w:cs="Arial" w:eastAsia="Arial" w:hAnsi="Arial"/>
                  <w:sz w:val="18"/>
                  <w:szCs w:val="18"/>
                  <w:color w:val="0000FF"/>
                  <w:w w:val="89"/>
                </w:rPr>
                <w:t>Employment and Separation Agreement and General Release made and entered into on October 26, 2016 between Universal Electronics BV</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FF"/>
            </w:tcBorders>
            <w:gridSpan w:val="16"/>
          </w:tcPr>
          <w:p>
            <w:pPr>
              <w:spacing w:after="0" w:line="196" w:lineRule="exact"/>
              <w:rPr>
                <w:rFonts w:ascii="Arial" w:cs="Arial" w:eastAsia="Arial" w:hAnsi="Arial"/>
                <w:sz w:val="18"/>
                <w:szCs w:val="18"/>
                <w:color w:val="0000FF"/>
                <w:w w:val="96"/>
              </w:rPr>
            </w:pPr>
            <w:hyperlink r:id="rId92">
              <w:r>
                <w:rPr>
                  <w:rFonts w:ascii="Arial" w:cs="Arial" w:eastAsia="Arial" w:hAnsi="Arial"/>
                  <w:sz w:val="18"/>
                  <w:szCs w:val="18"/>
                  <w:color w:val="0000FF"/>
                  <w:w w:val="96"/>
                </w:rPr>
                <w:t>and Paul J.M. Bennett (incorporated by reference to Exhibit 10.34 to the Company's Annual Report on Form 10-K for the year ended</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6"/>
          </w:tcPr>
          <w:p>
            <w:pPr>
              <w:spacing w:after="0" w:line="196" w:lineRule="exact"/>
              <w:rPr>
                <w:rFonts w:ascii="Arial" w:cs="Arial" w:eastAsia="Arial" w:hAnsi="Arial"/>
                <w:sz w:val="18"/>
                <w:szCs w:val="18"/>
                <w:color w:val="0000FF"/>
              </w:rPr>
            </w:pPr>
            <w:hyperlink r:id="rId92">
              <w:r>
                <w:rPr>
                  <w:rFonts w:ascii="Arial" w:cs="Arial" w:eastAsia="Arial" w:hAnsi="Arial"/>
                  <w:sz w:val="18"/>
                  <w:szCs w:val="18"/>
                  <w:color w:val="0000FF"/>
                </w:rPr>
                <w:t>December 31, 2016 filed on March 9, 2017 (File No. 0-21044))</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60" w:type="dxa"/>
            <w:vAlign w:val="bottom"/>
            <w:gridSpan w:val="2"/>
          </w:tcPr>
          <w:p>
            <w:pPr>
              <w:jc w:val="center"/>
              <w:ind w:left="271"/>
              <w:spacing w:after="0"/>
              <w:rPr>
                <w:sz w:val="20"/>
                <w:szCs w:val="20"/>
                <w:color w:val="auto"/>
              </w:rPr>
            </w:pPr>
            <w:r>
              <w:rPr>
                <w:rFonts w:ascii="Arial" w:cs="Arial" w:eastAsia="Arial" w:hAnsi="Arial"/>
                <w:sz w:val="18"/>
                <w:szCs w:val="18"/>
                <w:color w:val="auto"/>
                <w:w w:val="93"/>
              </w:rPr>
              <w:t>10.35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FF"/>
            </w:tcBorders>
            <w:gridSpan w:val="16"/>
          </w:tcPr>
          <w:p>
            <w:pPr>
              <w:spacing w:after="0"/>
              <w:rPr>
                <w:rFonts w:ascii="Arial" w:cs="Arial" w:eastAsia="Arial" w:hAnsi="Arial"/>
                <w:sz w:val="18"/>
                <w:szCs w:val="18"/>
                <w:color w:val="0000FF"/>
                <w:w w:val="92"/>
              </w:rPr>
            </w:pPr>
            <w:hyperlink r:id="rId93">
              <w:r>
                <w:rPr>
                  <w:rFonts w:ascii="Arial" w:cs="Arial" w:eastAsia="Arial" w:hAnsi="Arial"/>
                  <w:sz w:val="18"/>
                  <w:szCs w:val="18"/>
                  <w:color w:val="0000FF"/>
                  <w:w w:val="92"/>
                </w:rPr>
                <w:t>Sixth Amendment to Amended and Restated Credit Agreement dated as of January 18, 2017 between Universal Electronics Inc. and U.S.</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FF"/>
            </w:tcBorders>
            <w:gridSpan w:val="16"/>
          </w:tcPr>
          <w:p>
            <w:pPr>
              <w:spacing w:after="0" w:line="196" w:lineRule="exact"/>
              <w:rPr>
                <w:rFonts w:ascii="Arial" w:cs="Arial" w:eastAsia="Arial" w:hAnsi="Arial"/>
                <w:sz w:val="18"/>
                <w:szCs w:val="18"/>
                <w:color w:val="0000FF"/>
                <w:w w:val="93"/>
              </w:rPr>
            </w:pPr>
            <w:hyperlink r:id="rId93">
              <w:r>
                <w:rPr>
                  <w:rFonts w:ascii="Arial" w:cs="Arial" w:eastAsia="Arial" w:hAnsi="Arial"/>
                  <w:sz w:val="18"/>
                  <w:szCs w:val="18"/>
                  <w:color w:val="0000FF"/>
                  <w:w w:val="93"/>
                </w:rPr>
                <w:t>Bank National Association (incorporated by reference to Exhibit 10.35 to the Company's Annual Report on Form 10-K for the year ended</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6"/>
          </w:tcPr>
          <w:p>
            <w:pPr>
              <w:spacing w:after="0" w:line="196" w:lineRule="exact"/>
              <w:rPr>
                <w:rFonts w:ascii="Arial" w:cs="Arial" w:eastAsia="Arial" w:hAnsi="Arial"/>
                <w:sz w:val="18"/>
                <w:szCs w:val="18"/>
                <w:color w:val="0000FF"/>
              </w:rPr>
            </w:pPr>
            <w:hyperlink r:id="rId93">
              <w:r>
                <w:rPr>
                  <w:rFonts w:ascii="Arial" w:cs="Arial" w:eastAsia="Arial" w:hAnsi="Arial"/>
                  <w:sz w:val="18"/>
                  <w:szCs w:val="18"/>
                  <w:color w:val="0000FF"/>
                </w:rPr>
                <w:t>December 31, 2016 filed on March 9, 2017 (File No. 0-21044))</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60" w:type="dxa"/>
            <w:vAlign w:val="bottom"/>
            <w:gridSpan w:val="2"/>
          </w:tcPr>
          <w:p>
            <w:pPr>
              <w:jc w:val="center"/>
              <w:ind w:left="271"/>
              <w:spacing w:after="0"/>
              <w:rPr>
                <w:sz w:val="20"/>
                <w:szCs w:val="20"/>
                <w:color w:val="auto"/>
              </w:rPr>
            </w:pPr>
            <w:r>
              <w:rPr>
                <w:rFonts w:ascii="Arial" w:cs="Arial" w:eastAsia="Arial" w:hAnsi="Arial"/>
                <w:sz w:val="18"/>
                <w:szCs w:val="18"/>
                <w:color w:val="auto"/>
                <w:w w:val="93"/>
              </w:rPr>
              <w:t>10.36</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FF"/>
            </w:tcBorders>
            <w:gridSpan w:val="16"/>
          </w:tcPr>
          <w:p>
            <w:pPr>
              <w:spacing w:after="0"/>
              <w:rPr>
                <w:rFonts w:ascii="Arial" w:cs="Arial" w:eastAsia="Arial" w:hAnsi="Arial"/>
                <w:sz w:val="18"/>
                <w:szCs w:val="18"/>
                <w:color w:val="0000FF"/>
                <w:w w:val="92"/>
              </w:rPr>
            </w:pPr>
            <w:hyperlink r:id="rId94">
              <w:r>
                <w:rPr>
                  <w:rFonts w:ascii="Arial" w:cs="Arial" w:eastAsia="Arial" w:hAnsi="Arial"/>
                  <w:sz w:val="18"/>
                  <w:szCs w:val="18"/>
                  <w:color w:val="0000FF"/>
                  <w:w w:val="92"/>
                </w:rPr>
                <w:t>Seventh Amendment to Amended and Restated Credit Agreement dated as of April 14, 2017 between Universal Electronics Inc. and U.S.</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FF"/>
            </w:tcBorders>
            <w:gridSpan w:val="16"/>
          </w:tcPr>
          <w:p>
            <w:pPr>
              <w:spacing w:after="0" w:line="196" w:lineRule="exact"/>
              <w:rPr>
                <w:rFonts w:ascii="Arial" w:cs="Arial" w:eastAsia="Arial" w:hAnsi="Arial"/>
                <w:sz w:val="18"/>
                <w:szCs w:val="18"/>
                <w:color w:val="0000FF"/>
                <w:w w:val="95"/>
              </w:rPr>
            </w:pPr>
            <w:hyperlink r:id="rId94">
              <w:r>
                <w:rPr>
                  <w:rFonts w:ascii="Arial" w:cs="Arial" w:eastAsia="Arial" w:hAnsi="Arial"/>
                  <w:sz w:val="18"/>
                  <w:szCs w:val="18"/>
                  <w:color w:val="0000FF"/>
                  <w:w w:val="95"/>
                </w:rPr>
                <w:t>Bank National Association (incorporated by reference to Exhibit 10.1 to the Company's Quarterly Report on Form 10-Q for the quarter</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6"/>
          </w:tcPr>
          <w:p>
            <w:pPr>
              <w:spacing w:after="0" w:line="196" w:lineRule="exact"/>
              <w:rPr>
                <w:rFonts w:ascii="Arial" w:cs="Arial" w:eastAsia="Arial" w:hAnsi="Arial"/>
                <w:sz w:val="18"/>
                <w:szCs w:val="18"/>
                <w:color w:val="0000FF"/>
              </w:rPr>
            </w:pPr>
            <w:hyperlink r:id="rId94">
              <w:r>
                <w:rPr>
                  <w:rFonts w:ascii="Arial" w:cs="Arial" w:eastAsia="Arial" w:hAnsi="Arial"/>
                  <w:sz w:val="18"/>
                  <w:szCs w:val="18"/>
                  <w:color w:val="0000FF"/>
                </w:rPr>
                <w:t>ended March 31, 2017 filed on May 9, 2017 (File No. 0-21044))</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60" w:type="dxa"/>
            <w:vAlign w:val="bottom"/>
            <w:gridSpan w:val="2"/>
          </w:tcPr>
          <w:p>
            <w:pPr>
              <w:jc w:val="center"/>
              <w:ind w:left="271"/>
              <w:spacing w:after="0"/>
              <w:rPr>
                <w:sz w:val="20"/>
                <w:szCs w:val="20"/>
                <w:color w:val="auto"/>
              </w:rPr>
            </w:pPr>
            <w:r>
              <w:rPr>
                <w:rFonts w:ascii="Arial" w:cs="Arial" w:eastAsia="Arial" w:hAnsi="Arial"/>
                <w:sz w:val="18"/>
                <w:szCs w:val="18"/>
                <w:color w:val="auto"/>
                <w:w w:val="93"/>
              </w:rPr>
              <w:t>10.37</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FF"/>
            </w:tcBorders>
            <w:gridSpan w:val="16"/>
          </w:tcPr>
          <w:p>
            <w:pPr>
              <w:spacing w:after="0"/>
              <w:rPr>
                <w:rFonts w:ascii="Arial" w:cs="Arial" w:eastAsia="Arial" w:hAnsi="Arial"/>
                <w:sz w:val="18"/>
                <w:szCs w:val="18"/>
                <w:color w:val="0000FF"/>
                <w:w w:val="90"/>
              </w:rPr>
            </w:pPr>
            <w:hyperlink r:id="rId94">
              <w:r>
                <w:rPr>
                  <w:rFonts w:ascii="Arial" w:cs="Arial" w:eastAsia="Arial" w:hAnsi="Arial"/>
                  <w:sz w:val="18"/>
                  <w:szCs w:val="18"/>
                  <w:color w:val="0000FF"/>
                  <w:w w:val="90"/>
                </w:rPr>
                <w:t>Eighth Amendment to Amended and Restated Credit Agreement dated as of May 5, 2017 between Universal Electronics Inc. and U.S. Bank</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FF"/>
            </w:tcBorders>
            <w:gridSpan w:val="16"/>
          </w:tcPr>
          <w:p>
            <w:pPr>
              <w:spacing w:after="0" w:line="196" w:lineRule="exact"/>
              <w:rPr>
                <w:rFonts w:ascii="Arial" w:cs="Arial" w:eastAsia="Arial" w:hAnsi="Arial"/>
                <w:sz w:val="18"/>
                <w:szCs w:val="18"/>
                <w:color w:val="0000FF"/>
                <w:w w:val="94"/>
              </w:rPr>
            </w:pPr>
            <w:hyperlink r:id="rId94">
              <w:r>
                <w:rPr>
                  <w:rFonts w:ascii="Arial" w:cs="Arial" w:eastAsia="Arial" w:hAnsi="Arial"/>
                  <w:sz w:val="18"/>
                  <w:szCs w:val="18"/>
                  <w:color w:val="0000FF"/>
                  <w:w w:val="94"/>
                </w:rPr>
                <w:t>National Association (incorporated by reference to Exhibit 10.2 to the Company's Quarterly Report on Form 10-Q for the quarter ended</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94">
              <w:r>
                <w:rPr>
                  <w:rFonts w:ascii="Arial" w:cs="Arial" w:eastAsia="Arial" w:hAnsi="Arial"/>
                  <w:sz w:val="18"/>
                  <w:szCs w:val="18"/>
                  <w:color w:val="0000FF"/>
                  <w:w w:val="92"/>
                </w:rPr>
                <w:t>March 31, 2017 filed on May 9, 2017 (File No. 0-21044))</w:t>
              </w:r>
            </w:hyperlink>
          </w:p>
        </w:tc>
        <w:tc>
          <w:tcPr>
            <w:tcW w:w="59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60" w:type="dxa"/>
            <w:vAlign w:val="bottom"/>
            <w:gridSpan w:val="2"/>
          </w:tcPr>
          <w:p>
            <w:pPr>
              <w:jc w:val="center"/>
              <w:ind w:left="271"/>
              <w:spacing w:after="0"/>
              <w:rPr>
                <w:sz w:val="20"/>
                <w:szCs w:val="20"/>
                <w:color w:val="auto"/>
              </w:rPr>
            </w:pPr>
            <w:r>
              <w:rPr>
                <w:rFonts w:ascii="Arial" w:cs="Arial" w:eastAsia="Arial" w:hAnsi="Arial"/>
                <w:sz w:val="18"/>
                <w:szCs w:val="18"/>
                <w:color w:val="auto"/>
                <w:w w:val="93"/>
              </w:rPr>
              <w:t>10.38</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FF"/>
            </w:tcBorders>
            <w:gridSpan w:val="16"/>
          </w:tcPr>
          <w:p>
            <w:pPr>
              <w:spacing w:after="0"/>
              <w:rPr>
                <w:rFonts w:ascii="Arial" w:cs="Arial" w:eastAsia="Arial" w:hAnsi="Arial"/>
                <w:sz w:val="18"/>
                <w:szCs w:val="18"/>
                <w:color w:val="0000FF"/>
                <w:w w:val="90"/>
              </w:rPr>
            </w:pPr>
            <w:hyperlink r:id="rId95">
              <w:r>
                <w:rPr>
                  <w:rFonts w:ascii="Arial" w:cs="Arial" w:eastAsia="Arial" w:hAnsi="Arial"/>
                  <w:sz w:val="18"/>
                  <w:szCs w:val="18"/>
                  <w:color w:val="0000FF"/>
                  <w:w w:val="90"/>
                </w:rPr>
                <w:t>Ninth Amendment to Amended and Restated Credit Agreement dated as of June 20, 2017 between Universal Electronics Inc. and U.S. Bank</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95">
              <w:r>
                <w:rPr>
                  <w:rFonts w:ascii="Arial" w:cs="Arial" w:eastAsia="Arial" w:hAnsi="Arial"/>
                  <w:sz w:val="18"/>
                  <w:szCs w:val="18"/>
                  <w:color w:val="0000FF"/>
                  <w:w w:val="90"/>
                </w:rPr>
                <w:t>National Association (incorporated by reference to Exhibit 10.1 to the Company's Quarterly Report on Form 10-Q for the quarter ended June</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6"/>
          </w:tcPr>
          <w:p>
            <w:pPr>
              <w:spacing w:after="0" w:line="196" w:lineRule="exact"/>
              <w:rPr>
                <w:rFonts w:ascii="Arial" w:cs="Arial" w:eastAsia="Arial" w:hAnsi="Arial"/>
                <w:sz w:val="18"/>
                <w:szCs w:val="18"/>
                <w:color w:val="0000FF"/>
              </w:rPr>
            </w:pPr>
            <w:hyperlink r:id="rId95">
              <w:r>
                <w:rPr>
                  <w:rFonts w:ascii="Arial" w:cs="Arial" w:eastAsia="Arial" w:hAnsi="Arial"/>
                  <w:sz w:val="18"/>
                  <w:szCs w:val="18"/>
                  <w:color w:val="0000FF"/>
                </w:rPr>
                <w:t>30, 2017 filed on August 8, 2017 (File No. 0-21044))</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860" w:type="dxa"/>
            <w:vAlign w:val="bottom"/>
            <w:gridSpan w:val="2"/>
          </w:tcPr>
          <w:p>
            <w:pPr>
              <w:jc w:val="center"/>
              <w:ind w:left="271"/>
              <w:spacing w:after="0"/>
              <w:rPr>
                <w:sz w:val="20"/>
                <w:szCs w:val="20"/>
                <w:color w:val="auto"/>
              </w:rPr>
            </w:pPr>
            <w:r>
              <w:rPr>
                <w:rFonts w:ascii="Arial" w:cs="Arial" w:eastAsia="Arial" w:hAnsi="Arial"/>
                <w:sz w:val="18"/>
                <w:szCs w:val="18"/>
                <w:color w:val="auto"/>
                <w:w w:val="93"/>
              </w:rPr>
              <w:t>10.39</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FF"/>
            </w:tcBorders>
            <w:gridSpan w:val="16"/>
          </w:tcPr>
          <w:p>
            <w:pPr>
              <w:spacing w:after="0"/>
              <w:rPr>
                <w:rFonts w:ascii="Arial" w:cs="Arial" w:eastAsia="Arial" w:hAnsi="Arial"/>
                <w:sz w:val="18"/>
                <w:szCs w:val="18"/>
                <w:color w:val="0000FF"/>
                <w:w w:val="94"/>
              </w:rPr>
            </w:pPr>
            <w:hyperlink w:anchor="page111">
              <w:r>
                <w:rPr>
                  <w:rFonts w:ascii="Arial" w:cs="Arial" w:eastAsia="Arial" w:hAnsi="Arial"/>
                  <w:sz w:val="18"/>
                  <w:szCs w:val="18"/>
                  <w:color w:val="0000FF"/>
                  <w:w w:val="94"/>
                </w:rPr>
                <w:t>Second Amended and Restated Credit Agreement dated October 27, 2017 between Universal Electronics Inc. and U.S. Bank National</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w:anchor="page111">
              <w:r>
                <w:rPr>
                  <w:rFonts w:ascii="Arial" w:cs="Arial" w:eastAsia="Arial" w:hAnsi="Arial"/>
                  <w:sz w:val="18"/>
                  <w:szCs w:val="18"/>
                  <w:color w:val="0000FF"/>
                  <w:w w:val="91"/>
                </w:rPr>
                <w:t>Association and Wells Fargo Bank, National Association (filed herewith)</w:t>
              </w:r>
            </w:hyperlink>
          </w:p>
        </w:tc>
        <w:tc>
          <w:tcPr>
            <w:tcW w:w="48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60" w:type="dxa"/>
            <w:vAlign w:val="bottom"/>
            <w:gridSpan w:val="2"/>
          </w:tcPr>
          <w:p>
            <w:pPr>
              <w:jc w:val="center"/>
              <w:ind w:left="271"/>
              <w:spacing w:after="0"/>
              <w:rPr>
                <w:sz w:val="20"/>
                <w:szCs w:val="20"/>
                <w:color w:val="auto"/>
              </w:rPr>
            </w:pPr>
            <w:r>
              <w:rPr>
                <w:rFonts w:ascii="Arial" w:cs="Arial" w:eastAsia="Arial" w:hAnsi="Arial"/>
                <w:sz w:val="18"/>
                <w:szCs w:val="18"/>
                <w:color w:val="auto"/>
                <w:w w:val="85"/>
              </w:rPr>
              <w:t>14.1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FF"/>
            </w:tcBorders>
            <w:gridSpan w:val="16"/>
          </w:tcPr>
          <w:p>
            <w:pPr>
              <w:spacing w:after="0"/>
              <w:rPr>
                <w:rFonts w:ascii="Arial" w:cs="Arial" w:eastAsia="Arial" w:hAnsi="Arial"/>
                <w:sz w:val="18"/>
                <w:szCs w:val="18"/>
                <w:color w:val="0000FF"/>
                <w:w w:val="92"/>
              </w:rPr>
            </w:pPr>
            <w:hyperlink r:id="rId96">
              <w:r>
                <w:rPr>
                  <w:rFonts w:ascii="Arial" w:cs="Arial" w:eastAsia="Arial" w:hAnsi="Arial"/>
                  <w:sz w:val="18"/>
                  <w:szCs w:val="18"/>
                  <w:color w:val="0000FF"/>
                  <w:w w:val="92"/>
                </w:rPr>
                <w:t>Code of Conduct (incorporated by reference to Exhibit 14.1 to the Company's Annual Report on Form 10-K for the year ended December</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6"/>
          </w:tcPr>
          <w:p>
            <w:pPr>
              <w:spacing w:after="0" w:line="196" w:lineRule="exact"/>
              <w:rPr>
                <w:rFonts w:ascii="Arial" w:cs="Arial" w:eastAsia="Arial" w:hAnsi="Arial"/>
                <w:sz w:val="18"/>
                <w:szCs w:val="18"/>
                <w:color w:val="0000FF"/>
              </w:rPr>
            </w:pPr>
            <w:hyperlink r:id="rId96">
              <w:r>
                <w:rPr>
                  <w:rFonts w:ascii="Arial" w:cs="Arial" w:eastAsia="Arial" w:hAnsi="Arial"/>
                  <w:sz w:val="18"/>
                  <w:szCs w:val="18"/>
                  <w:color w:val="0000FF"/>
                </w:rPr>
                <w:t>31, 2003 filed on March 14, 2004 (File No. 0-21044))</w:t>
              </w:r>
            </w:hyperlink>
          </w:p>
        </w:tc>
        <w:tc>
          <w:tcPr>
            <w:tcW w:w="0" w:type="dxa"/>
            <w:vAlign w:val="bottom"/>
          </w:tcPr>
          <w:p>
            <w:pPr>
              <w:spacing w:after="0"/>
              <w:rPr>
                <w:sz w:val="1"/>
                <w:szCs w:val="1"/>
                <w:color w:val="auto"/>
              </w:rPr>
            </w:pPr>
          </w:p>
        </w:tc>
      </w:tr>
      <w:tr>
        <w:trPr>
          <w:trHeight w:val="372"/>
        </w:trPr>
        <w:tc>
          <w:tcPr>
            <w:tcW w:w="860" w:type="dxa"/>
            <w:vAlign w:val="bottom"/>
            <w:gridSpan w:val="2"/>
          </w:tcPr>
          <w:p>
            <w:pPr>
              <w:jc w:val="center"/>
              <w:ind w:left="271"/>
              <w:spacing w:after="0"/>
              <w:rPr>
                <w:sz w:val="20"/>
                <w:szCs w:val="20"/>
                <w:color w:val="auto"/>
              </w:rPr>
            </w:pPr>
            <w:r>
              <w:rPr>
                <w:rFonts w:ascii="Arial" w:cs="Arial" w:eastAsia="Arial" w:hAnsi="Arial"/>
                <w:sz w:val="18"/>
                <w:szCs w:val="18"/>
                <w:color w:val="auto"/>
                <w:w w:val="85"/>
              </w:rPr>
              <w:t>21.1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tcBorders>
              <w:top w:val="single" w:sz="8" w:color="0000FF"/>
            </w:tcBorders>
            <w:gridSpan w:val="2"/>
          </w:tcPr>
          <w:p>
            <w:pPr>
              <w:spacing w:after="0"/>
              <w:rPr>
                <w:rFonts w:ascii="Arial" w:cs="Arial" w:eastAsia="Arial" w:hAnsi="Arial"/>
                <w:sz w:val="18"/>
                <w:szCs w:val="18"/>
                <w:color w:val="0000FF"/>
                <w:w w:val="93"/>
              </w:rPr>
            </w:pPr>
            <w:hyperlink w:anchor="page234">
              <w:r>
                <w:rPr>
                  <w:rFonts w:ascii="Arial" w:cs="Arial" w:eastAsia="Arial" w:hAnsi="Arial"/>
                  <w:sz w:val="18"/>
                  <w:szCs w:val="18"/>
                  <w:color w:val="0000FF"/>
                  <w:w w:val="93"/>
                </w:rPr>
                <w:t>List of Subsidiaries of the Registrant (filed herewith)</w:t>
              </w:r>
            </w:hyperlink>
          </w:p>
        </w:tc>
        <w:tc>
          <w:tcPr>
            <w:tcW w:w="62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60" w:type="dxa"/>
            <w:vAlign w:val="bottom"/>
            <w:gridSpan w:val="2"/>
          </w:tcPr>
          <w:p>
            <w:pPr>
              <w:jc w:val="center"/>
              <w:ind w:left="271"/>
              <w:spacing w:after="0"/>
              <w:rPr>
                <w:sz w:val="20"/>
                <w:szCs w:val="20"/>
                <w:color w:val="auto"/>
              </w:rPr>
            </w:pPr>
            <w:r>
              <w:rPr>
                <w:rFonts w:ascii="Arial" w:cs="Arial" w:eastAsia="Arial" w:hAnsi="Arial"/>
                <w:sz w:val="18"/>
                <w:szCs w:val="18"/>
                <w:color w:val="auto"/>
                <w:w w:val="85"/>
              </w:rPr>
              <w:t>23.1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80" w:type="dxa"/>
            <w:vAlign w:val="bottom"/>
            <w:tcBorders>
              <w:bottom w:val="single" w:sz="8" w:color="0000FF"/>
            </w:tcBorders>
            <w:gridSpan w:val="9"/>
          </w:tcPr>
          <w:p>
            <w:pPr>
              <w:spacing w:after="0"/>
              <w:rPr>
                <w:rFonts w:ascii="Arial" w:cs="Arial" w:eastAsia="Arial" w:hAnsi="Arial"/>
                <w:sz w:val="18"/>
                <w:szCs w:val="18"/>
                <w:color w:val="0000FF"/>
                <w:w w:val="91"/>
              </w:rPr>
            </w:pPr>
            <w:hyperlink w:anchor="page235">
              <w:r>
                <w:rPr>
                  <w:rFonts w:ascii="Arial" w:cs="Arial" w:eastAsia="Arial" w:hAnsi="Arial"/>
                  <w:sz w:val="18"/>
                  <w:szCs w:val="18"/>
                  <w:color w:val="0000FF"/>
                  <w:w w:val="91"/>
                </w:rPr>
                <w:t>Consent of Independent Registered Public Accounting Firm (filed herewith)</w:t>
              </w:r>
            </w:hyperlink>
          </w:p>
        </w:tc>
        <w:tc>
          <w:tcPr>
            <w:tcW w:w="46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60" w:type="dxa"/>
            <w:vAlign w:val="bottom"/>
            <w:gridSpan w:val="2"/>
          </w:tcPr>
          <w:p>
            <w:pPr>
              <w:jc w:val="center"/>
              <w:ind w:left="271"/>
              <w:spacing w:after="0"/>
              <w:rPr>
                <w:sz w:val="20"/>
                <w:szCs w:val="20"/>
                <w:color w:val="auto"/>
              </w:rPr>
            </w:pPr>
            <w:r>
              <w:rPr>
                <w:rFonts w:ascii="Arial" w:cs="Arial" w:eastAsia="Arial" w:hAnsi="Arial"/>
                <w:sz w:val="18"/>
                <w:szCs w:val="18"/>
                <w:color w:val="auto"/>
                <w:w w:val="85"/>
              </w:rPr>
              <w:t>24.1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88">
              <w:r>
                <w:rPr>
                  <w:rFonts w:ascii="Arial" w:cs="Arial" w:eastAsia="Arial" w:hAnsi="Arial"/>
                  <w:sz w:val="18"/>
                  <w:szCs w:val="18"/>
                  <w:color w:val="0000EE"/>
                  <w:w w:val="90"/>
                </w:rPr>
                <w:t>Power of Attorney (filed as part of the signature page hereto)</w:t>
              </w:r>
            </w:hyperlink>
          </w:p>
        </w:tc>
        <w:tc>
          <w:tcPr>
            <w:tcW w:w="57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60" w:type="dxa"/>
            <w:vAlign w:val="bottom"/>
            <w:gridSpan w:val="2"/>
          </w:tcPr>
          <w:p>
            <w:pPr>
              <w:jc w:val="center"/>
              <w:ind w:left="271"/>
              <w:spacing w:after="0"/>
              <w:rPr>
                <w:sz w:val="20"/>
                <w:szCs w:val="20"/>
                <w:color w:val="auto"/>
              </w:rPr>
            </w:pPr>
            <w:r>
              <w:rPr>
                <w:rFonts w:ascii="Arial" w:cs="Arial" w:eastAsia="Arial" w:hAnsi="Arial"/>
                <w:sz w:val="18"/>
                <w:szCs w:val="18"/>
                <w:color w:val="auto"/>
                <w:w w:val="85"/>
              </w:rPr>
              <w:t>31.1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00" w:type="dxa"/>
            <w:vAlign w:val="bottom"/>
            <w:tcBorders>
              <w:bottom w:val="single" w:sz="8" w:color="0000FF"/>
            </w:tcBorders>
            <w:gridSpan w:val="10"/>
          </w:tcPr>
          <w:p>
            <w:pPr>
              <w:spacing w:after="0"/>
              <w:rPr>
                <w:rFonts w:ascii="Arial" w:cs="Arial" w:eastAsia="Arial" w:hAnsi="Arial"/>
                <w:sz w:val="18"/>
                <w:szCs w:val="18"/>
                <w:color w:val="0000FF"/>
                <w:w w:val="92"/>
              </w:rPr>
            </w:pPr>
            <w:hyperlink w:anchor="page236">
              <w:r>
                <w:rPr>
                  <w:rFonts w:ascii="Arial" w:cs="Arial" w:eastAsia="Arial" w:hAnsi="Arial"/>
                  <w:sz w:val="18"/>
                  <w:szCs w:val="18"/>
                  <w:color w:val="0000FF"/>
                  <w:w w:val="92"/>
                </w:rPr>
                <w:t>Rule 13a-14(a) Certifications of the Chief Executive Officer (filed herewith)</w:t>
              </w:r>
            </w:hyperlink>
          </w:p>
        </w:tc>
        <w:tc>
          <w:tcPr>
            <w:tcW w:w="46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60" w:type="dxa"/>
            <w:vAlign w:val="bottom"/>
            <w:gridSpan w:val="2"/>
          </w:tcPr>
          <w:p>
            <w:pPr>
              <w:jc w:val="center"/>
              <w:ind w:left="271"/>
              <w:spacing w:after="0"/>
              <w:rPr>
                <w:sz w:val="20"/>
                <w:szCs w:val="20"/>
                <w:color w:val="auto"/>
              </w:rPr>
            </w:pPr>
            <w:r>
              <w:rPr>
                <w:rFonts w:ascii="Arial" w:cs="Arial" w:eastAsia="Arial" w:hAnsi="Arial"/>
                <w:sz w:val="18"/>
                <w:szCs w:val="18"/>
                <w:color w:val="auto"/>
                <w:w w:val="85"/>
              </w:rPr>
              <w:t>31.2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0" w:type="dxa"/>
            <w:vAlign w:val="bottom"/>
            <w:tcBorders>
              <w:bottom w:val="single" w:sz="8" w:color="0000FF"/>
            </w:tcBorders>
            <w:gridSpan w:val="13"/>
          </w:tcPr>
          <w:p>
            <w:pPr>
              <w:spacing w:after="0"/>
              <w:rPr>
                <w:rFonts w:ascii="Arial" w:cs="Arial" w:eastAsia="Arial" w:hAnsi="Arial"/>
                <w:sz w:val="18"/>
                <w:szCs w:val="18"/>
                <w:color w:val="0000FF"/>
                <w:w w:val="93"/>
              </w:rPr>
            </w:pPr>
            <w:hyperlink w:anchor="page237">
              <w:r>
                <w:rPr>
                  <w:rFonts w:ascii="Arial" w:cs="Arial" w:eastAsia="Arial" w:hAnsi="Arial"/>
                  <w:sz w:val="18"/>
                  <w:szCs w:val="18"/>
                  <w:color w:val="0000FF"/>
                  <w:w w:val="93"/>
                </w:rPr>
                <w:t>Rule 13a-14(a) Certifications of the Chief Financial Officer (principal financial officer and principal accounting officer) (filed herewith)</w:t>
              </w:r>
            </w:hyperlink>
          </w:p>
        </w:tc>
        <w:tc>
          <w:tcPr>
            <w:tcW w:w="3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60" w:type="dxa"/>
            <w:vAlign w:val="bottom"/>
            <w:gridSpan w:val="2"/>
          </w:tcPr>
          <w:p>
            <w:pPr>
              <w:jc w:val="center"/>
              <w:ind w:left="271"/>
              <w:spacing w:after="0"/>
              <w:rPr>
                <w:sz w:val="20"/>
                <w:szCs w:val="20"/>
                <w:color w:val="auto"/>
              </w:rPr>
            </w:pPr>
            <w:r>
              <w:rPr>
                <w:rFonts w:ascii="Arial" w:cs="Arial" w:eastAsia="Arial" w:hAnsi="Arial"/>
                <w:sz w:val="18"/>
                <w:szCs w:val="18"/>
                <w:color w:val="auto"/>
                <w:w w:val="85"/>
              </w:rPr>
              <w:t>32.1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gridSpan w:val="16"/>
          </w:tcPr>
          <w:p>
            <w:pPr>
              <w:spacing w:after="0"/>
              <w:rPr>
                <w:rFonts w:ascii="Arial" w:cs="Arial" w:eastAsia="Arial" w:hAnsi="Arial"/>
                <w:sz w:val="18"/>
                <w:szCs w:val="18"/>
                <w:color w:val="0000FF"/>
              </w:rPr>
            </w:pPr>
            <w:hyperlink w:anchor="page238">
              <w:r>
                <w:rPr>
                  <w:rFonts w:ascii="Arial" w:cs="Arial" w:eastAsia="Arial" w:hAnsi="Arial"/>
                  <w:sz w:val="18"/>
                  <w:szCs w:val="18"/>
                  <w:color w:val="0000FF"/>
                </w:rPr>
                <w:t>Section 1350 Certifications of the Chief Executive Officer (furnished herewith)</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00" w:type="dxa"/>
            <w:vAlign w:val="bottom"/>
            <w:gridSpan w:val="11"/>
            <w:shd w:val="clear" w:color="auto" w:fill="0000FF"/>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60" w:type="dxa"/>
            <w:vAlign w:val="bottom"/>
            <w:gridSpan w:val="2"/>
          </w:tcPr>
          <w:p>
            <w:pPr>
              <w:jc w:val="center"/>
              <w:ind w:left="271"/>
              <w:spacing w:after="0"/>
              <w:rPr>
                <w:sz w:val="20"/>
                <w:szCs w:val="20"/>
                <w:color w:val="auto"/>
              </w:rPr>
            </w:pPr>
            <w:r>
              <w:rPr>
                <w:rFonts w:ascii="Arial" w:cs="Arial" w:eastAsia="Arial" w:hAnsi="Arial"/>
                <w:sz w:val="18"/>
                <w:szCs w:val="18"/>
                <w:color w:val="auto"/>
                <w:w w:val="85"/>
              </w:rPr>
              <w:t>32.2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gridSpan w:val="16"/>
          </w:tcPr>
          <w:p>
            <w:pPr>
              <w:spacing w:after="0"/>
              <w:rPr>
                <w:rFonts w:ascii="Arial" w:cs="Arial" w:eastAsia="Arial" w:hAnsi="Arial"/>
                <w:sz w:val="18"/>
                <w:szCs w:val="18"/>
                <w:color w:val="0000FF"/>
                <w:w w:val="94"/>
              </w:rPr>
            </w:pPr>
            <w:hyperlink w:anchor="page239">
              <w:r>
                <w:rPr>
                  <w:rFonts w:ascii="Arial" w:cs="Arial" w:eastAsia="Arial" w:hAnsi="Arial"/>
                  <w:sz w:val="18"/>
                  <w:szCs w:val="18"/>
                  <w:color w:val="0000FF"/>
                  <w:w w:val="94"/>
                </w:rPr>
                <w:t>Section 1350 Certifications of the Chief Financial Officer (principal financial officer and principal accounting officer) (furnished herewith)</w:t>
              </w:r>
            </w:hyperlink>
          </w:p>
        </w:tc>
        <w:tc>
          <w:tcPr>
            <w:tcW w:w="0" w:type="dxa"/>
            <w:vAlign w:val="bottom"/>
          </w:tcPr>
          <w:p>
            <w:pPr>
              <w:spacing w:after="0"/>
              <w:rPr>
                <w:sz w:val="1"/>
                <w:szCs w:val="1"/>
                <w:color w:val="auto"/>
              </w:rPr>
            </w:pPr>
          </w:p>
        </w:tc>
      </w:tr>
      <w:tr>
        <w:trPr>
          <w:trHeight w:val="412"/>
        </w:trPr>
        <w:tc>
          <w:tcPr>
            <w:tcW w:w="1220" w:type="dxa"/>
            <w:vAlign w:val="bottom"/>
            <w:gridSpan w:val="4"/>
          </w:tcPr>
          <w:p>
            <w:pPr>
              <w:jc w:val="center"/>
              <w:spacing w:after="0"/>
              <w:rPr>
                <w:sz w:val="20"/>
                <w:szCs w:val="20"/>
                <w:color w:val="auto"/>
              </w:rPr>
            </w:pPr>
            <w:r>
              <w:rPr>
                <w:rFonts w:ascii="Arial" w:cs="Arial" w:eastAsia="Arial" w:hAnsi="Arial"/>
                <w:sz w:val="18"/>
                <w:szCs w:val="18"/>
                <w:color w:val="auto"/>
                <w:w w:val="95"/>
              </w:rPr>
              <w:t>101.INS</w:t>
            </w:r>
          </w:p>
        </w:tc>
        <w:tc>
          <w:tcPr>
            <w:tcW w:w="1000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auto"/>
              </w:rPr>
              <w:t>XBRL Instance Document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20" w:type="dxa"/>
            <w:vAlign w:val="bottom"/>
            <w:gridSpan w:val="4"/>
          </w:tcPr>
          <w:p>
            <w:pPr>
              <w:jc w:val="center"/>
              <w:spacing w:after="0"/>
              <w:rPr>
                <w:sz w:val="20"/>
                <w:szCs w:val="20"/>
                <w:color w:val="auto"/>
              </w:rPr>
            </w:pPr>
            <w:r>
              <w:rPr>
                <w:rFonts w:ascii="Arial" w:cs="Arial" w:eastAsia="Arial" w:hAnsi="Arial"/>
                <w:sz w:val="18"/>
                <w:szCs w:val="18"/>
                <w:color w:val="auto"/>
                <w:w w:val="90"/>
              </w:rPr>
              <w:t>101.SCH</w:t>
            </w:r>
          </w:p>
        </w:tc>
        <w:tc>
          <w:tcPr>
            <w:tcW w:w="10140" w:type="dxa"/>
            <w:vAlign w:val="bottom"/>
            <w:gridSpan w:val="16"/>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1220" w:type="dxa"/>
            <w:vAlign w:val="bottom"/>
            <w:gridSpan w:val="4"/>
          </w:tcPr>
          <w:p>
            <w:pPr>
              <w:jc w:val="center"/>
              <w:spacing w:after="0"/>
              <w:rPr>
                <w:sz w:val="20"/>
                <w:szCs w:val="20"/>
                <w:color w:val="auto"/>
              </w:rPr>
            </w:pPr>
            <w:r>
              <w:rPr>
                <w:rFonts w:ascii="Arial" w:cs="Arial" w:eastAsia="Arial" w:hAnsi="Arial"/>
                <w:sz w:val="18"/>
                <w:szCs w:val="18"/>
                <w:color w:val="auto"/>
                <w:w w:val="94"/>
              </w:rPr>
              <w:t>101.CAL</w:t>
            </w:r>
          </w:p>
        </w:tc>
        <w:tc>
          <w:tcPr>
            <w:tcW w:w="10140" w:type="dxa"/>
            <w:vAlign w:val="bottom"/>
            <w:gridSpan w:val="1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220" w:type="dxa"/>
            <w:vAlign w:val="bottom"/>
            <w:gridSpan w:val="4"/>
          </w:tcPr>
          <w:p>
            <w:pPr>
              <w:jc w:val="center"/>
              <w:spacing w:after="0"/>
              <w:rPr>
                <w:sz w:val="20"/>
                <w:szCs w:val="20"/>
                <w:color w:val="auto"/>
              </w:rPr>
            </w:pPr>
            <w:r>
              <w:rPr>
                <w:rFonts w:ascii="Arial" w:cs="Arial" w:eastAsia="Arial" w:hAnsi="Arial"/>
                <w:sz w:val="18"/>
                <w:szCs w:val="18"/>
                <w:color w:val="auto"/>
                <w:w w:val="92"/>
              </w:rPr>
              <w:t>101.DEF</w:t>
            </w:r>
          </w:p>
        </w:tc>
        <w:tc>
          <w:tcPr>
            <w:tcW w:w="10140" w:type="dxa"/>
            <w:vAlign w:val="bottom"/>
            <w:gridSpan w:val="16"/>
          </w:tcPr>
          <w:p>
            <w:pPr>
              <w:spacing w:after="0"/>
              <w:rPr>
                <w:sz w:val="20"/>
                <w:szCs w:val="20"/>
                <w:color w:val="auto"/>
              </w:rPr>
            </w:pPr>
            <w:r>
              <w:rPr>
                <w:rFonts w:ascii="Arial" w:cs="Arial" w:eastAsia="Arial" w:hAnsi="Arial"/>
                <w:sz w:val="18"/>
                <w:szCs w:val="18"/>
                <w:color w:val="auto"/>
              </w:rPr>
              <w:t>XBRL Taxonomy Extension Linkbase Document</w:t>
            </w:r>
          </w:p>
        </w:tc>
        <w:tc>
          <w:tcPr>
            <w:tcW w:w="0" w:type="dxa"/>
            <w:vAlign w:val="bottom"/>
          </w:tcPr>
          <w:p>
            <w:pPr>
              <w:spacing w:after="0"/>
              <w:rPr>
                <w:sz w:val="1"/>
                <w:szCs w:val="1"/>
                <w:color w:val="auto"/>
              </w:rPr>
            </w:pPr>
          </w:p>
        </w:tc>
      </w:tr>
      <w:tr>
        <w:trPr>
          <w:trHeight w:val="392"/>
        </w:trPr>
        <w:tc>
          <w:tcPr>
            <w:tcW w:w="1220" w:type="dxa"/>
            <w:vAlign w:val="bottom"/>
            <w:gridSpan w:val="4"/>
          </w:tcPr>
          <w:p>
            <w:pPr>
              <w:jc w:val="center"/>
              <w:spacing w:after="0"/>
              <w:rPr>
                <w:sz w:val="20"/>
                <w:szCs w:val="20"/>
                <w:color w:val="auto"/>
              </w:rPr>
            </w:pPr>
            <w:r>
              <w:rPr>
                <w:rFonts w:ascii="Arial" w:cs="Arial" w:eastAsia="Arial" w:hAnsi="Arial"/>
                <w:sz w:val="18"/>
                <w:szCs w:val="18"/>
                <w:color w:val="auto"/>
                <w:w w:val="95"/>
              </w:rPr>
              <w:t>101.LAB</w:t>
            </w:r>
          </w:p>
        </w:tc>
        <w:tc>
          <w:tcPr>
            <w:tcW w:w="10140" w:type="dxa"/>
            <w:vAlign w:val="bottom"/>
            <w:gridSpan w:val="16"/>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14" w:right="299" w:bottom="676" w:gutter="0" w:footer="0" w:header="0"/>
        </w:sectPr>
      </w:pP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360"/>
          </w:cols>
          <w:pgMar w:left="240" w:top="114" w:right="299" w:bottom="676" w:gutter="0" w:footer="0" w:header="0"/>
          <w:type w:val="continuous"/>
        </w:sectPr>
      </w:pPr>
    </w:p>
    <w:bookmarkStart w:id="86" w:name="page87"/>
    <w:bookmarkEnd w:id="8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80"/>
        <w:spacing w:after="0"/>
        <w:tabs>
          <w:tab w:leader="none" w:pos="120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6"/>
          <w:szCs w:val="16"/>
          <w:color w:val="auto"/>
        </w:rPr>
        <w:t>XBRL Taxonomy Extension Presentation Linkbase Document</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 Management contract or compensation plan or arrangement identified pursuant to Items 15(a)(3) and 15(c) of Form 10-K.</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219"/>
          </w:cols>
          <w:pgMar w:left="240" w:top="118" w:right="1440"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 in the City of Santa Ana, State of California.</w:t>
      </w:r>
    </w:p>
    <w:p>
      <w:pPr>
        <w:spacing w:after="0" w:line="302"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UNIVERSAL ELECTRONICS INC.</w:t>
      </w:r>
    </w:p>
    <w:p>
      <w:pPr>
        <w:spacing w:after="0" w:line="189" w:lineRule="exact"/>
        <w:rPr>
          <w:sz w:val="20"/>
          <w:szCs w:val="20"/>
          <w:color w:val="auto"/>
        </w:rPr>
      </w:pPr>
    </w:p>
    <w:p>
      <w:pPr>
        <w:ind w:left="532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52" w:lineRule="exact"/>
        <w:rPr>
          <w:sz w:val="20"/>
          <w:szCs w:val="20"/>
          <w:color w:val="auto"/>
        </w:rPr>
      </w:pPr>
    </w:p>
    <w:p>
      <w:pPr>
        <w:ind w:left="5320"/>
        <w:spacing w:after="0"/>
        <w:tabs>
          <w:tab w:leader="none" w:pos="6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12, 2018</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Each person whose signature appears below constitutes and appoints Paul D. Arling and Bryan M. Hackworth as true and lawful attorneys-in-fact and agents, each acting alone, with full powers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for all intents and purposes as he might or may do in person, thereby ratifying and confirming all that said attorneys-in-fact and agents, each acting alone, or his substitutes, may lawfully do or cause to be done by virtue hereof.</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940" w:type="dxa"/>
            <w:vAlign w:val="bottom"/>
          </w:tcPr>
          <w:p>
            <w:pPr>
              <w:spacing w:after="0"/>
              <w:rPr>
                <w:sz w:val="20"/>
                <w:szCs w:val="20"/>
                <w:color w:val="auto"/>
              </w:rPr>
            </w:pPr>
            <w:r>
              <w:rPr>
                <w:rFonts w:ascii="Arial" w:cs="Arial" w:eastAsia="Arial" w:hAnsi="Arial"/>
                <w:sz w:val="14"/>
                <w:szCs w:val="14"/>
                <w:b w:val="1"/>
                <w:bCs w:val="1"/>
                <w:color w:val="auto"/>
              </w:rPr>
              <w:t>NAME &amp; TITLE</w:t>
            </w:r>
          </w:p>
        </w:tc>
        <w:tc>
          <w:tcPr>
            <w:tcW w:w="1320" w:type="dxa"/>
            <w:vAlign w:val="bottom"/>
          </w:tcPr>
          <w:p>
            <w:pPr>
              <w:spacing w:after="0"/>
              <w:rPr>
                <w:sz w:val="16"/>
                <w:szCs w:val="16"/>
                <w:color w:val="auto"/>
              </w:rPr>
            </w:pPr>
          </w:p>
        </w:tc>
        <w:tc>
          <w:tcPr>
            <w:tcW w:w="2860" w:type="dxa"/>
            <w:vAlign w:val="bottom"/>
          </w:tcPr>
          <w:p>
            <w:pPr>
              <w:ind w:left="1000"/>
              <w:spacing w:after="0"/>
              <w:rPr>
                <w:sz w:val="20"/>
                <w:szCs w:val="20"/>
                <w:color w:val="auto"/>
              </w:rPr>
            </w:pPr>
            <w:r>
              <w:rPr>
                <w:rFonts w:ascii="Arial" w:cs="Arial" w:eastAsia="Arial" w:hAnsi="Arial"/>
                <w:sz w:val="14"/>
                <w:szCs w:val="14"/>
                <w:b w:val="1"/>
                <w:bCs w:val="1"/>
                <w:color w:val="auto"/>
              </w:rPr>
              <w:t>SIGNATURE</w:t>
            </w:r>
          </w:p>
        </w:tc>
        <w:tc>
          <w:tcPr>
            <w:tcW w:w="1760" w:type="dxa"/>
            <w:vAlign w:val="bottom"/>
          </w:tcPr>
          <w:p>
            <w:pPr>
              <w:jc w:val="center"/>
              <w:ind w:left="512"/>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62"/>
        </w:trPr>
        <w:tc>
          <w:tcPr>
            <w:tcW w:w="4940" w:type="dxa"/>
            <w:vAlign w:val="bottom"/>
          </w:tcPr>
          <w:p>
            <w:pPr>
              <w:spacing w:after="0"/>
              <w:rPr>
                <w:sz w:val="20"/>
                <w:szCs w:val="20"/>
                <w:color w:val="auto"/>
              </w:rPr>
            </w:pPr>
            <w:r>
              <w:rPr>
                <w:rFonts w:ascii="Arial" w:cs="Arial" w:eastAsia="Arial" w:hAnsi="Arial"/>
                <w:sz w:val="18"/>
                <w:szCs w:val="18"/>
                <w:color w:val="auto"/>
              </w:rPr>
              <w:t>Paul D. Arling</w:t>
            </w: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i w:val="1"/>
                <w:iCs w:val="1"/>
                <w:color w:val="auto"/>
              </w:rPr>
              <w:t>Chairman and Chief Executive Officer</w:t>
            </w:r>
          </w:p>
        </w:tc>
        <w:tc>
          <w:tcPr>
            <w:tcW w:w="13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Paul D. Arling</w:t>
            </w:r>
          </w:p>
        </w:tc>
        <w:tc>
          <w:tcPr>
            <w:tcW w:w="1760" w:type="dxa"/>
            <w:vAlign w:val="bottom"/>
          </w:tcPr>
          <w:p>
            <w:pPr>
              <w:jc w:val="center"/>
              <w:ind w:left="512"/>
              <w:spacing w:after="0"/>
              <w:rPr>
                <w:sz w:val="20"/>
                <w:szCs w:val="20"/>
                <w:color w:val="auto"/>
              </w:rPr>
            </w:pPr>
            <w:r>
              <w:rPr>
                <w:rFonts w:ascii="Arial" w:cs="Arial" w:eastAsia="Arial" w:hAnsi="Arial"/>
                <w:sz w:val="18"/>
                <w:szCs w:val="18"/>
                <w:color w:val="auto"/>
                <w:w w:val="92"/>
              </w:rPr>
              <w:t>March 12, 2018</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Bryan M. Hackworth</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13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Bryan M. Hackworth</w:t>
            </w:r>
          </w:p>
        </w:tc>
        <w:tc>
          <w:tcPr>
            <w:tcW w:w="1760" w:type="dxa"/>
            <w:vAlign w:val="bottom"/>
          </w:tcPr>
          <w:p>
            <w:pPr>
              <w:jc w:val="center"/>
              <w:ind w:left="512"/>
              <w:spacing w:after="0"/>
              <w:rPr>
                <w:sz w:val="20"/>
                <w:szCs w:val="20"/>
                <w:color w:val="auto"/>
              </w:rPr>
            </w:pPr>
            <w:r>
              <w:rPr>
                <w:rFonts w:ascii="Arial" w:cs="Arial" w:eastAsia="Arial" w:hAnsi="Arial"/>
                <w:sz w:val="18"/>
                <w:szCs w:val="18"/>
                <w:color w:val="auto"/>
                <w:w w:val="92"/>
              </w:rPr>
              <w:t>March 12, 2018</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Satjiv S. Chahil</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Satjiv S. Chahil</w:t>
            </w:r>
          </w:p>
        </w:tc>
        <w:tc>
          <w:tcPr>
            <w:tcW w:w="1760" w:type="dxa"/>
            <w:vAlign w:val="bottom"/>
          </w:tcPr>
          <w:p>
            <w:pPr>
              <w:jc w:val="center"/>
              <w:ind w:left="512"/>
              <w:spacing w:after="0"/>
              <w:rPr>
                <w:sz w:val="20"/>
                <w:szCs w:val="20"/>
                <w:color w:val="auto"/>
              </w:rPr>
            </w:pPr>
            <w:r>
              <w:rPr>
                <w:rFonts w:ascii="Arial" w:cs="Arial" w:eastAsia="Arial" w:hAnsi="Arial"/>
                <w:sz w:val="18"/>
                <w:szCs w:val="18"/>
                <w:color w:val="auto"/>
                <w:w w:val="92"/>
              </w:rPr>
              <w:t>March 12, 2018</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William C. Mulligan</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William C. Mulligan</w:t>
            </w:r>
          </w:p>
        </w:tc>
        <w:tc>
          <w:tcPr>
            <w:tcW w:w="1760" w:type="dxa"/>
            <w:vAlign w:val="bottom"/>
          </w:tcPr>
          <w:p>
            <w:pPr>
              <w:jc w:val="center"/>
              <w:ind w:left="512"/>
              <w:spacing w:after="0"/>
              <w:rPr>
                <w:sz w:val="20"/>
                <w:szCs w:val="20"/>
                <w:color w:val="auto"/>
              </w:rPr>
            </w:pPr>
            <w:r>
              <w:rPr>
                <w:rFonts w:ascii="Arial" w:cs="Arial" w:eastAsia="Arial" w:hAnsi="Arial"/>
                <w:sz w:val="18"/>
                <w:szCs w:val="18"/>
                <w:color w:val="auto"/>
                <w:w w:val="92"/>
              </w:rPr>
              <w:t>March 12, 2018</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J. C. Sparkman</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J.C. Sparkman</w:t>
            </w:r>
          </w:p>
        </w:tc>
        <w:tc>
          <w:tcPr>
            <w:tcW w:w="1760" w:type="dxa"/>
            <w:vAlign w:val="bottom"/>
          </w:tcPr>
          <w:p>
            <w:pPr>
              <w:jc w:val="center"/>
              <w:ind w:left="512"/>
              <w:spacing w:after="0"/>
              <w:rPr>
                <w:sz w:val="20"/>
                <w:szCs w:val="20"/>
                <w:color w:val="auto"/>
              </w:rPr>
            </w:pPr>
            <w:r>
              <w:rPr>
                <w:rFonts w:ascii="Arial" w:cs="Arial" w:eastAsia="Arial" w:hAnsi="Arial"/>
                <w:sz w:val="18"/>
                <w:szCs w:val="18"/>
                <w:color w:val="auto"/>
                <w:w w:val="92"/>
              </w:rPr>
              <w:t>March 12, 2018</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Gregory P. Stapleton</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Gregory P. Stapleton</w:t>
            </w:r>
          </w:p>
        </w:tc>
        <w:tc>
          <w:tcPr>
            <w:tcW w:w="1760" w:type="dxa"/>
            <w:vAlign w:val="bottom"/>
          </w:tcPr>
          <w:p>
            <w:pPr>
              <w:jc w:val="center"/>
              <w:ind w:left="512"/>
              <w:spacing w:after="0"/>
              <w:rPr>
                <w:sz w:val="20"/>
                <w:szCs w:val="20"/>
                <w:color w:val="auto"/>
              </w:rPr>
            </w:pPr>
            <w:r>
              <w:rPr>
                <w:rFonts w:ascii="Arial" w:cs="Arial" w:eastAsia="Arial" w:hAnsi="Arial"/>
                <w:sz w:val="18"/>
                <w:szCs w:val="18"/>
                <w:color w:val="auto"/>
                <w:w w:val="92"/>
              </w:rPr>
              <w:t>March 12, 2018</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Carl E. Vogel</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Carl E. Vogel</w:t>
            </w:r>
          </w:p>
        </w:tc>
        <w:tc>
          <w:tcPr>
            <w:tcW w:w="1760" w:type="dxa"/>
            <w:vAlign w:val="bottom"/>
          </w:tcPr>
          <w:p>
            <w:pPr>
              <w:jc w:val="center"/>
              <w:ind w:left="512"/>
              <w:spacing w:after="0"/>
              <w:rPr>
                <w:sz w:val="20"/>
                <w:szCs w:val="20"/>
                <w:color w:val="auto"/>
              </w:rPr>
            </w:pPr>
            <w:r>
              <w:rPr>
                <w:rFonts w:ascii="Arial" w:cs="Arial" w:eastAsia="Arial" w:hAnsi="Arial"/>
                <w:sz w:val="18"/>
                <w:szCs w:val="18"/>
                <w:color w:val="auto"/>
                <w:w w:val="92"/>
              </w:rPr>
              <w:t>March 12, 2018</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Edward K. Zinser</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Edward K. Zinser</w:t>
            </w:r>
          </w:p>
        </w:tc>
        <w:tc>
          <w:tcPr>
            <w:tcW w:w="1760" w:type="dxa"/>
            <w:vAlign w:val="bottom"/>
          </w:tcPr>
          <w:p>
            <w:pPr>
              <w:jc w:val="center"/>
              <w:ind w:left="512"/>
              <w:spacing w:after="0"/>
              <w:rPr>
                <w:sz w:val="20"/>
                <w:szCs w:val="20"/>
                <w:color w:val="auto"/>
              </w:rPr>
            </w:pPr>
            <w:r>
              <w:rPr>
                <w:rFonts w:ascii="Arial" w:cs="Arial" w:eastAsia="Arial" w:hAnsi="Arial"/>
                <w:sz w:val="18"/>
                <w:szCs w:val="18"/>
                <w:color w:val="auto"/>
                <w:w w:val="92"/>
              </w:rPr>
              <w:t>March 12, 2018</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320" w:type="dxa"/>
            <w:vAlign w:val="bottom"/>
            <w:vMerge w:val="restart"/>
          </w:tcPr>
          <w:p>
            <w:pPr>
              <w:jc w:val="right"/>
              <w:ind w:right="410"/>
              <w:spacing w:after="0"/>
              <w:rPr>
                <w:sz w:val="20"/>
                <w:szCs w:val="20"/>
                <w:color w:val="auto"/>
              </w:rPr>
            </w:pPr>
            <w:r>
              <w:rPr>
                <w:rFonts w:ascii="Arial" w:cs="Arial" w:eastAsia="Arial" w:hAnsi="Arial"/>
                <w:sz w:val="18"/>
                <w:szCs w:val="18"/>
                <w:color w:val="auto"/>
              </w:rPr>
              <w:t>87</w:t>
            </w:r>
          </w:p>
        </w:tc>
        <w:tc>
          <w:tcPr>
            <w:tcW w:w="286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5"/>
        </w:trPr>
        <w:tc>
          <w:tcPr>
            <w:tcW w:w="494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2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u w:val="single" w:color="auto"/>
          <w:color w:val="auto"/>
        </w:rPr>
        <w:t>Exhibit 3.3</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3B3A3B"/>
        </w:rPr>
        <w:t>CERTIFICATE OF AMENDMENT TO</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3B3A3B"/>
        </w:rPr>
        <w:t>RESTATED CERTIFICATE OF INCORPORATION OF</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3B3A3B"/>
        </w:rPr>
        <w:t>UNIVERSAL ELECTRONICS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560"/>
        <w:spacing w:after="0"/>
        <w:rPr>
          <w:sz w:val="20"/>
          <w:szCs w:val="20"/>
          <w:color w:val="auto"/>
        </w:rPr>
      </w:pPr>
      <w:r>
        <w:rPr>
          <w:rFonts w:ascii="Arial" w:cs="Arial" w:eastAsia="Arial" w:hAnsi="Arial"/>
          <w:sz w:val="18"/>
          <w:szCs w:val="18"/>
          <w:color w:val="3B3A3B"/>
        </w:rPr>
        <w:t>Pursuant to Section 242 of the Delaware General Corporation Law</w:t>
      </w:r>
    </w:p>
    <w:p>
      <w:pPr>
        <w:spacing w:after="0" w:line="200" w:lineRule="exact"/>
        <w:rPr>
          <w:sz w:val="20"/>
          <w:szCs w:val="20"/>
          <w:color w:val="auto"/>
        </w:rPr>
      </w:pPr>
    </w:p>
    <w:p>
      <w:pPr>
        <w:spacing w:after="0" w:line="214" w:lineRule="exact"/>
        <w:rPr>
          <w:sz w:val="20"/>
          <w:szCs w:val="20"/>
          <w:color w:val="auto"/>
        </w:rPr>
      </w:pPr>
    </w:p>
    <w:p>
      <w:pPr>
        <w:ind w:left="40" w:right="540" w:hanging="26"/>
        <w:spacing w:after="0" w:line="277" w:lineRule="auto"/>
        <w:rPr>
          <w:sz w:val="20"/>
          <w:szCs w:val="20"/>
          <w:color w:val="auto"/>
        </w:rPr>
      </w:pPr>
      <w:r>
        <w:rPr>
          <w:rFonts w:ascii="Arial" w:cs="Arial" w:eastAsia="Arial" w:hAnsi="Arial"/>
          <w:sz w:val="18"/>
          <w:szCs w:val="18"/>
          <w:color w:val="3B3A3B"/>
        </w:rPr>
        <w:t>The undersigned, Paul D. Arling and Richard A. Firebammer, Jr., President and Secretary, respectively, of Universal Electronics Inc., a Delaware corporation (the "Corporation"), hereby certify as follows:</w:t>
      </w:r>
    </w:p>
    <w:p>
      <w:pPr>
        <w:spacing w:after="0" w:line="143" w:lineRule="exact"/>
        <w:rPr>
          <w:sz w:val="20"/>
          <w:szCs w:val="20"/>
          <w:color w:val="auto"/>
        </w:rPr>
      </w:pPr>
    </w:p>
    <w:p>
      <w:pPr>
        <w:ind w:left="680" w:hanging="633"/>
        <w:spacing w:after="0"/>
        <w:tabs>
          <w:tab w:leader="none" w:pos="680" w:val="left"/>
        </w:tabs>
        <w:numPr>
          <w:ilvl w:val="0"/>
          <w:numId w:val="34"/>
        </w:numPr>
        <w:rPr>
          <w:rFonts w:ascii="Arial" w:cs="Arial" w:eastAsia="Arial" w:hAnsi="Arial"/>
          <w:sz w:val="18"/>
          <w:szCs w:val="18"/>
          <w:color w:val="3B3A3B"/>
        </w:rPr>
      </w:pPr>
      <w:r>
        <w:rPr>
          <w:rFonts w:ascii="Arial" w:cs="Arial" w:eastAsia="Arial" w:hAnsi="Arial"/>
          <w:sz w:val="18"/>
          <w:szCs w:val="18"/>
          <w:color w:val="3B3A3B"/>
        </w:rPr>
        <w:t>The name of the Corporation is Universal Electronics Inc.</w:t>
      </w:r>
    </w:p>
    <w:p>
      <w:pPr>
        <w:spacing w:after="0" w:line="23" w:lineRule="exact"/>
        <w:rPr>
          <w:rFonts w:ascii="Arial" w:cs="Arial" w:eastAsia="Arial" w:hAnsi="Arial"/>
          <w:sz w:val="18"/>
          <w:szCs w:val="18"/>
          <w:color w:val="3B3A3B"/>
        </w:rPr>
      </w:pPr>
    </w:p>
    <w:p>
      <w:pPr>
        <w:ind w:left="700" w:right="20" w:hanging="653"/>
        <w:spacing w:after="0" w:line="255" w:lineRule="auto"/>
        <w:tabs>
          <w:tab w:leader="none" w:pos="682" w:val="left"/>
        </w:tabs>
        <w:numPr>
          <w:ilvl w:val="0"/>
          <w:numId w:val="34"/>
        </w:numPr>
        <w:rPr>
          <w:rFonts w:ascii="Arial" w:cs="Arial" w:eastAsia="Arial" w:hAnsi="Arial"/>
          <w:sz w:val="18"/>
          <w:szCs w:val="18"/>
          <w:color w:val="3B3A3B"/>
        </w:rPr>
      </w:pPr>
      <w:r>
        <w:rPr>
          <w:rFonts w:ascii="Arial" w:cs="Arial" w:eastAsia="Arial" w:hAnsi="Arial"/>
          <w:sz w:val="18"/>
          <w:szCs w:val="18"/>
          <w:color w:val="3B3A3B"/>
        </w:rPr>
        <w:t>The Board of Directors of the Corporation at a meeting held February 1, 2000, adopted the following resolution proposing and declaring advisable the following amendment to the Restated Certificate of Incorporation of the Corporation and directing that the amendment should be considered at the next annual meeting of the stockholders:</w:t>
      </w:r>
    </w:p>
    <w:p>
      <w:pPr>
        <w:spacing w:after="0" w:line="190" w:lineRule="exact"/>
        <w:rPr>
          <w:sz w:val="20"/>
          <w:szCs w:val="20"/>
          <w:color w:val="auto"/>
        </w:rPr>
      </w:pPr>
    </w:p>
    <w:p>
      <w:pPr>
        <w:ind w:left="720"/>
        <w:spacing w:after="0"/>
        <w:rPr>
          <w:sz w:val="20"/>
          <w:szCs w:val="20"/>
          <w:color w:val="auto"/>
        </w:rPr>
      </w:pPr>
      <w:r>
        <w:rPr>
          <w:rFonts w:ascii="Arial" w:cs="Arial" w:eastAsia="Arial" w:hAnsi="Arial"/>
          <w:sz w:val="18"/>
          <w:szCs w:val="18"/>
          <w:color w:val="3B3A3B"/>
        </w:rPr>
        <w:t>RESOLVED, that Article FOURTH, Pan I of the Corporation's Restated Certificate of Incorporation, as</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3B3A3B"/>
        </w:rPr>
        <w:t>Amended, be amended to read in its entirety as follows:</w:t>
      </w:r>
    </w:p>
    <w:p>
      <w:pPr>
        <w:spacing w:after="0" w:line="197" w:lineRule="exact"/>
        <w:rPr>
          <w:sz w:val="20"/>
          <w:szCs w:val="20"/>
          <w:color w:val="auto"/>
        </w:rPr>
      </w:pPr>
    </w:p>
    <w:p>
      <w:pPr>
        <w:ind w:left="740" w:right="400"/>
        <w:spacing w:after="0" w:line="262" w:lineRule="auto"/>
        <w:rPr>
          <w:sz w:val="20"/>
          <w:szCs w:val="20"/>
          <w:color w:val="auto"/>
        </w:rPr>
      </w:pPr>
      <w:r>
        <w:rPr>
          <w:rFonts w:ascii="Arial" w:cs="Arial" w:eastAsia="Arial" w:hAnsi="Arial"/>
          <w:sz w:val="18"/>
          <w:szCs w:val="18"/>
          <w:color w:val="3B3A3B"/>
        </w:rPr>
        <w:t xml:space="preserve">Part I. </w:t>
      </w:r>
      <w:r>
        <w:rPr>
          <w:rFonts w:ascii="Arial" w:cs="Arial" w:eastAsia="Arial" w:hAnsi="Arial"/>
          <w:sz w:val="18"/>
          <w:szCs w:val="18"/>
          <w:u w:val="single" w:color="auto"/>
          <w:color w:val="3B3A3B"/>
        </w:rPr>
        <w:t>Aggregate Number of Shares.</w:t>
      </w:r>
      <w:r>
        <w:rPr>
          <w:rFonts w:ascii="Arial" w:cs="Arial" w:eastAsia="Arial" w:hAnsi="Arial"/>
          <w:sz w:val="18"/>
          <w:szCs w:val="18"/>
          <w:color w:val="3B3A3B"/>
        </w:rPr>
        <w:t xml:space="preserve"> The aggregate number of shares of stock which the Corporation has authority to issue is 55,000,000 shares, consisting of:</w:t>
      </w:r>
    </w:p>
    <w:p>
      <w:pPr>
        <w:spacing w:after="0" w:line="156" w:lineRule="exact"/>
        <w:rPr>
          <w:sz w:val="20"/>
          <w:szCs w:val="20"/>
          <w:color w:val="auto"/>
        </w:rPr>
      </w:pPr>
    </w:p>
    <w:p>
      <w:pPr>
        <w:ind w:left="1400"/>
        <w:spacing w:after="0"/>
        <w:rPr>
          <w:sz w:val="20"/>
          <w:szCs w:val="20"/>
          <w:color w:val="auto"/>
        </w:rPr>
      </w:pPr>
      <w:r>
        <w:rPr>
          <w:rFonts w:ascii="Arial" w:cs="Arial" w:eastAsia="Arial" w:hAnsi="Arial"/>
          <w:sz w:val="18"/>
          <w:szCs w:val="18"/>
          <w:color w:val="3B3A3B"/>
        </w:rPr>
        <w:t>1.5,000,000 shares of Preferred Stock, par value $</w:t>
      </w:r>
      <w:r>
        <w:rPr>
          <w:rFonts w:ascii="Arial" w:cs="Arial" w:eastAsia="Arial" w:hAnsi="Arial"/>
          <w:sz w:val="18"/>
          <w:szCs w:val="18"/>
          <w:color w:val="1F1F1F"/>
        </w:rPr>
        <w:t>.</w:t>
      </w:r>
      <w:r>
        <w:rPr>
          <w:rFonts w:ascii="Arial" w:cs="Arial" w:eastAsia="Arial" w:hAnsi="Arial"/>
          <w:sz w:val="18"/>
          <w:szCs w:val="18"/>
          <w:color w:val="3B3A3B"/>
        </w:rPr>
        <w:t>01 per share (the</w:t>
      </w:r>
    </w:p>
    <w:p>
      <w:pPr>
        <w:spacing w:after="0" w:line="23" w:lineRule="exact"/>
        <w:rPr>
          <w:sz w:val="20"/>
          <w:szCs w:val="20"/>
          <w:color w:val="auto"/>
        </w:rPr>
      </w:pPr>
    </w:p>
    <w:p>
      <w:pPr>
        <w:ind w:left="2180"/>
        <w:spacing w:after="0"/>
        <w:rPr>
          <w:sz w:val="20"/>
          <w:szCs w:val="20"/>
          <w:color w:val="auto"/>
        </w:rPr>
      </w:pPr>
      <w:r>
        <w:rPr>
          <w:rFonts w:ascii="Arial" w:cs="Arial" w:eastAsia="Arial" w:hAnsi="Arial"/>
          <w:sz w:val="18"/>
          <w:szCs w:val="18"/>
          <w:color w:val="3B3A3B"/>
        </w:rPr>
        <w:t>"Preferred Stock"); and</w:t>
      </w:r>
    </w:p>
    <w:p>
      <w:pPr>
        <w:spacing w:after="0" w:line="224" w:lineRule="exact"/>
        <w:rPr>
          <w:sz w:val="20"/>
          <w:szCs w:val="20"/>
          <w:color w:val="auto"/>
        </w:rPr>
      </w:pPr>
    </w:p>
    <w:p>
      <w:pPr>
        <w:ind w:left="1400"/>
        <w:spacing w:after="0"/>
        <w:rPr>
          <w:sz w:val="20"/>
          <w:szCs w:val="20"/>
          <w:color w:val="auto"/>
        </w:rPr>
      </w:pPr>
      <w:r>
        <w:rPr>
          <w:rFonts w:ascii="Arial" w:cs="Arial" w:eastAsia="Arial" w:hAnsi="Arial"/>
          <w:sz w:val="18"/>
          <w:szCs w:val="18"/>
          <w:color w:val="3B3A3B"/>
        </w:rPr>
        <w:t>2.50,000,000 shares of Common Stock, par value $.01 per share (the</w:t>
      </w:r>
    </w:p>
    <w:p>
      <w:pPr>
        <w:spacing w:after="0" w:line="23" w:lineRule="exact"/>
        <w:rPr>
          <w:sz w:val="20"/>
          <w:szCs w:val="20"/>
          <w:color w:val="auto"/>
        </w:rPr>
      </w:pPr>
    </w:p>
    <w:p>
      <w:pPr>
        <w:ind w:left="2180"/>
        <w:spacing w:after="0"/>
        <w:rPr>
          <w:sz w:val="20"/>
          <w:szCs w:val="20"/>
          <w:color w:val="auto"/>
        </w:rPr>
      </w:pPr>
      <w:r>
        <w:rPr>
          <w:rFonts w:ascii="Arial" w:cs="Arial" w:eastAsia="Arial" w:hAnsi="Arial"/>
          <w:sz w:val="18"/>
          <w:szCs w:val="18"/>
          <w:color w:val="3B3A3B"/>
        </w:rPr>
        <w:t>"Common Stock").</w:t>
      </w:r>
    </w:p>
    <w:p>
      <w:pPr>
        <w:spacing w:after="0" w:line="224" w:lineRule="exact"/>
        <w:rPr>
          <w:sz w:val="20"/>
          <w:szCs w:val="20"/>
          <w:color w:val="auto"/>
        </w:rPr>
      </w:pPr>
    </w:p>
    <w:p>
      <w:pPr>
        <w:ind w:left="740" w:right="2680" w:hanging="666"/>
        <w:spacing w:after="0" w:line="277" w:lineRule="auto"/>
        <w:tabs>
          <w:tab w:leader="none" w:pos="727" w:val="left"/>
        </w:tabs>
        <w:numPr>
          <w:ilvl w:val="0"/>
          <w:numId w:val="35"/>
        </w:numPr>
        <w:rPr>
          <w:rFonts w:ascii="Arial" w:cs="Arial" w:eastAsia="Arial" w:hAnsi="Arial"/>
          <w:sz w:val="18"/>
          <w:szCs w:val="18"/>
          <w:color w:val="3B3A3B"/>
        </w:rPr>
      </w:pPr>
      <w:r>
        <w:rPr>
          <w:rFonts w:ascii="Arial" w:cs="Arial" w:eastAsia="Arial" w:hAnsi="Arial"/>
          <w:sz w:val="18"/>
          <w:szCs w:val="18"/>
          <w:color w:val="3B3A3B"/>
        </w:rPr>
        <w:t>At the annual meeting of stockholders held June 21</w:t>
      </w:r>
      <w:r>
        <w:rPr>
          <w:rFonts w:ascii="Arial" w:cs="Arial" w:eastAsia="Arial" w:hAnsi="Arial"/>
          <w:sz w:val="18"/>
          <w:szCs w:val="18"/>
          <w:color w:val="1F1F1F"/>
        </w:rPr>
        <w:t>,</w:t>
      </w:r>
      <w:r>
        <w:rPr>
          <w:rFonts w:ascii="Arial" w:cs="Arial" w:eastAsia="Arial" w:hAnsi="Arial"/>
          <w:sz w:val="18"/>
          <w:szCs w:val="18"/>
          <w:color w:val="3B3A3B"/>
        </w:rPr>
        <w:t xml:space="preserve"> 2000, the foregoing amendment was duly adopted in accordance with Section 242 of the Delaware General Corporation Law.</w:t>
      </w:r>
    </w:p>
    <w:p>
      <w:pPr>
        <w:spacing w:after="0" w:line="143" w:lineRule="exact"/>
        <w:rPr>
          <w:sz w:val="20"/>
          <w:szCs w:val="20"/>
          <w:color w:val="auto"/>
        </w:rPr>
      </w:pPr>
    </w:p>
    <w:p>
      <w:pPr>
        <w:ind w:left="80" w:right="140" w:firstLine="297"/>
        <w:spacing w:after="0" w:line="270" w:lineRule="auto"/>
        <w:rPr>
          <w:sz w:val="20"/>
          <w:szCs w:val="20"/>
          <w:color w:val="auto"/>
        </w:rPr>
      </w:pPr>
      <w:r>
        <w:rPr>
          <w:rFonts w:ascii="Arial" w:cs="Arial" w:eastAsia="Arial" w:hAnsi="Arial"/>
          <w:sz w:val="18"/>
          <w:szCs w:val="18"/>
          <w:color w:val="3B3A3B"/>
        </w:rPr>
        <w:t>IN WITNESS WHEREOF, Universal Electronics Inc. has caused this Certificate of Amendment to be signed by Paul D. Arling, its president, and attested by Richard A. Firehammer, Jr., its Secretary, this 25</w:t>
      </w:r>
      <w:r>
        <w:rPr>
          <w:rFonts w:ascii="Arial" w:cs="Arial" w:eastAsia="Arial" w:hAnsi="Arial"/>
          <w:sz w:val="25"/>
          <w:szCs w:val="25"/>
          <w:color w:val="3B3A3B"/>
          <w:vertAlign w:val="superscript"/>
        </w:rPr>
        <w:t>th</w:t>
      </w:r>
      <w:r>
        <w:rPr>
          <w:rFonts w:ascii="Arial" w:cs="Arial" w:eastAsia="Arial" w:hAnsi="Arial"/>
          <w:sz w:val="18"/>
          <w:szCs w:val="18"/>
          <w:color w:val="3B3A3B"/>
        </w:rPr>
        <w:t xml:space="preserve"> day of July.</w:t>
      </w:r>
    </w:p>
    <w:p>
      <w:pPr>
        <w:spacing w:after="0" w:line="26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UNIVERSAL ELECTRONICS INC,</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Paul D. Arling</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Paul D. Arling, President</w:t>
      </w:r>
    </w:p>
    <w:p>
      <w:pPr>
        <w:spacing w:after="0" w:line="40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/s/ Richard A. Firehammer, Jr.</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Richard A. Firehammer, Jr., Secretary</w:t>
      </w:r>
    </w:p>
    <w:p>
      <w:pPr>
        <w:sectPr>
          <w:pgSz w:w="11900" w:h="16838" w:orient="portrait"/>
          <w:cols w:equalWidth="0" w:num="1">
            <w:col w:w="11000"/>
          </w:cols>
          <w:pgMar w:left="660" w:top="35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u w:val="single" w:color="auto"/>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240"/>
        <w:spacing w:after="0"/>
        <w:rPr>
          <w:sz w:val="20"/>
          <w:szCs w:val="20"/>
          <w:color w:val="auto"/>
        </w:rPr>
      </w:pPr>
      <w:r>
        <w:rPr>
          <w:rFonts w:ascii="Arial" w:cs="Arial" w:eastAsia="Arial" w:hAnsi="Arial"/>
          <w:sz w:val="21"/>
          <w:szCs w:val="21"/>
          <w:b w:val="1"/>
          <w:bCs w:val="1"/>
          <w:u w:val="single" w:color="auto"/>
          <w:color w:val="auto"/>
        </w:rPr>
        <w:t>AMENDED AND RESTATED, BY-LAWS</w:t>
      </w:r>
    </w:p>
    <w:p>
      <w:pPr>
        <w:spacing w:after="0" w:line="285" w:lineRule="exact"/>
        <w:rPr>
          <w:sz w:val="20"/>
          <w:szCs w:val="20"/>
          <w:color w:val="auto"/>
        </w:rPr>
      </w:pPr>
    </w:p>
    <w:p>
      <w:pPr>
        <w:jc w:val="center"/>
        <w:ind w:right="1240"/>
        <w:spacing w:after="0"/>
        <w:rPr>
          <w:sz w:val="20"/>
          <w:szCs w:val="20"/>
          <w:color w:val="auto"/>
        </w:rPr>
      </w:pPr>
      <w:r>
        <w:rPr>
          <w:rFonts w:ascii="Arial" w:cs="Arial" w:eastAsia="Arial" w:hAnsi="Arial"/>
          <w:sz w:val="22"/>
          <w:szCs w:val="22"/>
          <w:b w:val="1"/>
          <w:bCs w:val="1"/>
          <w:u w:val="single" w:color="auto"/>
          <w:color w:val="auto"/>
        </w:rPr>
        <w:t>OF</w:t>
      </w:r>
    </w:p>
    <w:p>
      <w:pPr>
        <w:spacing w:after="0" w:line="274" w:lineRule="exact"/>
        <w:rPr>
          <w:sz w:val="20"/>
          <w:szCs w:val="20"/>
          <w:color w:val="auto"/>
        </w:rPr>
      </w:pPr>
    </w:p>
    <w:p>
      <w:pPr>
        <w:ind w:left="2820"/>
        <w:spacing w:after="0"/>
        <w:rPr>
          <w:sz w:val="20"/>
          <w:szCs w:val="20"/>
          <w:color w:val="auto"/>
        </w:rPr>
      </w:pPr>
      <w:r>
        <w:rPr>
          <w:rFonts w:ascii="Arial" w:cs="Arial" w:eastAsia="Arial" w:hAnsi="Arial"/>
          <w:sz w:val="22"/>
          <w:szCs w:val="22"/>
          <w:b w:val="1"/>
          <w:bCs w:val="1"/>
          <w:u w:val="single" w:color="auto"/>
          <w:color w:val="auto"/>
        </w:rPr>
        <w:t>UNIVERSAL ELECTRONICS INC.</w:t>
      </w:r>
    </w:p>
    <w:p>
      <w:pPr>
        <w:spacing w:after="0" w:line="200" w:lineRule="exact"/>
        <w:rPr>
          <w:sz w:val="20"/>
          <w:szCs w:val="20"/>
          <w:color w:val="auto"/>
        </w:rPr>
      </w:pPr>
    </w:p>
    <w:p>
      <w:pPr>
        <w:spacing w:after="0" w:line="236" w:lineRule="exact"/>
        <w:rPr>
          <w:sz w:val="20"/>
          <w:szCs w:val="20"/>
          <w:color w:val="auto"/>
        </w:rPr>
      </w:pPr>
    </w:p>
    <w:p>
      <w:pPr>
        <w:ind w:left="3220"/>
        <w:spacing w:after="0"/>
        <w:rPr>
          <w:sz w:val="20"/>
          <w:szCs w:val="20"/>
          <w:color w:val="auto"/>
        </w:rPr>
      </w:pPr>
      <w:r>
        <w:rPr>
          <w:rFonts w:ascii="Arial" w:cs="Arial" w:eastAsia="Arial" w:hAnsi="Arial"/>
          <w:sz w:val="22"/>
          <w:szCs w:val="22"/>
          <w:b w:val="1"/>
          <w:bCs w:val="1"/>
          <w:u w:val="single" w:color="auto"/>
          <w:color w:val="auto"/>
        </w:rPr>
        <w:t>AS OF OCTOBER 23,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- 1 -</w:t>
      </w:r>
    </w:p>
    <w:p>
      <w:pPr>
        <w:sectPr>
          <w:pgSz w:w="11900" w:h="16838" w:orient="portrait"/>
          <w:cols w:equalWidth="0" w:num="1">
            <w:col w:w="10220"/>
          </w:cols>
          <w:pgMar w:left="1440" w:top="1053" w:right="239" w:bottom="1440" w:gutter="0" w:footer="0" w:header="0"/>
        </w:sectPr>
      </w:pPr>
    </w:p>
    <w:bookmarkStart w:id="90" w:name="page91"/>
    <w:bookmarkEnd w:id="90"/>
    <w:p>
      <w:pPr>
        <w:jc w:val="center"/>
        <w:ind w:right="40"/>
        <w:spacing w:after="0"/>
        <w:rPr>
          <w:sz w:val="20"/>
          <w:szCs w:val="20"/>
          <w:color w:val="auto"/>
        </w:rPr>
      </w:pPr>
      <w:r>
        <w:rPr>
          <w:rFonts w:ascii="Arial" w:cs="Arial" w:eastAsia="Arial" w:hAnsi="Arial"/>
          <w:sz w:val="22"/>
          <w:szCs w:val="22"/>
          <w:b w:val="1"/>
          <w:bCs w:val="1"/>
          <w:u w:val="single" w:color="auto"/>
          <w:color w:val="auto"/>
        </w:rPr>
        <w:t>AMENDED AND RESTATED, BY-LAWS</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u w:val="single" w:color="auto"/>
          <w:color w:val="auto"/>
        </w:rPr>
        <w:t>OF</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UNIVERSAL ELECTRONICS INC.</w:t>
      </w:r>
    </w:p>
    <w:p>
      <w:pPr>
        <w:spacing w:after="0" w:line="200" w:lineRule="exact"/>
        <w:rPr>
          <w:sz w:val="20"/>
          <w:szCs w:val="20"/>
          <w:color w:val="auto"/>
        </w:rPr>
      </w:pPr>
    </w:p>
    <w:p>
      <w:pPr>
        <w:spacing w:after="0" w:line="236" w:lineRule="exact"/>
        <w:rPr>
          <w:sz w:val="20"/>
          <w:szCs w:val="20"/>
          <w:color w:val="auto"/>
        </w:rPr>
      </w:pPr>
    </w:p>
    <w:p>
      <w:pPr>
        <w:ind w:left="4480"/>
        <w:spacing w:after="0"/>
        <w:rPr>
          <w:sz w:val="20"/>
          <w:szCs w:val="20"/>
          <w:color w:val="auto"/>
        </w:rPr>
      </w:pPr>
      <w:r>
        <w:rPr>
          <w:rFonts w:ascii="Arial" w:cs="Arial" w:eastAsia="Arial" w:hAnsi="Arial"/>
          <w:sz w:val="22"/>
          <w:szCs w:val="22"/>
          <w:b w:val="1"/>
          <w:bCs w:val="1"/>
          <w:u w:val="single" w:color="auto"/>
          <w:color w:val="auto"/>
        </w:rPr>
        <w:t>ARTICLE 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OFFICES OF REGISTERED AGENT</w:t>
      </w:r>
    </w:p>
    <w:p>
      <w:pPr>
        <w:spacing w:after="0" w:line="22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u w:val="single" w:color="auto"/>
          <w:color w:val="auto"/>
        </w:rPr>
        <w:t>Section 1.1 Office and Agent</w:t>
      </w:r>
      <w:r>
        <w:rPr>
          <w:rFonts w:ascii="Arial" w:cs="Arial" w:eastAsia="Arial" w:hAnsi="Arial"/>
          <w:sz w:val="22"/>
          <w:szCs w:val="22"/>
          <w:color w:val="auto"/>
        </w:rPr>
        <w:t>. The Corporation shall have and maintain a registered office in Delaware and a registered</w:t>
      </w:r>
      <w:r>
        <w:rPr>
          <w:rFonts w:ascii="Arial" w:cs="Arial" w:eastAsia="Arial" w:hAnsi="Arial"/>
          <w:sz w:val="22"/>
          <w:szCs w:val="22"/>
          <w:b w:val="1"/>
          <w:bCs w:val="1"/>
          <w:color w:val="auto"/>
        </w:rPr>
        <w:t xml:space="preserve"> </w:t>
      </w:r>
      <w:r>
        <w:rPr>
          <w:rFonts w:ascii="Arial" w:cs="Arial" w:eastAsia="Arial" w:hAnsi="Arial"/>
          <w:sz w:val="22"/>
          <w:szCs w:val="22"/>
          <w:color w:val="auto"/>
        </w:rPr>
        <w:t>agent having a business office identical with such registered office.</w:t>
      </w:r>
    </w:p>
    <w:p>
      <w:pPr>
        <w:spacing w:after="0" w:line="1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u w:val="single" w:color="auto"/>
          <w:color w:val="auto"/>
        </w:rPr>
        <w:t>Section 1.2 Other Offices</w:t>
      </w:r>
      <w:r>
        <w:rPr>
          <w:rFonts w:ascii="Arial" w:cs="Arial" w:eastAsia="Arial" w:hAnsi="Arial"/>
          <w:sz w:val="22"/>
          <w:szCs w:val="22"/>
          <w:b w:val="1"/>
          <w:bCs w:val="1"/>
          <w:color w:val="auto"/>
        </w:rPr>
        <w:t xml:space="preserve">. </w:t>
      </w:r>
      <w:r>
        <w:rPr>
          <w:rFonts w:ascii="Arial" w:cs="Arial" w:eastAsia="Arial" w:hAnsi="Arial"/>
          <w:sz w:val="22"/>
          <w:szCs w:val="22"/>
          <w:color w:val="auto"/>
        </w:rPr>
        <w:t>The Corporation may also have such other office or offices in Delaware or elsewhere as the</w:t>
      </w:r>
      <w:r>
        <w:rPr>
          <w:rFonts w:ascii="Arial" w:cs="Arial" w:eastAsia="Arial" w:hAnsi="Arial"/>
          <w:sz w:val="22"/>
          <w:szCs w:val="22"/>
          <w:b w:val="1"/>
          <w:bCs w:val="1"/>
          <w:color w:val="auto"/>
        </w:rPr>
        <w:t xml:space="preserve"> </w:t>
      </w:r>
      <w:r>
        <w:rPr>
          <w:rFonts w:ascii="Arial" w:cs="Arial" w:eastAsia="Arial" w:hAnsi="Arial"/>
          <w:sz w:val="22"/>
          <w:szCs w:val="22"/>
          <w:color w:val="auto"/>
        </w:rPr>
        <w:t>Board of Directors may determine or as the business of the Corporation may require.</w:t>
      </w:r>
    </w:p>
    <w:p>
      <w:pPr>
        <w:spacing w:after="0" w:line="148"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u w:val="single" w:color="auto"/>
          <w:color w:val="auto"/>
        </w:rPr>
        <w:t>ARTICLE II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STOCKHOLDERS</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u w:val="single" w:color="auto"/>
          <w:color w:val="auto"/>
        </w:rPr>
        <w:t>Section 2.1 Annual Meeting</w:t>
      </w:r>
      <w:r>
        <w:rPr>
          <w:rFonts w:ascii="Arial" w:cs="Arial" w:eastAsia="Arial" w:hAnsi="Arial"/>
          <w:sz w:val="22"/>
          <w:szCs w:val="22"/>
          <w:b w:val="1"/>
          <w:bCs w:val="1"/>
          <w:color w:val="auto"/>
        </w:rPr>
        <w:t xml:space="preserve">. </w:t>
      </w:r>
      <w:r>
        <w:rPr>
          <w:rFonts w:ascii="Arial" w:cs="Arial" w:eastAsia="Arial" w:hAnsi="Arial"/>
          <w:sz w:val="22"/>
          <w:szCs w:val="22"/>
          <w:color w:val="auto"/>
        </w:rPr>
        <w:t>An annual meeting of the stockholders shall be held on the second Tuesday in May in</w:t>
      </w:r>
      <w:r>
        <w:rPr>
          <w:rFonts w:ascii="Arial" w:cs="Arial" w:eastAsia="Arial" w:hAnsi="Arial"/>
          <w:sz w:val="22"/>
          <w:szCs w:val="22"/>
          <w:b w:val="1"/>
          <w:bCs w:val="1"/>
          <w:color w:val="auto"/>
        </w:rPr>
        <w:t xml:space="preserve"> </w:t>
      </w:r>
      <w:r>
        <w:rPr>
          <w:rFonts w:ascii="Arial" w:cs="Arial" w:eastAsia="Arial" w:hAnsi="Arial"/>
          <w:sz w:val="22"/>
          <w:szCs w:val="22"/>
          <w:color w:val="auto"/>
        </w:rPr>
        <w:t>each year beginning with the year 1992, at the hour of 10:30 A.M., local time or in the event the annual meeting is not held on such date and at such time, then on the date and at the time designated by the Board of Directors, for the purpose of electing directors and for the transaction of each other business as may properly come before the meeting. If the day fixed for the annual meeting shall be a legal holiday, such meeting shall be held on the next succeeding business day. If the directors shall not be elected at the annual meeting, or at any adjournment thereof, the Board of Directors shall cause the election to be held as soon thereafter as may be convenient.</w:t>
      </w:r>
    </w:p>
    <w:p>
      <w:pPr>
        <w:spacing w:after="0" w:line="18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b w:val="1"/>
          <w:bCs w:val="1"/>
          <w:u w:val="single" w:color="auto"/>
          <w:color w:val="auto"/>
        </w:rPr>
        <w:t>Section 2.2 Special Meetings</w:t>
      </w:r>
      <w:r>
        <w:rPr>
          <w:rFonts w:ascii="Arial" w:cs="Arial" w:eastAsia="Arial" w:hAnsi="Arial"/>
          <w:sz w:val="22"/>
          <w:szCs w:val="22"/>
          <w:b w:val="1"/>
          <w:bCs w:val="1"/>
          <w:color w:val="auto"/>
        </w:rPr>
        <w:t xml:space="preserve">. </w:t>
      </w:r>
      <w:r>
        <w:rPr>
          <w:rFonts w:ascii="Arial" w:cs="Arial" w:eastAsia="Arial" w:hAnsi="Arial"/>
          <w:sz w:val="22"/>
          <w:szCs w:val="22"/>
          <w:color w:val="auto"/>
        </w:rPr>
        <w:t>Special meetings of the stockholders may be called at any time by the Chairman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Board or by the President, and shall be called by the Chairman of the Board, the President or the Secretary at the request in writing of (a) The holders of at least twenty percent (20%) of all the outstanding shares of stock of the Corporation entitled to vote on the matter for which the meeting is called, or (b) a majority of the Board of Directors, or (c) any two (2) directors (but only so long as the Corporation's Series A Convertible Preferred Stock shall remain outstanding. Such request shall state the purpose or purposes of the proposed meeting.</w:t>
      </w:r>
    </w:p>
    <w:p>
      <w:pPr>
        <w:spacing w:after="0" w:line="18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1"/>
          <w:szCs w:val="21"/>
          <w:b w:val="1"/>
          <w:bCs w:val="1"/>
          <w:u w:val="single" w:color="auto"/>
          <w:color w:val="auto"/>
        </w:rPr>
        <w:t>Section 2.3 Place of Meeting</w:t>
      </w:r>
      <w:r>
        <w:rPr>
          <w:rFonts w:ascii="Arial" w:cs="Arial" w:eastAsia="Arial" w:hAnsi="Arial"/>
          <w:sz w:val="21"/>
          <w:szCs w:val="21"/>
          <w:b w:val="1"/>
          <w:bCs w:val="1"/>
          <w:color w:val="auto"/>
        </w:rPr>
        <w:t xml:space="preserve">. </w:t>
      </w:r>
      <w:r>
        <w:rPr>
          <w:rFonts w:ascii="Arial" w:cs="Arial" w:eastAsia="Arial" w:hAnsi="Arial"/>
          <w:sz w:val="21"/>
          <w:szCs w:val="21"/>
          <w:color w:val="auto"/>
        </w:rPr>
        <w:t>Meetings of stockholders, whether annual or special, shall be held at such time and place</w:t>
      </w:r>
      <w:r>
        <w:rPr>
          <w:rFonts w:ascii="Arial" w:cs="Arial" w:eastAsia="Arial" w:hAnsi="Arial"/>
          <w:sz w:val="21"/>
          <w:szCs w:val="21"/>
          <w:b w:val="1"/>
          <w:bCs w:val="1"/>
          <w:color w:val="auto"/>
        </w:rPr>
        <w:t xml:space="preserve"> </w:t>
      </w:r>
      <w:r>
        <w:rPr>
          <w:rFonts w:ascii="Arial" w:cs="Arial" w:eastAsia="Arial" w:hAnsi="Arial"/>
          <w:sz w:val="21"/>
          <w:szCs w:val="21"/>
          <w:color w:val="auto"/>
        </w:rPr>
        <w:t>as may be determined by the Board of Directors and designated in the call and notice or waiver of notice of such meeting; provided, that a waiver of notice signed by all stockholders may designate any time or place as the time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1420"/>
          </w:cols>
          <w:pgMar w:left="240" w:top="369" w:right="239" w:bottom="1440" w:gutter="0" w:footer="0" w:header="0"/>
        </w:sectPr>
      </w:pPr>
    </w:p>
    <w:bookmarkStart w:id="91" w:name="page92"/>
    <w:bookmarkEnd w:id="91"/>
    <w:p>
      <w:pPr>
        <w:jc w:val="both"/>
        <w:spacing w:after="0" w:line="263" w:lineRule="auto"/>
        <w:rPr>
          <w:sz w:val="20"/>
          <w:szCs w:val="20"/>
          <w:color w:val="auto"/>
        </w:rPr>
      </w:pPr>
      <w:r>
        <w:rPr>
          <w:rFonts w:ascii="Arial" w:cs="Arial" w:eastAsia="Arial" w:hAnsi="Arial"/>
          <w:sz w:val="22"/>
          <w:szCs w:val="22"/>
          <w:color w:val="auto"/>
        </w:rPr>
        <w:t>place for the holding of such meeting. If no designation is made, the place of meeting shall be at the Corporation's principal place of business.</w:t>
      </w:r>
    </w:p>
    <w:p>
      <w:pPr>
        <w:spacing w:after="0" w:line="16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u w:val="single" w:color="auto"/>
          <w:color w:val="auto"/>
        </w:rPr>
        <w:t>Section 2.4 Notice of Meeting</w:t>
      </w:r>
      <w:r>
        <w:rPr>
          <w:rFonts w:ascii="Arial" w:cs="Arial" w:eastAsia="Arial" w:hAnsi="Arial"/>
          <w:sz w:val="21"/>
          <w:szCs w:val="21"/>
          <w:b w:val="1"/>
          <w:bCs w:val="1"/>
          <w:color w:val="auto"/>
        </w:rPr>
        <w:t xml:space="preserve">. </w:t>
      </w:r>
      <w:r>
        <w:rPr>
          <w:rFonts w:ascii="Arial" w:cs="Arial" w:eastAsia="Arial" w:hAnsi="Arial"/>
          <w:sz w:val="21"/>
          <w:szCs w:val="21"/>
          <w:color w:val="auto"/>
        </w:rPr>
        <w:t>Written notice stating the place, date and hour of the meeting and, in case of a special</w:t>
      </w:r>
      <w:r>
        <w:rPr>
          <w:rFonts w:ascii="Arial" w:cs="Arial" w:eastAsia="Arial" w:hAnsi="Arial"/>
          <w:sz w:val="21"/>
          <w:szCs w:val="21"/>
          <w:b w:val="1"/>
          <w:bCs w:val="1"/>
          <w:color w:val="auto"/>
        </w:rPr>
        <w:t xml:space="preserve"> </w:t>
      </w:r>
      <w:r>
        <w:rPr>
          <w:rFonts w:ascii="Arial" w:cs="Arial" w:eastAsia="Arial" w:hAnsi="Arial"/>
          <w:sz w:val="21"/>
          <w:szCs w:val="21"/>
          <w:color w:val="auto"/>
        </w:rPr>
        <w:t>meeting, the purpose or purposes for which the meeting is called, shall be given not less than ten (10) nor more than sixty (60) days before the date of the meeting, or, in the case of a merger, consolidation or sale, lease or exchange of all or substantially all of the Corporation's property and assets, at least twenty (20) days before the date of the meeting, either personally or by mail, by or at the direction of the Chairman of the Board, the President or the Secretary to each stockholder of record entitled to vote at such meeting. If mailed, notice is given when deposited in the United States mail, postage prepaid, directed to the stockholder at his address as it appears on the records of the Corporation. If delivered (rather than mailed) to such address, such notice shall be deemed to be given when so delivered.</w:t>
      </w:r>
    </w:p>
    <w:p>
      <w:pPr>
        <w:spacing w:after="0" w:line="1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u w:val="single" w:color="auto"/>
          <w:color w:val="auto"/>
        </w:rPr>
        <w:t>Section 2.5 Waiver of Notice</w:t>
      </w:r>
      <w:r>
        <w:rPr>
          <w:rFonts w:ascii="Arial" w:cs="Arial" w:eastAsia="Arial" w:hAnsi="Arial"/>
          <w:sz w:val="22"/>
          <w:szCs w:val="22"/>
          <w:b w:val="1"/>
          <w:bCs w:val="1"/>
          <w:color w:val="auto"/>
        </w:rPr>
        <w:t xml:space="preserve">. </w:t>
      </w:r>
      <w:r>
        <w:rPr>
          <w:rFonts w:ascii="Arial" w:cs="Arial" w:eastAsia="Arial" w:hAnsi="Arial"/>
          <w:sz w:val="22"/>
          <w:szCs w:val="22"/>
          <w:color w:val="auto"/>
        </w:rPr>
        <w:t>A waiver of notice in writing signed by a stockholder entitled to such notice, whether</w:t>
      </w:r>
      <w:r>
        <w:rPr>
          <w:rFonts w:ascii="Arial" w:cs="Arial" w:eastAsia="Arial" w:hAnsi="Arial"/>
          <w:sz w:val="22"/>
          <w:szCs w:val="22"/>
          <w:b w:val="1"/>
          <w:bCs w:val="1"/>
          <w:color w:val="auto"/>
        </w:rPr>
        <w:t xml:space="preserve"> </w:t>
      </w:r>
      <w:r>
        <w:rPr>
          <w:rFonts w:ascii="Arial" w:cs="Arial" w:eastAsia="Arial" w:hAnsi="Arial"/>
          <w:sz w:val="22"/>
          <w:szCs w:val="22"/>
          <w:color w:val="auto"/>
        </w:rPr>
        <w:t>before or after the time of the meeting, shall be deemed equivalent to the giving of such notice. Attendance of a stockholder in person or by proxy at a meeting of stockholders shall constitute a waiver of notice of such meeting except when the stockholder or his or her proxy attends the meeting for the express purpose of objecting, at the beginning of the meeting, to the transaction of any business because the meeting is not lawfully called or convened.</w:t>
      </w:r>
    </w:p>
    <w:p>
      <w:pPr>
        <w:spacing w:after="0" w:line="179"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b w:val="1"/>
          <w:bCs w:val="1"/>
          <w:u w:val="single" w:color="auto"/>
          <w:color w:val="auto"/>
        </w:rPr>
        <w:t>Section 2.6</w:t>
      </w:r>
      <w:r>
        <w:rPr>
          <w:sz w:val="20"/>
          <w:szCs w:val="20"/>
          <w:color w:val="auto"/>
        </w:rPr>
        <w:tab/>
      </w:r>
      <w:r>
        <w:rPr>
          <w:rFonts w:ascii="Arial" w:cs="Arial" w:eastAsia="Arial" w:hAnsi="Arial"/>
          <w:sz w:val="19"/>
          <w:szCs w:val="19"/>
          <w:b w:val="1"/>
          <w:bCs w:val="1"/>
          <w:u w:val="single" w:color="auto"/>
          <w:color w:val="auto"/>
        </w:rPr>
        <w:t>Fixing Record Date for Determination of Stockholders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firstLine="1305"/>
        <w:spacing w:after="0" w:line="290" w:lineRule="auto"/>
        <w:tabs>
          <w:tab w:leader="none" w:pos="1743" w:val="left"/>
        </w:tabs>
        <w:numPr>
          <w:ilvl w:val="0"/>
          <w:numId w:val="36"/>
        </w:numPr>
        <w:rPr>
          <w:rFonts w:ascii="Arial" w:cs="Arial" w:eastAsia="Arial" w:hAnsi="Arial"/>
          <w:sz w:val="19"/>
          <w:szCs w:val="19"/>
          <w:color w:val="auto"/>
        </w:rPr>
      </w:pPr>
      <w:r>
        <w:rPr>
          <w:rFonts w:ascii="Arial" w:cs="Arial" w:eastAsia="Arial" w:hAnsi="Arial"/>
          <w:sz w:val="19"/>
          <w:szCs w:val="19"/>
          <w:color w:val="auto"/>
        </w:rPr>
        <w:t>In order that the Corporation may determine the stockholders entitled to notice of or to vote at any meeting of stockholders or any adjournment of such meeting, the Board of Directors may fix a record date, which record date shall not precede the date upon which the resolution fixing the record date as adopted by the Board of Directors, and which record date shall not be more than sixty (60) nor less than ten (10) days, or in the case of a merger, consolidation or sale, lease or exchange of all or substantially all of the Corporation's property and assets, not less than twenty (20)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55" w:lineRule="exact"/>
        <w:rPr>
          <w:rFonts w:ascii="Arial" w:cs="Arial" w:eastAsia="Arial" w:hAnsi="Arial"/>
          <w:sz w:val="19"/>
          <w:szCs w:val="19"/>
          <w:color w:val="auto"/>
        </w:rPr>
      </w:pPr>
    </w:p>
    <w:p>
      <w:pPr>
        <w:jc w:val="both"/>
        <w:ind w:firstLine="1305"/>
        <w:spacing w:after="0" w:line="251" w:lineRule="auto"/>
        <w:tabs>
          <w:tab w:leader="none" w:pos="1756" w:val="left"/>
        </w:tabs>
        <w:numPr>
          <w:ilvl w:val="0"/>
          <w:numId w:val="36"/>
        </w:numPr>
        <w:rPr>
          <w:rFonts w:ascii="Arial" w:cs="Arial" w:eastAsia="Arial" w:hAnsi="Arial"/>
          <w:sz w:val="22"/>
          <w:szCs w:val="22"/>
          <w:color w:val="auto"/>
        </w:rPr>
      </w:pPr>
      <w:r>
        <w:rPr>
          <w:rFonts w:ascii="Arial" w:cs="Arial" w:eastAsia="Arial" w:hAnsi="Arial"/>
          <w:sz w:val="22"/>
          <w:szCs w:val="22"/>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(10) days after the date upon which the resolution fixing the record date is adopted by the Board of Directors. If no record date has been fixed by the Board of Directors, the record</w:t>
      </w:r>
    </w:p>
    <w:p>
      <w:pPr>
        <w:spacing w:after="0" w:line="200" w:lineRule="exact"/>
        <w:rPr>
          <w:rFonts w:ascii="Arial" w:cs="Arial" w:eastAsia="Arial" w:hAnsi="Arial"/>
          <w:sz w:val="22"/>
          <w:szCs w:val="22"/>
          <w:color w:val="auto"/>
        </w:rPr>
      </w:pPr>
    </w:p>
    <w:p>
      <w:pPr>
        <w:spacing w:after="0" w:line="232" w:lineRule="exact"/>
        <w:rPr>
          <w:rFonts w:ascii="Arial" w:cs="Arial" w:eastAsia="Arial" w:hAnsi="Arial"/>
          <w:sz w:val="22"/>
          <w:szCs w:val="22"/>
          <w:color w:val="auto"/>
        </w:rPr>
      </w:pPr>
    </w:p>
    <w:p>
      <w:pPr>
        <w:ind w:left="5660" w:hanging="126"/>
        <w:spacing w:after="0"/>
        <w:tabs>
          <w:tab w:leader="none" w:pos="5660" w:val="left"/>
        </w:tabs>
        <w:numPr>
          <w:ilvl w:val="1"/>
          <w:numId w:val="36"/>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1420"/>
          </w:cols>
          <w:pgMar w:left="240" w:top="375" w:right="239" w:bottom="1440" w:gutter="0" w:footer="0" w:header="0"/>
        </w:sectPr>
      </w:pPr>
    </w:p>
    <w:bookmarkStart w:id="92" w:name="page93"/>
    <w:bookmarkEnd w:id="92"/>
    <w:p>
      <w:pPr>
        <w:jc w:val="both"/>
        <w:spacing w:after="0" w:line="294" w:lineRule="auto"/>
        <w:rPr>
          <w:sz w:val="20"/>
          <w:szCs w:val="20"/>
          <w:color w:val="auto"/>
        </w:rPr>
      </w:pPr>
      <w:r>
        <w:rPr>
          <w:rFonts w:ascii="Arial" w:cs="Arial" w:eastAsia="Arial" w:hAnsi="Arial"/>
          <w:sz w:val="19"/>
          <w:szCs w:val="19"/>
          <w:color w:val="auto"/>
        </w:rPr>
        <w:t>date for determining stockholders entitled to consent to corporate action in writing without a meeting, when no prior action by the Board of Directors is required by statute, shall be the first date on which a signed written consent setting forth the action taken or proposed to be taken is delivered to the Corporation at its registered office in the State of Delaware or at its principal place of business. If no record date has been fixed by the Board of Directors and prior action by the Board of Directors is required by this statute, the record date for determining stockholders entitled to consent to corporate action in writing without a meeting shall be at the close of business on the day on which the Board of Directors adopts the resolution taking such prior action.</w:t>
      </w:r>
    </w:p>
    <w:p>
      <w:pPr>
        <w:spacing w:after="0" w:line="150" w:lineRule="exact"/>
        <w:rPr>
          <w:sz w:val="20"/>
          <w:szCs w:val="20"/>
          <w:color w:val="auto"/>
        </w:rPr>
      </w:pPr>
    </w:p>
    <w:p>
      <w:pPr>
        <w:jc w:val="both"/>
        <w:ind w:firstLine="1305"/>
        <w:spacing w:after="0" w:line="297" w:lineRule="auto"/>
        <w:tabs>
          <w:tab w:leader="none" w:pos="1784" w:val="left"/>
        </w:tabs>
        <w:numPr>
          <w:ilvl w:val="0"/>
          <w:numId w:val="37"/>
        </w:numPr>
        <w:rPr>
          <w:rFonts w:ascii="Arial" w:cs="Arial" w:eastAsia="Arial" w:hAnsi="Arial"/>
          <w:sz w:val="19"/>
          <w:szCs w:val="19"/>
          <w:color w:val="auto"/>
        </w:rPr>
      </w:pPr>
      <w:r>
        <w:rPr>
          <w:rFonts w:ascii="Arial" w:cs="Arial" w:eastAsia="Arial" w:hAnsi="Arial"/>
          <w:sz w:val="19"/>
          <w:szCs w:val="19"/>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not be more than sixty (60) days prior to such action. If no record date is fixed, the record date for determining stockholders for any such purpose shall be at the close of business on the day on which the Board of Directors adopts the resolution relating to such purpose.</w:t>
      </w:r>
    </w:p>
    <w:p>
      <w:pPr>
        <w:spacing w:after="0" w:line="146" w:lineRule="exact"/>
        <w:rPr>
          <w:rFonts w:ascii="Arial" w:cs="Arial" w:eastAsia="Arial" w:hAnsi="Arial"/>
          <w:sz w:val="19"/>
          <w:szCs w:val="19"/>
          <w:color w:val="auto"/>
        </w:rPr>
      </w:pPr>
    </w:p>
    <w:p>
      <w:pPr>
        <w:jc w:val="both"/>
        <w:ind w:firstLine="1305"/>
        <w:spacing w:after="0" w:line="251" w:lineRule="auto"/>
        <w:tabs>
          <w:tab w:leader="none" w:pos="1728" w:val="left"/>
        </w:tabs>
        <w:numPr>
          <w:ilvl w:val="0"/>
          <w:numId w:val="37"/>
        </w:numPr>
        <w:rPr>
          <w:rFonts w:ascii="Arial" w:cs="Arial" w:eastAsia="Arial" w:hAnsi="Arial"/>
          <w:sz w:val="22"/>
          <w:szCs w:val="22"/>
          <w:color w:val="auto"/>
        </w:rPr>
      </w:pPr>
      <w:r>
        <w:rPr>
          <w:rFonts w:ascii="Arial" w:cs="Arial" w:eastAsia="Arial" w:hAnsi="Arial"/>
          <w:sz w:val="22"/>
          <w:szCs w:val="22"/>
          <w:color w:val="auto"/>
        </w:rPr>
        <w:t>Only those who shall be stockholders of record on the record date fixed in accordance with this section shall be entitled to notice of, and to vote at, such meeting and any adjournment of such meeting, or to consent to such corporate action in writing, or to receive payment of such dividend or other distribution, or to receive such allotment of rights, or to exercise such rights, as the case may be, notwithstanding the transfer of any stock on the books of the Corporation after the applicable record date.</w:t>
      </w:r>
    </w:p>
    <w:p>
      <w:pPr>
        <w:spacing w:after="0" w:line="1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u w:val="single" w:color="auto"/>
          <w:color w:val="auto"/>
        </w:rPr>
        <w:t>Section 2.7 List of Stockholders Entitled to Vote</w:t>
      </w:r>
      <w:r>
        <w:rPr>
          <w:rFonts w:ascii="Arial" w:cs="Arial" w:eastAsia="Arial" w:hAnsi="Arial"/>
          <w:sz w:val="21"/>
          <w:szCs w:val="21"/>
          <w:b w:val="1"/>
          <w:bCs w:val="1"/>
          <w:color w:val="auto"/>
        </w:rPr>
        <w:t xml:space="preserve">. </w:t>
      </w:r>
      <w:r>
        <w:rPr>
          <w:rFonts w:ascii="Arial" w:cs="Arial" w:eastAsia="Arial" w:hAnsi="Arial"/>
          <w:sz w:val="21"/>
          <w:szCs w:val="21"/>
          <w:color w:val="auto"/>
        </w:rPr>
        <w:t>The officer who has charge of the stock ledger of the Corporation</w:t>
      </w:r>
      <w:r>
        <w:rPr>
          <w:rFonts w:ascii="Arial" w:cs="Arial" w:eastAsia="Arial" w:hAnsi="Arial"/>
          <w:sz w:val="21"/>
          <w:szCs w:val="21"/>
          <w:b w:val="1"/>
          <w:bCs w:val="1"/>
          <w:color w:val="auto"/>
        </w:rPr>
        <w:t xml:space="preserve"> </w:t>
      </w:r>
      <w:r>
        <w:rPr>
          <w:rFonts w:ascii="Arial" w:cs="Arial" w:eastAsia="Arial" w:hAnsi="Arial"/>
          <w:sz w:val="21"/>
          <w:szCs w:val="21"/>
          <w:color w:val="auto"/>
        </w:rPr>
        <w:t>shall 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 The stock ledger shall be the only evidence as to who are the stockholders entitled to examine the stock ledger, the list of the stockholders, the corporate books, or to vote at any meeting of the stockholders.</w:t>
      </w:r>
    </w:p>
    <w:p>
      <w:pPr>
        <w:spacing w:after="0" w:line="18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u w:val="single" w:color="auto"/>
          <w:color w:val="auto"/>
        </w:rPr>
        <w:t>Section 2.8 Quorum and Manner of Acting</w:t>
      </w:r>
      <w:r>
        <w:rPr>
          <w:rFonts w:ascii="Arial" w:cs="Arial" w:eastAsia="Arial" w:hAnsi="Arial"/>
          <w:sz w:val="22"/>
          <w:szCs w:val="22"/>
          <w:b w:val="1"/>
          <w:bCs w:val="1"/>
          <w:color w:val="auto"/>
        </w:rPr>
        <w:t xml:space="preserve">. </w:t>
      </w:r>
      <w:r>
        <w:rPr>
          <w:rFonts w:ascii="Arial" w:cs="Arial" w:eastAsia="Arial" w:hAnsi="Arial"/>
          <w:sz w:val="22"/>
          <w:szCs w:val="22"/>
          <w:color w:val="auto"/>
        </w:rPr>
        <w:t>Unless otherwise provided by the Certificate of Incorporation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as may be amended or restated from time to time, or these By-laws, the holders of a majority of the outstanding shares of the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- 4 -</w:t>
      </w:r>
    </w:p>
    <w:p>
      <w:pPr>
        <w:sectPr>
          <w:pgSz w:w="11900" w:h="16838" w:orient="portrait"/>
          <w:cols w:equalWidth="0" w:num="1">
            <w:col w:w="11420"/>
          </w:cols>
          <w:pgMar w:left="240" w:top="375" w:right="239" w:bottom="1440" w:gutter="0" w:footer="0" w:header="0"/>
        </w:sectPr>
      </w:pPr>
    </w:p>
    <w:bookmarkStart w:id="93" w:name="page94"/>
    <w:bookmarkEnd w:id="93"/>
    <w:p>
      <w:pPr>
        <w:jc w:val="both"/>
        <w:spacing w:after="0" w:line="287" w:lineRule="auto"/>
        <w:rPr>
          <w:sz w:val="20"/>
          <w:szCs w:val="20"/>
          <w:color w:val="auto"/>
        </w:rPr>
      </w:pPr>
      <w:r>
        <w:rPr>
          <w:rFonts w:ascii="Arial" w:cs="Arial" w:eastAsia="Arial" w:hAnsi="Arial"/>
          <w:sz w:val="19"/>
          <w:szCs w:val="19"/>
          <w:color w:val="auto"/>
        </w:rPr>
        <w:t>Corporation entitled to vote on a matter present in person or represented by proxy shall constitute a quorum for consideration of such matter at any meeting of stockholders; provided, that if holders of less than a majority of the outstanding shares entitled to vote on a matter are present in person or represented by proxy at said meeting, the holders of a majority of the shares so present in person or represented by proxy may adjourn the meeting from time to time without further notice other than announcement at the meeting at which the adjournment is taken of the time and place of the adjourned meeting. At the adjourned meeting the Corporation may transact any business which might properly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 If a quorum is present, the affirmative vote by the holders of the majority of the shares present in person or represented by proxy at the meeting and entitled to vote shall be the act of the stockholders, unless the vote of a greater number or voting by classes is required by the General Corporation Law of the State of Delaware, the Certificate of Incorporation of the Corporation, as may be amended or restated from time to time, or these By-laws.</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u w:val="single" w:color="auto"/>
          <w:color w:val="auto"/>
        </w:rPr>
        <w:t>Section 2.9 Voting Shares and Proxies</w:t>
      </w:r>
      <w:r>
        <w:rPr>
          <w:rFonts w:ascii="Arial" w:cs="Arial" w:eastAsia="Arial" w:hAnsi="Arial"/>
          <w:sz w:val="19"/>
          <w:szCs w:val="19"/>
          <w:b w:val="1"/>
          <w:bCs w:val="1"/>
          <w:color w:val="auto"/>
        </w:rPr>
        <w:t xml:space="preserve">. </w:t>
      </w:r>
      <w:r>
        <w:rPr>
          <w:rFonts w:ascii="Arial" w:cs="Arial" w:eastAsia="Arial" w:hAnsi="Arial"/>
          <w:sz w:val="19"/>
          <w:szCs w:val="19"/>
          <w:color w:val="auto"/>
        </w:rPr>
        <w:t>Each stockholder shall be entitled to one vote for each share of capital stock</w:t>
      </w:r>
      <w:r>
        <w:rPr>
          <w:rFonts w:ascii="Arial" w:cs="Arial" w:eastAsia="Arial" w:hAnsi="Arial"/>
          <w:sz w:val="19"/>
          <w:szCs w:val="19"/>
          <w:b w:val="1"/>
          <w:bCs w:val="1"/>
          <w:color w:val="auto"/>
        </w:rPr>
        <w:t xml:space="preserve"> </w:t>
      </w:r>
      <w:r>
        <w:rPr>
          <w:rFonts w:ascii="Arial" w:cs="Arial" w:eastAsia="Arial" w:hAnsi="Arial"/>
          <w:sz w:val="19"/>
          <w:szCs w:val="19"/>
          <w:color w:val="auto"/>
        </w:rPr>
        <w:t>held by such stockholder, except as otherwise provided in the Certificate of Incorporation of the Corporation, as may be amended or restated from time to time. Each stockholder entitled to vote at a meeting of the stockholders or to express consent to corporate action in writing without a meeting may authorize another person or persons to act for him or her by proxy, but no proxy shall be valid after three (3) years from its date unless otherwise provided in the proxy. Such proxy shall be in writing and shall be filed with the Secretary of the Corporation before or at the time of the meeting or the giving of such written consent, as the case may be. Execution of a writing authorizing another person or persons to act as proxy may be accomplished by the stockholder (or his or her authorized officer, director, employee or agent) signing such writing or causing his or her signature to be affixed to such writing by any reasonable means, including by facsimile signature. A stockholder may authorize another person or persons to act for him or her as proxy by transmitting or authorizing the transmission of a telegram, cablegram, or other means of electronic transmission to the person who will be the holder of the proxy; provided that any such telegram, cablegram or other means of electronic transmission must either set forth or be submitted with information from which it can be determined that the telegram, cablegram or other electronic transmission was authorized by the stockholder.</w:t>
      </w:r>
    </w:p>
    <w:p>
      <w:pPr>
        <w:spacing w:after="0" w:line="15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b w:val="1"/>
          <w:bCs w:val="1"/>
          <w:u w:val="single" w:color="auto"/>
          <w:color w:val="auto"/>
        </w:rPr>
        <w:t>Section 2.10 Inspectors</w:t>
      </w:r>
      <w:r>
        <w:rPr>
          <w:rFonts w:ascii="Arial" w:cs="Arial" w:eastAsia="Arial" w:hAnsi="Arial"/>
          <w:sz w:val="21"/>
          <w:szCs w:val="21"/>
          <w:b w:val="1"/>
          <w:bCs w:val="1"/>
          <w:color w:val="auto"/>
        </w:rPr>
        <w:t xml:space="preserve">. </w:t>
      </w:r>
      <w:r>
        <w:rPr>
          <w:rFonts w:ascii="Arial" w:cs="Arial" w:eastAsia="Arial" w:hAnsi="Arial"/>
          <w:sz w:val="21"/>
          <w:szCs w:val="21"/>
          <w:color w:val="auto"/>
        </w:rPr>
        <w:t>At any meeting of stockholders, the chairman of the meeting may, or upon the request of any</w:t>
      </w:r>
      <w:r>
        <w:rPr>
          <w:rFonts w:ascii="Arial" w:cs="Arial" w:eastAsia="Arial" w:hAnsi="Arial"/>
          <w:sz w:val="21"/>
          <w:szCs w:val="21"/>
          <w:b w:val="1"/>
          <w:bCs w:val="1"/>
          <w:color w:val="auto"/>
        </w:rPr>
        <w:t xml:space="preserve"> </w:t>
      </w:r>
      <w:r>
        <w:rPr>
          <w:rFonts w:ascii="Arial" w:cs="Arial" w:eastAsia="Arial" w:hAnsi="Arial"/>
          <w:sz w:val="21"/>
          <w:szCs w:val="21"/>
          <w:color w:val="auto"/>
        </w:rPr>
        <w:t>stockholder shall, appoint one or more persons as inspectors for such meeting. Such inspectors shall ascertain and report the number of shares represented at the meeting, based upon the list of stockholders produced at the meeting in accordance with Section 2.7 hereof and upon their determination of the validity and effect of proxies, and they shall count all votes, report the results and do such other acts as are proper to conduct the election and voting with impartiality and fairness to all the stockholders. Each such report shall be in writing and signed by at least a majority of the inspectors, the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420"/>
          </w:cols>
          <w:pgMar w:left="240" w:top="375" w:right="239" w:bottom="1440" w:gutter="0" w:footer="0" w:header="0"/>
        </w:sectPr>
      </w:pPr>
    </w:p>
    <w:bookmarkStart w:id="94" w:name="page95"/>
    <w:bookmarkEnd w:id="94"/>
    <w:p>
      <w:pPr>
        <w:jc w:val="both"/>
        <w:spacing w:after="0" w:line="263" w:lineRule="auto"/>
        <w:rPr>
          <w:sz w:val="20"/>
          <w:szCs w:val="20"/>
          <w:color w:val="auto"/>
        </w:rPr>
      </w:pPr>
      <w:r>
        <w:rPr>
          <w:rFonts w:ascii="Arial" w:cs="Arial" w:eastAsia="Arial" w:hAnsi="Arial"/>
          <w:sz w:val="22"/>
          <w:szCs w:val="22"/>
          <w:color w:val="auto"/>
        </w:rPr>
        <w:t>report of a majority being the report of the inspectors, and such reports shall be prima facie evidence of the number of shares represented at the meeting and the result of a vote of the stockholders.</w:t>
      </w:r>
    </w:p>
    <w:p>
      <w:pPr>
        <w:spacing w:after="0" w:line="16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u w:val="single" w:color="auto"/>
          <w:color w:val="auto"/>
        </w:rPr>
        <w:t>Section 2.11 Voting of Shares by Certain Holders</w:t>
      </w:r>
      <w:r>
        <w:rPr>
          <w:rFonts w:ascii="Arial" w:cs="Arial" w:eastAsia="Arial" w:hAnsi="Arial"/>
          <w:sz w:val="21"/>
          <w:szCs w:val="21"/>
          <w:b w:val="1"/>
          <w:bCs w:val="1"/>
          <w:color w:val="auto"/>
        </w:rPr>
        <w:t xml:space="preserve">. </w:t>
      </w:r>
      <w:r>
        <w:rPr>
          <w:rFonts w:ascii="Arial" w:cs="Arial" w:eastAsia="Arial" w:hAnsi="Arial"/>
          <w:sz w:val="21"/>
          <w:szCs w:val="21"/>
          <w:color w:val="auto"/>
        </w:rPr>
        <w:t>Shares of its own stock belonging the Corporation, unless held by</w:t>
      </w:r>
      <w:r>
        <w:rPr>
          <w:rFonts w:ascii="Arial" w:cs="Arial" w:eastAsia="Arial" w:hAnsi="Arial"/>
          <w:sz w:val="21"/>
          <w:szCs w:val="21"/>
          <w:b w:val="1"/>
          <w:bCs w:val="1"/>
          <w:color w:val="auto"/>
        </w:rPr>
        <w:t xml:space="preserve"> </w:t>
      </w:r>
      <w:r>
        <w:rPr>
          <w:rFonts w:ascii="Arial" w:cs="Arial" w:eastAsia="Arial" w:hAnsi="Arial"/>
          <w:sz w:val="21"/>
          <w:szCs w:val="21"/>
          <w:color w:val="auto"/>
        </w:rPr>
        <w:t>it in a fiduciary capacity, shall not be voted, directly or indirectly, at any meeting, and shall not be counted in determining the total number of outstanding shares at any given time. Shares standing in the name of another corporation, domestic or foreign, may be voted by such officer, agent or proxy as the by-laws of such corporation may prescribe, or, in the absence of such provision, as the board of directors of such corporation may determine. Persons holding stock in a fiduciary capacity shall be entitled to vote the shares so held. Persons whose stock is pledged shall be entitled to vote, unless in the transfer by the pledgor on the books of the Corporation he or she expressly empowered the pledgee to vote thereon, in which case only the pledgee, or pledgee's proxy, may represent such stock and vote thereon.</w:t>
      </w:r>
    </w:p>
    <w:p>
      <w:pPr>
        <w:spacing w:after="0" w:line="1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u w:val="single" w:color="auto"/>
          <w:color w:val="auto"/>
        </w:rPr>
        <w:t>Section 2.12 Voting by Ballot</w:t>
      </w:r>
      <w:r>
        <w:rPr>
          <w:rFonts w:ascii="Arial" w:cs="Arial" w:eastAsia="Arial" w:hAnsi="Arial"/>
          <w:sz w:val="22"/>
          <w:szCs w:val="22"/>
          <w:b w:val="1"/>
          <w:bCs w:val="1"/>
          <w:color w:val="auto"/>
        </w:rPr>
        <w:t xml:space="preserve">. </w:t>
      </w:r>
      <w:r>
        <w:rPr>
          <w:rFonts w:ascii="Arial" w:cs="Arial" w:eastAsia="Arial" w:hAnsi="Arial"/>
          <w:sz w:val="22"/>
          <w:szCs w:val="22"/>
          <w:color w:val="auto"/>
        </w:rPr>
        <w:t>Any question or any election at a meeting of the stockholders may be decided by voice</w:t>
      </w:r>
      <w:r>
        <w:rPr>
          <w:rFonts w:ascii="Arial" w:cs="Arial" w:eastAsia="Arial" w:hAnsi="Arial"/>
          <w:sz w:val="22"/>
          <w:szCs w:val="22"/>
          <w:b w:val="1"/>
          <w:bCs w:val="1"/>
          <w:color w:val="auto"/>
        </w:rPr>
        <w:t xml:space="preserve"> </w:t>
      </w:r>
      <w:r>
        <w:rPr>
          <w:rFonts w:ascii="Arial" w:cs="Arial" w:eastAsia="Arial" w:hAnsi="Arial"/>
          <w:sz w:val="22"/>
          <w:szCs w:val="22"/>
          <w:color w:val="auto"/>
        </w:rPr>
        <w:t>vote unless the chairman of the meeting shall order that voting be by ballot or unless otherwise provided in the Certificate of Incorporation of the Corporation, as may be amended or restated from time to time, or required by the General Corporation Law of the State of Delaware.</w:t>
      </w:r>
    </w:p>
    <w:p>
      <w:pPr>
        <w:spacing w:after="0" w:line="17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u w:val="single" w:color="auto"/>
          <w:color w:val="auto"/>
        </w:rPr>
        <w:t>Section 2.13 Informal Action</w:t>
      </w:r>
      <w:r>
        <w:rPr>
          <w:rFonts w:ascii="Arial" w:cs="Arial" w:eastAsia="Arial" w:hAnsi="Arial"/>
          <w:sz w:val="19"/>
          <w:szCs w:val="19"/>
          <w:b w:val="1"/>
          <w:bCs w:val="1"/>
          <w:color w:val="auto"/>
        </w:rPr>
        <w:t xml:space="preserve">. </w:t>
      </w:r>
      <w:r>
        <w:rPr>
          <w:rFonts w:ascii="Arial" w:cs="Arial" w:eastAsia="Arial" w:hAnsi="Arial"/>
          <w:sz w:val="19"/>
          <w:szCs w:val="19"/>
          <w:color w:val="auto"/>
        </w:rPr>
        <w:t>Any corporate action upon which a vote of stockholders is required or permitted may be</w:t>
      </w:r>
      <w:r>
        <w:rPr>
          <w:rFonts w:ascii="Arial" w:cs="Arial" w:eastAsia="Arial" w:hAnsi="Arial"/>
          <w:sz w:val="19"/>
          <w:szCs w:val="19"/>
          <w:b w:val="1"/>
          <w:bCs w:val="1"/>
          <w:color w:val="auto"/>
        </w:rPr>
        <w:t xml:space="preserve"> </w:t>
      </w:r>
      <w:r>
        <w:rPr>
          <w:rFonts w:ascii="Arial" w:cs="Arial" w:eastAsia="Arial" w:hAnsi="Arial"/>
          <w:sz w:val="19"/>
          <w:szCs w:val="19"/>
          <w:color w:val="auto"/>
        </w:rPr>
        <w:t>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on such action were present and voted and shall be delivered to the Corporation at the office of its registered agent within the State of Delaware, at its principal place of business, or at such other place as determined by the Board of Directors. Every written consent shall bear the date of signature of each stockholder who signs the consent and no written consent shall be effective to take the corporate action referred to in the consent unless, within sixty (60) days of the earliest dated consent delivered to the Corporation, written consents signed by a sufficient number of holders to take action are delivered to the Corporation at the office of its registered agent within the State of Delaware, at its principal place of business, or at such other place as determined by the Board of Directors. Prompt notice of the taking of the corporate action without a meeting by less than unanimous written consent shall be given to those stockholders who have not so consented in writing.</w:t>
      </w:r>
    </w:p>
    <w:p>
      <w:pPr>
        <w:spacing w:after="0" w:line="148"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u w:val="single" w:color="auto"/>
          <w:color w:val="auto"/>
        </w:rPr>
        <w:t>ARTICLE III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DIRECTORS</w:t>
      </w:r>
    </w:p>
    <w:p>
      <w:pPr>
        <w:spacing w:after="0" w:line="22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b w:val="1"/>
          <w:bCs w:val="1"/>
          <w:u w:val="single" w:color="auto"/>
          <w:color w:val="auto"/>
        </w:rPr>
        <w:t>Section 3.1 General Powers</w:t>
      </w:r>
      <w:r>
        <w:rPr>
          <w:rFonts w:ascii="Arial" w:cs="Arial" w:eastAsia="Arial" w:hAnsi="Arial"/>
          <w:sz w:val="22"/>
          <w:szCs w:val="22"/>
          <w:b w:val="1"/>
          <w:bCs w:val="1"/>
          <w:color w:val="auto"/>
        </w:rPr>
        <w:t xml:space="preserve">. </w:t>
      </w:r>
      <w:r>
        <w:rPr>
          <w:rFonts w:ascii="Arial" w:cs="Arial" w:eastAsia="Arial" w:hAnsi="Arial"/>
          <w:sz w:val="22"/>
          <w:szCs w:val="22"/>
          <w:color w:val="auto"/>
        </w:rPr>
        <w:t>The business and affairs of the Corporation shall be managed by its Board of Directors,</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may be otherwise provided by statute,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- 6 -</w:t>
      </w:r>
    </w:p>
    <w:p>
      <w:pPr>
        <w:sectPr>
          <w:pgSz w:w="11900" w:h="16838" w:orient="portrait"/>
          <w:cols w:equalWidth="0" w:num="1">
            <w:col w:w="11420"/>
          </w:cols>
          <w:pgMar w:left="240" w:top="375" w:right="239" w:bottom="1440" w:gutter="0" w:footer="0" w:header="0"/>
        </w:sectPr>
      </w:pPr>
    </w:p>
    <w:bookmarkStart w:id="95" w:name="page96"/>
    <w:bookmarkEnd w:id="95"/>
    <w:p>
      <w:pPr>
        <w:spacing w:after="0"/>
        <w:rPr>
          <w:sz w:val="20"/>
          <w:szCs w:val="20"/>
          <w:color w:val="auto"/>
        </w:rPr>
      </w:pPr>
      <w:r>
        <w:rPr>
          <w:rFonts w:ascii="Arial" w:cs="Arial" w:eastAsia="Arial" w:hAnsi="Arial"/>
          <w:sz w:val="21"/>
          <w:szCs w:val="21"/>
          <w:color w:val="auto"/>
        </w:rPr>
        <w:t>the Certificate of Incorporation of the Corporation, as may be amended or restated from time to time, or these By-laws.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u w:val="single" w:color="auto"/>
          <w:color w:val="auto"/>
        </w:rPr>
        <w:t>Section 3.2 Number, Tenure and Qualifications</w:t>
      </w:r>
      <w:r>
        <w:rPr>
          <w:rFonts w:ascii="Arial" w:cs="Arial" w:eastAsia="Arial" w:hAnsi="Arial"/>
          <w:sz w:val="22"/>
          <w:szCs w:val="22"/>
          <w:b w:val="1"/>
          <w:bCs w:val="1"/>
          <w:color w:val="auto"/>
        </w:rPr>
        <w:t xml:space="preserve">. </w:t>
      </w:r>
      <w:r>
        <w:rPr>
          <w:rFonts w:ascii="Arial" w:cs="Arial" w:eastAsia="Arial" w:hAnsi="Arial"/>
          <w:sz w:val="22"/>
          <w:szCs w:val="22"/>
          <w:color w:val="auto"/>
        </w:rPr>
        <w:t>The number of directors which shall constitute the whole Board of</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shall be such number as is determined from time to time by resolution of the Board of Directors, except as otherwise provided for in the Certificate of Incorporation of the Corporation, as may be amended or restated from time to time. Each Director elected shall hold office until his successor is elected and qualified or until his earlier resignation or removal. Directors need not be stockholders of the Corporation or residents of Delaware.</w:t>
      </w:r>
    </w:p>
    <w:p>
      <w:pPr>
        <w:spacing w:after="0" w:line="17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b w:val="1"/>
          <w:bCs w:val="1"/>
          <w:u w:val="single" w:color="auto"/>
          <w:color w:val="auto"/>
        </w:rPr>
        <w:t>Section 3.3 Regular Meetings</w:t>
      </w:r>
      <w:r>
        <w:rPr>
          <w:rFonts w:ascii="Arial" w:cs="Arial" w:eastAsia="Arial" w:hAnsi="Arial"/>
          <w:sz w:val="21"/>
          <w:szCs w:val="21"/>
          <w:b w:val="1"/>
          <w:bCs w:val="1"/>
          <w:color w:val="auto"/>
        </w:rPr>
        <w:t xml:space="preserve">. </w:t>
      </w:r>
      <w:r>
        <w:rPr>
          <w:rFonts w:ascii="Arial" w:cs="Arial" w:eastAsia="Arial" w:hAnsi="Arial"/>
          <w:sz w:val="21"/>
          <w:szCs w:val="21"/>
          <w:color w:val="auto"/>
        </w:rPr>
        <w:t>A regular meeting of the Board of Directors shall be held, without other notice than this</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3.3, immediately after and at the same place as the annual meeting of stockholders. In the event such meeting is not held at such time and place, the meeting may be held at such time and place as shall be specified in a notice given as provided below with respect to special meetings of the Board of Directors or as shall be specified in a written waiver signed by all of the directors. The Board of Directors may provide, by resolution, the time and place, either within or without Delaware, for the holding of additional regular meetings without other notice than such resolution.</w:t>
      </w:r>
    </w:p>
    <w:p>
      <w:pPr>
        <w:spacing w:after="0" w:line="169"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b w:val="1"/>
          <w:bCs w:val="1"/>
          <w:u w:val="single" w:color="auto"/>
          <w:color w:val="auto"/>
        </w:rPr>
        <w:t>Section 3.4 Special Meeting</w:t>
      </w:r>
      <w:r>
        <w:rPr>
          <w:rFonts w:ascii="Arial" w:cs="Arial" w:eastAsia="Arial" w:hAnsi="Arial"/>
          <w:sz w:val="19"/>
          <w:szCs w:val="19"/>
          <w:b w:val="1"/>
          <w:bCs w:val="1"/>
          <w:color w:val="auto"/>
        </w:rPr>
        <w:t xml:space="preserve">. </w:t>
      </w:r>
      <w:r>
        <w:rPr>
          <w:rFonts w:ascii="Arial" w:cs="Arial" w:eastAsia="Arial" w:hAnsi="Arial"/>
          <w:sz w:val="19"/>
          <w:szCs w:val="19"/>
          <w:color w:val="auto"/>
        </w:rPr>
        <w:t>Special meetings of the Board of Directors may be called at any time by the Chairman of</w:t>
      </w:r>
      <w:r>
        <w:rPr>
          <w:rFonts w:ascii="Arial" w:cs="Arial" w:eastAsia="Arial" w:hAnsi="Arial"/>
          <w:sz w:val="19"/>
          <w:szCs w:val="19"/>
          <w:b w:val="1"/>
          <w:bCs w:val="1"/>
          <w:color w:val="auto"/>
        </w:rPr>
        <w:t xml:space="preserve"> </w:t>
      </w:r>
      <w:r>
        <w:rPr>
          <w:rFonts w:ascii="Arial" w:cs="Arial" w:eastAsia="Arial" w:hAnsi="Arial"/>
          <w:sz w:val="19"/>
          <w:szCs w:val="19"/>
          <w:color w:val="auto"/>
        </w:rPr>
        <w:t>the Board, the President, or any three (3) directors. The person or persons who call a special meeting of the Board of Directors may, within the notice such meeting designate time and place, either within or without Delaware, as the time and place for holding such special meeting. In the absence of such a designation, the place of meeting shall be the Corporation's principal place of business.</w:t>
      </w:r>
    </w:p>
    <w:p>
      <w:pPr>
        <w:spacing w:after="0" w:line="1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u w:val="single" w:color="auto"/>
          <w:color w:val="auto"/>
        </w:rPr>
        <w:t>Section 3.5 Notice of Special Meetings</w:t>
      </w:r>
      <w:r>
        <w:rPr>
          <w:rFonts w:ascii="Arial" w:cs="Arial" w:eastAsia="Arial" w:hAnsi="Arial"/>
          <w:sz w:val="21"/>
          <w:szCs w:val="21"/>
          <w:b w:val="1"/>
          <w:bCs w:val="1"/>
          <w:color w:val="auto"/>
        </w:rPr>
        <w:t xml:space="preserve">. </w:t>
      </w:r>
      <w:r>
        <w:rPr>
          <w:rFonts w:ascii="Arial" w:cs="Arial" w:eastAsia="Arial" w:hAnsi="Arial"/>
          <w:sz w:val="21"/>
          <w:szCs w:val="21"/>
          <w:color w:val="auto"/>
        </w:rPr>
        <w:t>Notice stating the place, date and hour of a special meeting shall be mailed not</w:t>
      </w:r>
      <w:r>
        <w:rPr>
          <w:rFonts w:ascii="Arial" w:cs="Arial" w:eastAsia="Arial" w:hAnsi="Arial"/>
          <w:sz w:val="21"/>
          <w:szCs w:val="21"/>
          <w:b w:val="1"/>
          <w:bCs w:val="1"/>
          <w:color w:val="auto"/>
        </w:rPr>
        <w:t xml:space="preserve"> </w:t>
      </w:r>
      <w:r>
        <w:rPr>
          <w:rFonts w:ascii="Arial" w:cs="Arial" w:eastAsia="Arial" w:hAnsi="Arial"/>
          <w:sz w:val="21"/>
          <w:szCs w:val="21"/>
          <w:color w:val="auto"/>
        </w:rPr>
        <w:t>less than five (5) days before the date of the meeting, or shall be sent by telegram or be delivered personally or by telephone not less than two (2) days before the date of the meeting, to each director, at such director's business address or such other address as such director may have advised the Secretary of the Corporation to use for such purpose by or at the direction of the person or persons calling the meeting. If delivered, such notice shall be deemed to be given when delivered to such address or to the person to be notified. If mailed, such notice shall be deemed to be given three (3) days after deposit in the United States mail so addressed, postage prepaid. If given by telegraph, such notice shall be deemed to be given the next business day following the day the telegram is given to the telegraph company. Such notice may also be given by telephone or other means not specified in these bylaws, and in each such case shall be deemed to be given when actually received by the director to be notified. Notice of any meeting of the Board of Directors shall set forth the time and place of the meeting. Neither the business to be transacted at nor the purpose of any meeting, regular or special, of the Board of Directors need be specified in the notice or waiver of notice of such meeting.</w:t>
      </w:r>
    </w:p>
    <w:p>
      <w:pPr>
        <w:spacing w:after="0" w:line="18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u w:val="single" w:color="auto"/>
          <w:color w:val="auto"/>
        </w:rPr>
        <w:t>Section 3.6 Waiver of Notice</w:t>
      </w:r>
      <w:r>
        <w:rPr>
          <w:rFonts w:ascii="Arial" w:cs="Arial" w:eastAsia="Arial" w:hAnsi="Arial"/>
          <w:sz w:val="22"/>
          <w:szCs w:val="22"/>
          <w:b w:val="1"/>
          <w:bCs w:val="1"/>
          <w:color w:val="auto"/>
        </w:rPr>
        <w:t xml:space="preserve">. </w:t>
      </w:r>
      <w:r>
        <w:rPr>
          <w:rFonts w:ascii="Arial" w:cs="Arial" w:eastAsia="Arial" w:hAnsi="Arial"/>
          <w:sz w:val="22"/>
          <w:szCs w:val="22"/>
          <w:color w:val="auto"/>
        </w:rPr>
        <w:t>A written waiver of notice, signed by a director entitled to notice of a meeting of the</w:t>
      </w:r>
      <w:r>
        <w:rPr>
          <w:rFonts w:ascii="Arial" w:cs="Arial" w:eastAsia="Arial" w:hAnsi="Arial"/>
          <w:sz w:val="22"/>
          <w:szCs w:val="22"/>
          <w:b w:val="1"/>
          <w:bCs w:val="1"/>
          <w:color w:val="auto"/>
        </w:rPr>
        <w:t xml:space="preserve"> </w:t>
      </w:r>
      <w:r>
        <w:rPr>
          <w:rFonts w:ascii="Arial" w:cs="Arial" w:eastAsia="Arial" w:hAnsi="Arial"/>
          <w:sz w:val="22"/>
          <w:szCs w:val="22"/>
          <w:color w:val="auto"/>
        </w:rPr>
        <w:t>Board of Directors or of a committee of such</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- 7 -</w:t>
      </w:r>
    </w:p>
    <w:p>
      <w:pPr>
        <w:sectPr>
          <w:pgSz w:w="11900" w:h="16838" w:orient="portrait"/>
          <w:cols w:equalWidth="0" w:num="1">
            <w:col w:w="11420"/>
          </w:cols>
          <w:pgMar w:left="240" w:top="375" w:right="239" w:bottom="1440" w:gutter="0" w:footer="0" w:header="0"/>
        </w:sectPr>
      </w:pPr>
    </w:p>
    <w:bookmarkStart w:id="96" w:name="page97"/>
    <w:bookmarkEnd w:id="96"/>
    <w:p>
      <w:pPr>
        <w:jc w:val="both"/>
        <w:spacing w:after="0" w:line="248" w:lineRule="auto"/>
        <w:rPr>
          <w:sz w:val="20"/>
          <w:szCs w:val="20"/>
          <w:color w:val="auto"/>
        </w:rPr>
      </w:pPr>
      <w:r>
        <w:rPr>
          <w:rFonts w:ascii="Arial" w:cs="Arial" w:eastAsia="Arial" w:hAnsi="Arial"/>
          <w:sz w:val="22"/>
          <w:szCs w:val="22"/>
          <w:color w:val="auto"/>
        </w:rPr>
        <w:t>board of which the director is a member, whether before or after the time of the meeting shall be deemed equivalent to the giving of such notice to that director. Attendance of a director at a meeting of the Board of Directors or of a committee of such board of which the director is a member shall constitute a waiver of notice of such meeting except when the director attends the meeting for the express purpose of objecting, at the beginning of the meeting, to the transaction of any business because the meeting is not lawfully called or convened.</w:t>
      </w:r>
    </w:p>
    <w:p>
      <w:pPr>
        <w:spacing w:after="0" w:line="18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u w:val="single" w:color="auto"/>
          <w:color w:val="auto"/>
        </w:rPr>
        <w:t>Section 3.7 Quorum and Manner of Acting</w:t>
      </w:r>
      <w:r>
        <w:rPr>
          <w:rFonts w:ascii="Arial" w:cs="Arial" w:eastAsia="Arial" w:hAnsi="Arial"/>
          <w:sz w:val="19"/>
          <w:szCs w:val="19"/>
          <w:b w:val="1"/>
          <w:bCs w:val="1"/>
          <w:color w:val="auto"/>
        </w:rPr>
        <w:t xml:space="preserve">. </w:t>
      </w:r>
      <w:r>
        <w:rPr>
          <w:rFonts w:ascii="Arial" w:cs="Arial" w:eastAsia="Arial" w:hAnsi="Arial"/>
          <w:sz w:val="19"/>
          <w:szCs w:val="19"/>
          <w:color w:val="auto"/>
        </w:rPr>
        <w:t>A majority of the number of directors as fixed in Section 3.2 hereof shall</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constitute a quorum for the transaction of business at any meeting of the Board of Directors; provided, that if less than a majority of such number of directors are present at said meeting, a majority of the directors present may adjourn the meeting from time to time without further notice. The act of the majority of the directors present at a meeting at which a quorum is present shall be the act of the Board of Directors, unless otherwise provided in the General Corporation Law of the State of Delaware, the Certificate of Incorporation of the Corporation, as may be amended or restated from time to time, or these By-laws.</w:t>
      </w:r>
    </w:p>
    <w:p>
      <w:pPr>
        <w:spacing w:after="0" w:line="14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b w:val="1"/>
          <w:bCs w:val="1"/>
          <w:u w:val="single" w:color="auto"/>
          <w:color w:val="auto"/>
        </w:rPr>
        <w:t>Section 3.8 Presumption of Assent</w:t>
      </w:r>
      <w:r>
        <w:rPr>
          <w:rFonts w:ascii="Arial" w:cs="Arial" w:eastAsia="Arial" w:hAnsi="Arial"/>
          <w:sz w:val="19"/>
          <w:szCs w:val="19"/>
          <w:b w:val="1"/>
          <w:bCs w:val="1"/>
          <w:color w:val="auto"/>
        </w:rPr>
        <w:t xml:space="preserve">. </w:t>
      </w:r>
      <w:r>
        <w:rPr>
          <w:rFonts w:ascii="Arial" w:cs="Arial" w:eastAsia="Arial" w:hAnsi="Arial"/>
          <w:sz w:val="19"/>
          <w:szCs w:val="19"/>
          <w:color w:val="auto"/>
        </w:rPr>
        <w:t>A director of the Corporation who is present at a duly convened meeting of the</w:t>
      </w:r>
      <w:r>
        <w:rPr>
          <w:rFonts w:ascii="Arial" w:cs="Arial" w:eastAsia="Arial" w:hAnsi="Arial"/>
          <w:sz w:val="19"/>
          <w:szCs w:val="19"/>
          <w:b w:val="1"/>
          <w:bCs w:val="1"/>
          <w:color w:val="auto"/>
        </w:rPr>
        <w:t xml:space="preserve"> </w:t>
      </w:r>
      <w:r>
        <w:rPr>
          <w:rFonts w:ascii="Arial" w:cs="Arial" w:eastAsia="Arial" w:hAnsi="Arial"/>
          <w:sz w:val="19"/>
          <w:szCs w:val="19"/>
          <w:color w:val="auto"/>
        </w:rPr>
        <w:t>Board of Directors or any committee of such board at which action on any corporate matter is taken shall be conclusively presumed to have assented to the action taken unless such Director's dissent shall be entered in the minutes of the meeting or unless such Director shall file a written dissent to such action with the person acting as the secretary of the meeting before adjournment of the meeting. Such right to dissent shall not apply to a director who voted in favor of such action.</w:t>
      </w:r>
    </w:p>
    <w:p>
      <w:pPr>
        <w:spacing w:after="0" w:line="13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u w:val="single" w:color="auto"/>
          <w:color w:val="auto"/>
        </w:rPr>
        <w:t>Section 3.9 Informal Action by Directors</w:t>
      </w:r>
      <w:r>
        <w:rPr>
          <w:rFonts w:ascii="Arial" w:cs="Arial" w:eastAsia="Arial" w:hAnsi="Arial"/>
          <w:sz w:val="22"/>
          <w:szCs w:val="22"/>
          <w:b w:val="1"/>
          <w:bCs w:val="1"/>
          <w:color w:val="auto"/>
        </w:rPr>
        <w:t xml:space="preserve">. </w:t>
      </w:r>
      <w:r>
        <w:rPr>
          <w:rFonts w:ascii="Arial" w:cs="Arial" w:eastAsia="Arial" w:hAnsi="Arial"/>
          <w:sz w:val="22"/>
          <w:szCs w:val="22"/>
          <w:color w:val="auto"/>
        </w:rPr>
        <w:t>Any action which is required by law or by these By-laws to be taken at a</w:t>
      </w:r>
      <w:r>
        <w:rPr>
          <w:rFonts w:ascii="Arial" w:cs="Arial" w:eastAsia="Arial" w:hAnsi="Arial"/>
          <w:sz w:val="22"/>
          <w:szCs w:val="22"/>
          <w:b w:val="1"/>
          <w:bCs w:val="1"/>
          <w:color w:val="auto"/>
        </w:rPr>
        <w:t xml:space="preserve"> </w:t>
      </w:r>
      <w:r>
        <w:rPr>
          <w:rFonts w:ascii="Arial" w:cs="Arial" w:eastAsia="Arial" w:hAnsi="Arial"/>
          <w:sz w:val="22"/>
          <w:szCs w:val="22"/>
          <w:color w:val="auto"/>
        </w:rPr>
        <w:t>meeting of the Board of Directors, or any other action which may be taken at a meeting of the Board of Directors or any committee thereof, may be taken without a meeting if a consent in writing, setting forth the action to be taken, shall be signed by all of the directors entitled to vote with respect to the subject matter thereof, or by all the members of such committee, as the case may be. Such consent shall have the sane force and effect as a unanimous vote of all of the directors or all of the members of such committee, as the case may be, at a duly called meeting thereof, and shall be filed with the minutes of proceedings of the Board or committee.</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u w:val="single" w:color="auto"/>
          <w:color w:val="auto"/>
        </w:rPr>
        <w:t>Section 3.10 Telephonic Meetings</w:t>
      </w:r>
      <w:r>
        <w:rPr>
          <w:rFonts w:ascii="Arial" w:cs="Arial" w:eastAsia="Arial" w:hAnsi="Arial"/>
          <w:sz w:val="22"/>
          <w:szCs w:val="22"/>
          <w:b w:val="1"/>
          <w:bCs w:val="1"/>
          <w:color w:val="auto"/>
        </w:rPr>
        <w:t xml:space="preserve">. </w:t>
      </w:r>
      <w:r>
        <w:rPr>
          <w:rFonts w:ascii="Arial" w:cs="Arial" w:eastAsia="Arial" w:hAnsi="Arial"/>
          <w:sz w:val="22"/>
          <w:szCs w:val="22"/>
          <w:color w:val="auto"/>
        </w:rPr>
        <w:t>Unless otherwise restricted by the Certificate of Incorporation of the Corporation,</w:t>
      </w:r>
      <w:r>
        <w:rPr>
          <w:rFonts w:ascii="Arial" w:cs="Arial" w:eastAsia="Arial" w:hAnsi="Arial"/>
          <w:sz w:val="22"/>
          <w:szCs w:val="22"/>
          <w:b w:val="1"/>
          <w:bCs w:val="1"/>
          <w:color w:val="auto"/>
        </w:rPr>
        <w:t xml:space="preserve"> </w:t>
      </w:r>
      <w:r>
        <w:rPr>
          <w:rFonts w:ascii="Arial" w:cs="Arial" w:eastAsia="Arial" w:hAnsi="Arial"/>
          <w:sz w:val="22"/>
          <w:szCs w:val="22"/>
          <w:color w:val="auto"/>
        </w:rPr>
        <w:t>as may be amended or restated from time to time; or these By-laws, members of the Board of Directors or of any committee designated by such Board, may participate in a meeting of such Board or committee by means of conference telephone or similar communications equipment by means of which all persons participating in the meeting can hear each other, and such participation in a meeting shall constitute presence at such a meeting.</w:t>
      </w:r>
    </w:p>
    <w:p>
      <w:pPr>
        <w:spacing w:after="0" w:line="17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b w:val="1"/>
          <w:bCs w:val="1"/>
          <w:u w:val="single" w:color="auto"/>
          <w:color w:val="auto"/>
        </w:rPr>
        <w:t>Section 3.11 Resignations</w:t>
      </w:r>
      <w:r>
        <w:rPr>
          <w:rFonts w:ascii="Arial" w:cs="Arial" w:eastAsia="Arial" w:hAnsi="Arial"/>
          <w:sz w:val="22"/>
          <w:szCs w:val="22"/>
          <w:b w:val="1"/>
          <w:bCs w:val="1"/>
          <w:color w:val="auto"/>
        </w:rPr>
        <w:t xml:space="preserve">. </w:t>
      </w:r>
      <w:r>
        <w:rPr>
          <w:rFonts w:ascii="Arial" w:cs="Arial" w:eastAsia="Arial" w:hAnsi="Arial"/>
          <w:sz w:val="22"/>
          <w:szCs w:val="22"/>
          <w:color w:val="auto"/>
        </w:rPr>
        <w:t>Any director may resign at any time by giving written notice to the Board of Directors, the</w:t>
      </w:r>
      <w:r>
        <w:rPr>
          <w:rFonts w:ascii="Arial" w:cs="Arial" w:eastAsia="Arial" w:hAnsi="Arial"/>
          <w:sz w:val="22"/>
          <w:szCs w:val="22"/>
          <w:b w:val="1"/>
          <w:bCs w:val="1"/>
          <w:color w:val="auto"/>
        </w:rPr>
        <w:t xml:space="preserve"> </w:t>
      </w:r>
      <w:r>
        <w:rPr>
          <w:rFonts w:ascii="Arial" w:cs="Arial" w:eastAsia="Arial" w:hAnsi="Arial"/>
          <w:sz w:val="22"/>
          <w:szCs w:val="22"/>
          <w:color w:val="auto"/>
        </w:rPr>
        <w:t>Chairman of the Board, the President, or the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- 8 -</w:t>
      </w:r>
    </w:p>
    <w:p>
      <w:pPr>
        <w:sectPr>
          <w:pgSz w:w="11900" w:h="16838" w:orient="portrait"/>
          <w:cols w:equalWidth="0" w:num="1">
            <w:col w:w="11420"/>
          </w:cols>
          <w:pgMar w:left="240" w:top="375" w:right="239" w:bottom="1440" w:gutter="0" w:footer="0" w:header="0"/>
        </w:sectPr>
      </w:pPr>
    </w:p>
    <w:bookmarkStart w:id="97" w:name="page98"/>
    <w:bookmarkEnd w:id="97"/>
    <w:p>
      <w:pPr>
        <w:ind w:right="20"/>
        <w:spacing w:after="0" w:line="263" w:lineRule="auto"/>
        <w:rPr>
          <w:sz w:val="20"/>
          <w:szCs w:val="20"/>
          <w:color w:val="auto"/>
        </w:rPr>
      </w:pPr>
      <w:r>
        <w:rPr>
          <w:rFonts w:ascii="Arial" w:cs="Arial" w:eastAsia="Arial" w:hAnsi="Arial"/>
          <w:sz w:val="22"/>
          <w:szCs w:val="22"/>
          <w:color w:val="auto"/>
        </w:rPr>
        <w:t>Secretary. Such resignation shall take effect at the time specified therein; and, unless tendered to take effect upon acceptance thereof, the acceptance of such resignation shall not be necessary to make it effective.</w:t>
      </w:r>
    </w:p>
    <w:p>
      <w:pPr>
        <w:spacing w:after="0" w:line="169"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b w:val="1"/>
          <w:bCs w:val="1"/>
          <w:u w:val="single" w:color="auto"/>
          <w:color w:val="auto"/>
        </w:rPr>
        <w:t>Section 3.12</w:t>
      </w:r>
      <w:r>
        <w:rPr>
          <w:sz w:val="20"/>
          <w:szCs w:val="20"/>
          <w:color w:val="auto"/>
        </w:rPr>
        <w:tab/>
      </w:r>
      <w:r>
        <w:rPr>
          <w:rFonts w:ascii="Arial" w:cs="Arial" w:eastAsia="Arial" w:hAnsi="Arial"/>
          <w:sz w:val="18"/>
          <w:szCs w:val="18"/>
          <w:b w:val="1"/>
          <w:bCs w:val="1"/>
          <w:u w:val="single" w:color="auto"/>
          <w:color w:val="auto"/>
        </w:rPr>
        <w:t>Vacancies</w:t>
      </w:r>
      <w:r>
        <w:rPr>
          <w:rFonts w:ascii="Arial" w:cs="Arial" w:eastAsia="Arial" w:hAnsi="Arial"/>
          <w:sz w:val="18"/>
          <w:szCs w:val="18"/>
          <w:b w:val="1"/>
          <w:bCs w:val="1"/>
          <w:color w:val="auto"/>
        </w:rPr>
        <w:t>.</w:t>
      </w:r>
    </w:p>
    <w:p>
      <w:pPr>
        <w:spacing w:after="0" w:line="239" w:lineRule="exact"/>
        <w:rPr>
          <w:sz w:val="20"/>
          <w:szCs w:val="20"/>
          <w:color w:val="auto"/>
        </w:rPr>
      </w:pPr>
    </w:p>
    <w:p>
      <w:pPr>
        <w:jc w:val="both"/>
        <w:ind w:firstLine="1305"/>
        <w:spacing w:after="0" w:line="266" w:lineRule="auto"/>
        <w:tabs>
          <w:tab w:leader="none" w:pos="1851" w:val="left"/>
        </w:tabs>
        <w:numPr>
          <w:ilvl w:val="0"/>
          <w:numId w:val="38"/>
        </w:numPr>
        <w:rPr>
          <w:rFonts w:ascii="Arial" w:cs="Arial" w:eastAsia="Arial" w:hAnsi="Arial"/>
          <w:sz w:val="21"/>
          <w:szCs w:val="21"/>
          <w:color w:val="auto"/>
        </w:rPr>
      </w:pPr>
      <w:r>
        <w:rPr>
          <w:rFonts w:ascii="Arial" w:cs="Arial" w:eastAsia="Arial" w:hAnsi="Arial"/>
          <w:sz w:val="21"/>
          <w:szCs w:val="21"/>
          <w:color w:val="auto"/>
        </w:rPr>
        <w:t>Unless otherwise provided by the Certificate of Incorporation of the Corporation, as may be amended or restated from time to time, vacancies and newly created directorships resulting from any increase in the authorized number of directors elected by all of the stockholders having the right to vote as a single class shall be filled by a majority of the directors then in office, although less than a quorum, or by the sole remaining director, and the directors so chosen shall hold office until their successors are elected and qualified or until their earlier resignation or removal.</w:t>
      </w:r>
    </w:p>
    <w:p>
      <w:pPr>
        <w:spacing w:after="0" w:line="174" w:lineRule="exact"/>
        <w:rPr>
          <w:rFonts w:ascii="Arial" w:cs="Arial" w:eastAsia="Arial" w:hAnsi="Arial"/>
          <w:sz w:val="21"/>
          <w:szCs w:val="21"/>
          <w:color w:val="auto"/>
        </w:rPr>
      </w:pPr>
    </w:p>
    <w:p>
      <w:pPr>
        <w:jc w:val="both"/>
        <w:ind w:firstLine="1305"/>
        <w:spacing w:after="0" w:line="264" w:lineRule="auto"/>
        <w:tabs>
          <w:tab w:leader="none" w:pos="1728" w:val="left"/>
        </w:tabs>
        <w:numPr>
          <w:ilvl w:val="0"/>
          <w:numId w:val="38"/>
        </w:numPr>
        <w:rPr>
          <w:rFonts w:ascii="Arial" w:cs="Arial" w:eastAsia="Arial" w:hAnsi="Arial"/>
          <w:sz w:val="21"/>
          <w:szCs w:val="21"/>
          <w:color w:val="auto"/>
        </w:rPr>
      </w:pPr>
      <w:r>
        <w:rPr>
          <w:rFonts w:ascii="Arial" w:cs="Arial" w:eastAsia="Arial" w:hAnsi="Arial"/>
          <w:sz w:val="21"/>
          <w:szCs w:val="21"/>
          <w:color w:val="auto"/>
        </w:rPr>
        <w:t>Whenever the holders of any class or classes of stock or series thereof are entitled to elect one or more directors by the provisions of the Certificate of Incorporation of the Corporation, as may be amended or restated from time to time, vacancies and newly creaked directorships of such class or classes or series may be filled by a majority of the directors elected by such class or classes or series thereof then in office, or by the sole remaining director so elected, and the directors so chosen shall hold office until the next election of the class or series for which such directors shall have been chosen, and until their successors shall be elected and qualified or until their earlier resignation or removal.</w:t>
      </w:r>
    </w:p>
    <w:p>
      <w:pPr>
        <w:spacing w:after="0" w:line="169" w:lineRule="exact"/>
        <w:rPr>
          <w:sz w:val="20"/>
          <w:szCs w:val="20"/>
          <w:color w:val="auto"/>
        </w:rPr>
      </w:pPr>
    </w:p>
    <w:p>
      <w:pPr>
        <w:ind w:firstLine="648"/>
        <w:spacing w:after="0" w:line="282" w:lineRule="auto"/>
        <w:rPr>
          <w:sz w:val="20"/>
          <w:szCs w:val="20"/>
          <w:color w:val="auto"/>
        </w:rPr>
      </w:pPr>
      <w:r>
        <w:rPr>
          <w:rFonts w:ascii="Arial" w:cs="Arial" w:eastAsia="Arial" w:hAnsi="Arial"/>
          <w:sz w:val="22"/>
          <w:szCs w:val="22"/>
          <w:b w:val="1"/>
          <w:bCs w:val="1"/>
          <w:u w:val="single" w:color="auto"/>
          <w:color w:val="auto"/>
        </w:rPr>
        <w:t>Section 3.13 Removal</w:t>
      </w:r>
      <w:r>
        <w:rPr>
          <w:rFonts w:ascii="Arial" w:cs="Arial" w:eastAsia="Arial" w:hAnsi="Arial"/>
          <w:sz w:val="22"/>
          <w:szCs w:val="22"/>
          <w:b w:val="1"/>
          <w:bCs w:val="1"/>
          <w:color w:val="auto"/>
        </w:rPr>
        <w:t xml:space="preserve">. </w:t>
      </w:r>
      <w:r>
        <w:rPr>
          <w:rFonts w:ascii="Arial" w:cs="Arial" w:eastAsia="Arial" w:hAnsi="Arial"/>
          <w:sz w:val="22"/>
          <w:szCs w:val="22"/>
          <w:color w:val="auto"/>
        </w:rPr>
        <w:t>Any director or the entire Board of Directors may be removed, with or without cause, by the</w:t>
      </w:r>
      <w:r>
        <w:rPr>
          <w:rFonts w:ascii="Arial" w:cs="Arial" w:eastAsia="Arial" w:hAnsi="Arial"/>
          <w:sz w:val="22"/>
          <w:szCs w:val="22"/>
          <w:b w:val="1"/>
          <w:bCs w:val="1"/>
          <w:color w:val="auto"/>
        </w:rPr>
        <w:t xml:space="preserve"> </w:t>
      </w:r>
      <w:r>
        <w:rPr>
          <w:rFonts w:ascii="Arial" w:cs="Arial" w:eastAsia="Arial" w:hAnsi="Arial"/>
          <w:sz w:val="22"/>
          <w:szCs w:val="22"/>
          <w:color w:val="auto"/>
        </w:rPr>
        <w:t>holders of a majority of the shares then entitled to vote at an election of directors, provided, however, that:</w:t>
      </w:r>
    </w:p>
    <w:p>
      <w:pPr>
        <w:spacing w:after="0" w:line="154" w:lineRule="exact"/>
        <w:rPr>
          <w:sz w:val="20"/>
          <w:szCs w:val="20"/>
          <w:color w:val="auto"/>
        </w:rPr>
      </w:pPr>
    </w:p>
    <w:p>
      <w:pPr>
        <w:ind w:firstLine="1305"/>
        <w:spacing w:after="0" w:line="358" w:lineRule="auto"/>
        <w:tabs>
          <w:tab w:leader="none" w:pos="1716" w:val="left"/>
        </w:tabs>
        <w:numPr>
          <w:ilvl w:val="0"/>
          <w:numId w:val="39"/>
        </w:numPr>
        <w:rPr>
          <w:rFonts w:ascii="Arial" w:cs="Arial" w:eastAsia="Arial" w:hAnsi="Arial"/>
          <w:sz w:val="19"/>
          <w:szCs w:val="19"/>
          <w:color w:val="auto"/>
        </w:rPr>
      </w:pPr>
      <w:r>
        <w:rPr>
          <w:rFonts w:ascii="Arial" w:cs="Arial" w:eastAsia="Arial" w:hAnsi="Arial"/>
          <w:sz w:val="19"/>
          <w:szCs w:val="19"/>
          <w:color w:val="auto"/>
        </w:rPr>
        <w:t>if the Board is classified and unless otherwise provided in the Certificate of Incorporation of the Corporation, as may be amended or restated from time to time, the stockholders may affect such removal only for cause; or</w:t>
      </w:r>
    </w:p>
    <w:p>
      <w:pPr>
        <w:spacing w:after="0" w:line="90" w:lineRule="exact"/>
        <w:rPr>
          <w:rFonts w:ascii="Arial" w:cs="Arial" w:eastAsia="Arial" w:hAnsi="Arial"/>
          <w:sz w:val="19"/>
          <w:szCs w:val="19"/>
          <w:color w:val="auto"/>
        </w:rPr>
      </w:pPr>
    </w:p>
    <w:p>
      <w:pPr>
        <w:jc w:val="both"/>
        <w:ind w:firstLine="1305"/>
        <w:spacing w:after="0" w:line="254" w:lineRule="auto"/>
        <w:tabs>
          <w:tab w:leader="none" w:pos="1837" w:val="left"/>
        </w:tabs>
        <w:numPr>
          <w:ilvl w:val="0"/>
          <w:numId w:val="39"/>
        </w:numPr>
        <w:rPr>
          <w:rFonts w:ascii="Arial" w:cs="Arial" w:eastAsia="Arial" w:hAnsi="Arial"/>
          <w:sz w:val="22"/>
          <w:szCs w:val="22"/>
          <w:color w:val="auto"/>
        </w:rPr>
      </w:pPr>
      <w:r>
        <w:rPr>
          <w:rFonts w:ascii="Arial" w:cs="Arial" w:eastAsia="Arial" w:hAnsi="Arial"/>
          <w:sz w:val="22"/>
          <w:szCs w:val="22"/>
          <w:color w:val="auto"/>
        </w:rPr>
        <w:t>if the Corporation has cumulative voting, and less than the entire Board of Directors is to be removed, no director may be removed without cause if the votes cast against his removal would be sufficient to elect him if then cumulatively voted at an election of the entire Board of Directors, or, if there be classes of directors, at an election of the class of directors of which he is a part.</w:t>
      </w:r>
    </w:p>
    <w:p>
      <w:pPr>
        <w:spacing w:after="0" w:line="18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Whenever the holders of any class or series are entitled to elect one or more directors by the provisions of the Certificate of Incorporation of the Corporation, as may be amended or restated from time to time, the provisions of this Section 3.13 shall apply, in respect to the removal without cause of a director or directors so elected, to the vote of the holders of the outstanding shares of that class or series and not to the vote of the outstanding shares as a whole.</w:t>
      </w:r>
    </w:p>
    <w:p>
      <w:pPr>
        <w:spacing w:after="0" w:line="170"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b w:val="1"/>
          <w:bCs w:val="1"/>
          <w:u w:val="single" w:color="auto"/>
          <w:color w:val="auto"/>
        </w:rPr>
        <w:t>Section 3.14</w:t>
      </w:r>
      <w:r>
        <w:rPr>
          <w:sz w:val="20"/>
          <w:szCs w:val="20"/>
          <w:color w:val="auto"/>
        </w:rPr>
        <w:tab/>
      </w:r>
      <w:r>
        <w:rPr>
          <w:rFonts w:ascii="Arial" w:cs="Arial" w:eastAsia="Arial" w:hAnsi="Arial"/>
          <w:sz w:val="19"/>
          <w:szCs w:val="19"/>
          <w:b w:val="1"/>
          <w:bCs w:val="1"/>
          <w:u w:val="single" w:color="auto"/>
          <w:color w:val="auto"/>
        </w:rPr>
        <w:t>Interested Directors</w:t>
      </w:r>
      <w:r>
        <w:rPr>
          <w:rFonts w:ascii="Arial" w:cs="Arial" w:eastAsia="Arial" w:hAnsi="Arial"/>
          <w:sz w:val="19"/>
          <w:szCs w:val="19"/>
          <w:b w:val="1"/>
          <w:bCs w:val="1"/>
          <w:color w:val="auto"/>
        </w:rPr>
        <w: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- 9 -</w:t>
      </w:r>
    </w:p>
    <w:p>
      <w:pPr>
        <w:sectPr>
          <w:pgSz w:w="11900" w:h="16838" w:orient="portrait"/>
          <w:cols w:equalWidth="0" w:num="1">
            <w:col w:w="11420"/>
          </w:cols>
          <w:pgMar w:left="240" w:top="375" w:right="239" w:bottom="1440" w:gutter="0" w:footer="0" w:header="0"/>
        </w:sectPr>
      </w:pPr>
    </w:p>
    <w:bookmarkStart w:id="98" w:name="page99"/>
    <w:bookmarkEnd w:id="98"/>
    <w:p>
      <w:pPr>
        <w:jc w:val="both"/>
        <w:ind w:firstLine="1305"/>
        <w:spacing w:after="0" w:line="266" w:lineRule="auto"/>
        <w:tabs>
          <w:tab w:leader="none" w:pos="1743" w:val="left"/>
        </w:tabs>
        <w:numPr>
          <w:ilvl w:val="0"/>
          <w:numId w:val="40"/>
        </w:numPr>
        <w:rPr>
          <w:rFonts w:ascii="Arial" w:cs="Arial" w:eastAsia="Arial" w:hAnsi="Arial"/>
          <w:sz w:val="21"/>
          <w:szCs w:val="21"/>
          <w:color w:val="auto"/>
        </w:rPr>
      </w:pPr>
      <w:r>
        <w:rPr>
          <w:rFonts w:ascii="Arial" w:cs="Arial" w:eastAsia="Arial" w:hAnsi="Arial"/>
          <w:sz w:val="21"/>
          <w:szCs w:val="21"/>
          <w:color w:val="auto"/>
        </w:rPr>
        <w:t>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or their votes are counted for such purpose, if:</w:t>
      </w:r>
    </w:p>
    <w:p>
      <w:pPr>
        <w:spacing w:after="0" w:line="174" w:lineRule="exact"/>
        <w:rPr>
          <w:rFonts w:ascii="Arial" w:cs="Arial" w:eastAsia="Arial" w:hAnsi="Arial"/>
          <w:sz w:val="21"/>
          <w:szCs w:val="21"/>
          <w:color w:val="auto"/>
        </w:rPr>
      </w:pPr>
    </w:p>
    <w:p>
      <w:pPr>
        <w:jc w:val="both"/>
        <w:ind w:left="660" w:firstLine="1293"/>
        <w:spacing w:after="0" w:line="254" w:lineRule="auto"/>
        <w:tabs>
          <w:tab w:leader="none" w:pos="2416" w:val="left"/>
        </w:tabs>
        <w:numPr>
          <w:ilvl w:val="1"/>
          <w:numId w:val="40"/>
        </w:numPr>
        <w:rPr>
          <w:rFonts w:ascii="Arial" w:cs="Arial" w:eastAsia="Arial" w:hAnsi="Arial"/>
          <w:sz w:val="22"/>
          <w:szCs w:val="22"/>
          <w:color w:val="auto"/>
        </w:rPr>
      </w:pPr>
      <w:r>
        <w:rPr>
          <w:rFonts w:ascii="Arial" w:cs="Arial" w:eastAsia="Arial" w:hAnsi="Arial"/>
          <w:sz w:val="22"/>
          <w:szCs w:val="22"/>
          <w:color w:val="auto"/>
        </w:rPr>
        <w:t>The material facts as to his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w:t>
      </w:r>
    </w:p>
    <w:p>
      <w:pPr>
        <w:spacing w:after="0" w:line="185" w:lineRule="exact"/>
        <w:rPr>
          <w:rFonts w:ascii="Arial" w:cs="Arial" w:eastAsia="Arial" w:hAnsi="Arial"/>
          <w:sz w:val="22"/>
          <w:szCs w:val="22"/>
          <w:color w:val="auto"/>
        </w:rPr>
      </w:pPr>
    </w:p>
    <w:p>
      <w:pPr>
        <w:jc w:val="both"/>
        <w:ind w:left="660" w:firstLine="1293"/>
        <w:spacing w:after="0" w:line="260" w:lineRule="auto"/>
        <w:tabs>
          <w:tab w:leader="none" w:pos="2416" w:val="left"/>
        </w:tabs>
        <w:numPr>
          <w:ilvl w:val="1"/>
          <w:numId w:val="40"/>
        </w:numPr>
        <w:rPr>
          <w:rFonts w:ascii="Arial" w:cs="Arial" w:eastAsia="Arial" w:hAnsi="Arial"/>
          <w:sz w:val="22"/>
          <w:szCs w:val="22"/>
          <w:color w:val="auto"/>
        </w:rPr>
      </w:pPr>
      <w:r>
        <w:rPr>
          <w:rFonts w:ascii="Arial" w:cs="Arial" w:eastAsia="Arial" w:hAnsi="Arial"/>
          <w:sz w:val="22"/>
          <w:szCs w:val="22"/>
          <w:color w:val="auto"/>
        </w:rPr>
        <w:t>The material facts as to his relationship or interest and as to the contract or transaction are disclosed or are known to the stockholders entitled to vote thereon, and the contract or transaction is specifically approved in good faith by vote of the stockholders; or</w:t>
      </w:r>
    </w:p>
    <w:p>
      <w:pPr>
        <w:spacing w:after="0" w:line="177" w:lineRule="exact"/>
        <w:rPr>
          <w:rFonts w:ascii="Arial" w:cs="Arial" w:eastAsia="Arial" w:hAnsi="Arial"/>
          <w:sz w:val="22"/>
          <w:szCs w:val="22"/>
          <w:color w:val="auto"/>
        </w:rPr>
      </w:pPr>
    </w:p>
    <w:p>
      <w:pPr>
        <w:ind w:left="660" w:firstLine="1293"/>
        <w:spacing w:after="0" w:line="276" w:lineRule="auto"/>
        <w:tabs>
          <w:tab w:leader="none" w:pos="2483" w:val="left"/>
        </w:tabs>
        <w:numPr>
          <w:ilvl w:val="1"/>
          <w:numId w:val="40"/>
        </w:numPr>
        <w:rPr>
          <w:rFonts w:ascii="Arial" w:cs="Arial" w:eastAsia="Arial" w:hAnsi="Arial"/>
          <w:sz w:val="22"/>
          <w:szCs w:val="22"/>
          <w:color w:val="auto"/>
        </w:rPr>
      </w:pPr>
      <w:r>
        <w:rPr>
          <w:rFonts w:ascii="Arial" w:cs="Arial" w:eastAsia="Arial" w:hAnsi="Arial"/>
          <w:sz w:val="22"/>
          <w:szCs w:val="22"/>
          <w:color w:val="auto"/>
        </w:rPr>
        <w:t>The contract or transaction is fair as to the Corporation as of the time it is authorized, approved or ratified, by the Board of Directors, a committee thereof, or the stockholders.</w:t>
      </w:r>
    </w:p>
    <w:p>
      <w:pPr>
        <w:spacing w:after="0" w:line="160" w:lineRule="exact"/>
        <w:rPr>
          <w:rFonts w:ascii="Arial" w:cs="Arial" w:eastAsia="Arial" w:hAnsi="Arial"/>
          <w:sz w:val="22"/>
          <w:szCs w:val="22"/>
          <w:color w:val="auto"/>
        </w:rPr>
      </w:pPr>
    </w:p>
    <w:p>
      <w:pPr>
        <w:ind w:firstLine="1305"/>
        <w:spacing w:after="0" w:line="276" w:lineRule="auto"/>
        <w:tabs>
          <w:tab w:leader="none" w:pos="1823" w:val="left"/>
        </w:tabs>
        <w:numPr>
          <w:ilvl w:val="0"/>
          <w:numId w:val="40"/>
        </w:numPr>
        <w:rPr>
          <w:rFonts w:ascii="Arial" w:cs="Arial" w:eastAsia="Arial" w:hAnsi="Arial"/>
          <w:sz w:val="22"/>
          <w:szCs w:val="22"/>
          <w:color w:val="auto"/>
        </w:rPr>
      </w:pPr>
      <w:r>
        <w:rPr>
          <w:rFonts w:ascii="Arial" w:cs="Arial" w:eastAsia="Arial" w:hAnsi="Arial"/>
          <w:sz w:val="22"/>
          <w:szCs w:val="22"/>
          <w:color w:val="auto"/>
        </w:rPr>
        <w:t>Interested directors may be counted in determining the presence of a quorum at a meeting of the Board of Directors or of a committee which authorizes the contract or transaction.</w:t>
      </w:r>
    </w:p>
    <w:p>
      <w:pPr>
        <w:spacing w:after="0" w:line="15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u w:val="single" w:color="auto"/>
          <w:color w:val="auto"/>
        </w:rPr>
        <w:t>Section 3.15 Compensation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directors may be paid their expenses, if any, of attendance at each meeting of the</w:t>
      </w:r>
      <w:r>
        <w:rPr>
          <w:rFonts w:ascii="Arial" w:cs="Arial" w:eastAsia="Arial" w:hAnsi="Arial"/>
          <w:sz w:val="22"/>
          <w:szCs w:val="22"/>
          <w:b w:val="1"/>
          <w:bCs w:val="1"/>
          <w:color w:val="auto"/>
        </w:rPr>
        <w:t xml:space="preserve"> </w:t>
      </w:r>
      <w:r>
        <w:rPr>
          <w:rFonts w:ascii="Arial" w:cs="Arial" w:eastAsia="Arial" w:hAnsi="Arial"/>
          <w:sz w:val="22"/>
          <w:szCs w:val="22"/>
          <w:color w:val="auto"/>
        </w:rPr>
        <w:t>Board of Directors and at each meeting of a committee of the Board of Directors of which they are members. The Board of Directors, irrespective of any personal interest of any of its members, sha11 have authority to fix compensation of all directors for services to the Corporation as directors, officers or otherwise.</w:t>
      </w:r>
    </w:p>
    <w:p>
      <w:pPr>
        <w:spacing w:after="0" w:line="17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b w:val="1"/>
          <w:bCs w:val="1"/>
          <w:u w:val="single" w:color="auto"/>
          <w:color w:val="auto"/>
        </w:rPr>
        <w:t>Section 3.16 Rights of Holders of the Corporation’s Series A Convertible Preferred Stock</w:t>
      </w:r>
      <w:r>
        <w:rPr>
          <w:rFonts w:ascii="Arial" w:cs="Arial" w:eastAsia="Arial" w:hAnsi="Arial"/>
          <w:sz w:val="19"/>
          <w:szCs w:val="19"/>
          <w:b w:val="1"/>
          <w:bCs w:val="1"/>
          <w:color w:val="auto"/>
        </w:rPr>
        <w:t xml:space="preserve">. </w:t>
      </w:r>
      <w:r>
        <w:rPr>
          <w:rFonts w:ascii="Arial" w:cs="Arial" w:eastAsia="Arial" w:hAnsi="Arial"/>
          <w:sz w:val="19"/>
          <w:szCs w:val="19"/>
          <w:color w:val="auto"/>
        </w:rPr>
        <w:t>So long as the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Corporation’s Series A Convertible Preferred Stock remains outstanding, the holders of the Series A Convertible Preferred Stock shall be entitled to attend all meetings of the Board of Directors and any Executive Committee thereof as observers only and shall receive such advance notice of such meetings as the directors shall receive. This Section 3.16 may not be amended, altered, or repealed, except by the holders of a majority of the outstanding Series A Convertible Preferred Stock, if any.</w:t>
      </w:r>
    </w:p>
    <w:p>
      <w:pPr>
        <w:spacing w:after="0" w:line="138"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u w:val="single" w:color="auto"/>
          <w:color w:val="auto"/>
        </w:rPr>
        <w:t>ARTICLE IV</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STOCKHOLDER NOMINATION OF DIRECTOR CANDIDATES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- 10 -</w:t>
      </w:r>
    </w:p>
    <w:p>
      <w:pPr>
        <w:sectPr>
          <w:pgSz w:w="11900" w:h="16838" w:orient="portrait"/>
          <w:cols w:equalWidth="0" w:num="1">
            <w:col w:w="11420"/>
          </w:cols>
          <w:pgMar w:left="240" w:top="375" w:right="239" w:bottom="1440" w:gutter="0" w:footer="0" w:header="0"/>
        </w:sectPr>
      </w:pPr>
    </w:p>
    <w:bookmarkStart w:id="99" w:name="page100"/>
    <w:bookmarkEnd w:id="99"/>
    <w:p>
      <w:pPr>
        <w:jc w:val="both"/>
        <w:ind w:firstLine="648"/>
        <w:spacing w:after="0" w:line="285" w:lineRule="auto"/>
        <w:rPr>
          <w:sz w:val="20"/>
          <w:szCs w:val="20"/>
          <w:color w:val="auto"/>
        </w:rPr>
      </w:pPr>
      <w:r>
        <w:rPr>
          <w:rFonts w:ascii="Arial" w:cs="Arial" w:eastAsia="Arial" w:hAnsi="Arial"/>
          <w:sz w:val="19"/>
          <w:szCs w:val="19"/>
          <w:color w:val="auto"/>
        </w:rPr>
        <w:t>Subject to the rights of' holders of any class or series of stock having a preference over the Common Stock as to dividends or upon liquidation, nominations for the election of directors may be made by the Board of Directors or a committee appointed by the Board of Directors or by any stockholder entitled to vote in the election of directors generally. However, any stockholder entitled to vote in the election of directors generally may nominate one or more persons for election as directors at a meeting only if written notice of such stockholder's intent to make such nomination or nominations has been given, either by personal delivery or by United States mail, postage prepaid, to the Secretary of the Corporation not later than (i) with respect to an election to be held at an annual meeting of stockholders, one hundred twenty {120) days in advance of the date of the proxy statement released to stockholders in connection with the previous year's annual meeting of stockholders, and (ii) with respect to an election to be held at a special meeting of stockholders for the election of directors, a reasonable time in advance of the meeting. For purposes of this Section, a "reasonable time in advance of the meeting" is at least fifteen (15) days before the date that the proxy statement in connection with such meeting is to be mailed to the stockholders. Each such notice shall set forth: (a) the name and address of the stockholder who intends to make the nomination and of the person and persons to be nominated; (b) a representation that the stockholder is a holder of record of stock of the Corporation entitled to vote at such meeting and intends to appear in person or at the meeting to nominate the by proxy person or persons specified in the notice; (c) a description of all arrangements or understandings between the stockholder and each nominee and any other person or persons (naming such person or persons) pursuant to which the nomination or nominations are to be made by the stockholder; (d) such other information regarding each nominee proposed by such stockholder as would be required to be included in a proxy statement filed pursuant to the proxy rules of the Securities and Exchange Commission, had the nominee been nominated, or intended to be nominated, by the Board of Directors; and (e) the consent of each nominee to serve as a director of the Corporation if so elected. The presiding officer at the meeting may refuse to acknowledge the nomination of any person not made in compliance with the foregoing procedure.</w:t>
      </w:r>
    </w:p>
    <w:p>
      <w:pPr>
        <w:spacing w:after="0" w:line="153" w:lineRule="exact"/>
        <w:rPr>
          <w:sz w:val="20"/>
          <w:szCs w:val="20"/>
          <w:color w:val="auto"/>
        </w:rPr>
      </w:pPr>
    </w:p>
    <w:p>
      <w:pPr>
        <w:ind w:left="5000"/>
        <w:spacing w:after="0"/>
        <w:rPr>
          <w:sz w:val="20"/>
          <w:szCs w:val="20"/>
          <w:color w:val="auto"/>
        </w:rPr>
      </w:pPr>
      <w:r>
        <w:rPr>
          <w:rFonts w:ascii="Arial" w:cs="Arial" w:eastAsia="Arial" w:hAnsi="Arial"/>
          <w:sz w:val="22"/>
          <w:szCs w:val="22"/>
          <w:b w:val="1"/>
          <w:bCs w:val="1"/>
          <w:u w:val="single" w:color="auto"/>
          <w:color w:val="auto"/>
        </w:rPr>
        <w:t>ARTICLE V</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COMMITTEES</w:t>
      </w:r>
    </w:p>
    <w:p>
      <w:pPr>
        <w:spacing w:after="0" w:line="22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u w:val="single" w:color="auto"/>
          <w:color w:val="auto"/>
        </w:rPr>
        <w:t>Section 5.1 Appointment and Powers</w:t>
      </w:r>
      <w:r>
        <w:rPr>
          <w:rFonts w:ascii="Arial" w:cs="Arial" w:eastAsia="Arial" w:hAnsi="Arial"/>
          <w:sz w:val="19"/>
          <w:szCs w:val="19"/>
          <w:b w:val="1"/>
          <w:bCs w:val="1"/>
          <w:color w:val="auto"/>
        </w:rPr>
        <w:t xml:space="preserve">. </w:t>
      </w:r>
      <w:r>
        <w:rPr>
          <w:rFonts w:ascii="Arial" w:cs="Arial" w:eastAsia="Arial" w:hAnsi="Arial"/>
          <w:sz w:val="19"/>
          <w:szCs w:val="19"/>
          <w:color w:val="auto"/>
        </w:rPr>
        <w:t>The Board of Directors may, by resolution passed by a majority of the whole</w:t>
      </w:r>
      <w:r>
        <w:rPr>
          <w:rFonts w:ascii="Arial" w:cs="Arial" w:eastAsia="Arial" w:hAnsi="Arial"/>
          <w:sz w:val="19"/>
          <w:szCs w:val="19"/>
          <w:b w:val="1"/>
          <w:bCs w:val="1"/>
          <w:color w:val="auto"/>
        </w:rPr>
        <w:t xml:space="preserve"> </w:t>
      </w:r>
      <w:r>
        <w:rPr>
          <w:rFonts w:ascii="Arial" w:cs="Arial" w:eastAsia="Arial" w:hAnsi="Arial"/>
          <w:sz w:val="19"/>
          <w:szCs w:val="19"/>
          <w:color w:val="auto"/>
        </w:rPr>
        <w:t>Board, designate one or more committees, each committee to consist of one or more of the directors of the Corporation which, to the extent provided in said resolution or in these By-laws,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of the Corporation, as may be amended or restated from time to time (except that any such committee may, to the extent authorized in the resolution or resolutions providing for the issuance of such shares of stock adopted by the Board of Directors, fix the designations and any of the preferences or rights of such shares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- 11 -</w:t>
      </w:r>
    </w:p>
    <w:p>
      <w:pPr>
        <w:sectPr>
          <w:pgSz w:w="11900" w:h="16838" w:orient="portrait"/>
          <w:cols w:equalWidth="0" w:num="1">
            <w:col w:w="11420"/>
          </w:cols>
          <w:pgMar w:left="240" w:top="375" w:right="239" w:bottom="1440" w:gutter="0" w:footer="0" w:header="0"/>
        </w:sectPr>
      </w:pPr>
    </w:p>
    <w:bookmarkStart w:id="100" w:name="page101"/>
    <w:bookmarkEnd w:id="100"/>
    <w:p>
      <w:pPr>
        <w:jc w:val="both"/>
        <w:spacing w:after="0" w:line="289" w:lineRule="auto"/>
        <w:rPr>
          <w:sz w:val="20"/>
          <w:szCs w:val="20"/>
          <w:color w:val="auto"/>
        </w:rPr>
      </w:pPr>
      <w:r>
        <w:rPr>
          <w:rFonts w:ascii="Arial" w:cs="Arial" w:eastAsia="Arial" w:hAnsi="Arial"/>
          <w:sz w:val="19"/>
          <w:szCs w:val="19"/>
          <w:color w:val="auto"/>
        </w:rPr>
        <w:t>relating to dividends, redemption, dissolution, any distribution of assets of the Corporation or the conversion into, or the exchange of such shares for, shares of any other class or classes or any other series of the same or any other class or classes of stock of the Corporation or fix the number of shares of any series of stock or authorize the increase or decrease of the shares of any series), adopting an agreement of merger or consolidation, recommending to the stockholders the sale, lease or exchange of all or substantially all of the Corporation's property and assets, recommending to the stockholders a dissolution of the Corporation or a revocation thereof, or amending the By-laws; and, unless the resolution, By-laws, or Certificate of Incorporation of the Corporation, as may be amended or restated from time to time, expressly so provide, no such committee shall have the power or authority to declare a dividend, to authorize the issuance of stock, or to adopt a certificate of ownership and merger pursuant to Section 253 of the General Corporation Law of the State of Delaware.</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u w:val="single" w:color="auto"/>
          <w:color w:val="auto"/>
        </w:rPr>
        <w:t>Section 5.2 Absence or Disqualification of Committee Member</w:t>
      </w:r>
      <w:r>
        <w:rPr>
          <w:rFonts w:ascii="Arial" w:cs="Arial" w:eastAsia="Arial" w:hAnsi="Arial"/>
          <w:sz w:val="22"/>
          <w:szCs w:val="22"/>
          <w:b w:val="1"/>
          <w:bCs w:val="1"/>
          <w:color w:val="auto"/>
        </w:rPr>
        <w:t xml:space="preserve">. </w:t>
      </w:r>
      <w:r>
        <w:rPr>
          <w:rFonts w:ascii="Arial" w:cs="Arial" w:eastAsia="Arial" w:hAnsi="Arial"/>
          <w:sz w:val="22"/>
          <w:szCs w:val="22"/>
          <w:color w:val="auto"/>
        </w:rPr>
        <w:t>In the absence or disqualification of any member of</w:t>
      </w:r>
      <w:r>
        <w:rPr>
          <w:rFonts w:ascii="Arial" w:cs="Arial" w:eastAsia="Arial" w:hAnsi="Arial"/>
          <w:sz w:val="22"/>
          <w:szCs w:val="22"/>
          <w:b w:val="1"/>
          <w:bCs w:val="1"/>
          <w:color w:val="auto"/>
        </w:rPr>
        <w:t xml:space="preserve"> </w:t>
      </w:r>
      <w:r>
        <w:rPr>
          <w:rFonts w:ascii="Arial" w:cs="Arial" w:eastAsia="Arial" w:hAnsi="Arial"/>
          <w:sz w:val="22"/>
          <w:szCs w:val="22"/>
          <w:color w:val="auto"/>
        </w:rPr>
        <w:t>such committee, the member or members thereof present at any meeting and not disqualified from voting, whether or not they constitute a quorum, may unanimously appoint another member of the Board of Directors to act at the meeting in the place of any such absent or disqualified member.</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u w:val="single" w:color="auto"/>
          <w:color w:val="auto"/>
        </w:rPr>
        <w:t>Section 5.3 Record of Proceedings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committees shall keep regular minutes of their proceedings and when required</w:t>
      </w:r>
      <w:r>
        <w:rPr>
          <w:rFonts w:ascii="Arial" w:cs="Arial" w:eastAsia="Arial" w:hAnsi="Arial"/>
          <w:sz w:val="22"/>
          <w:szCs w:val="22"/>
          <w:b w:val="1"/>
          <w:bCs w:val="1"/>
          <w:color w:val="auto"/>
        </w:rPr>
        <w:t xml:space="preserve"> </w:t>
      </w:r>
      <w:r>
        <w:rPr>
          <w:rFonts w:ascii="Arial" w:cs="Arial" w:eastAsia="Arial" w:hAnsi="Arial"/>
          <w:sz w:val="22"/>
          <w:szCs w:val="22"/>
          <w:color w:val="auto"/>
        </w:rPr>
        <w:t>by the Board of Directors shall report the same to the Board of Directors.</w:t>
      </w:r>
    </w:p>
    <w:p>
      <w:pPr>
        <w:spacing w:after="0" w:line="148"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ARTICLE VI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OFFICERS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u w:val="single" w:color="auto"/>
          <w:color w:val="auto"/>
        </w:rPr>
        <w:t>Section 6.1 Number and Titles</w:t>
      </w:r>
      <w:r>
        <w:rPr>
          <w:rFonts w:ascii="Arial" w:cs="Arial" w:eastAsia="Arial" w:hAnsi="Arial"/>
          <w:sz w:val="22"/>
          <w:szCs w:val="22"/>
          <w:b w:val="1"/>
          <w:bCs w:val="1"/>
          <w:color w:val="auto"/>
        </w:rPr>
        <w:t xml:space="preserve">. </w:t>
      </w:r>
      <w:r>
        <w:rPr>
          <w:rFonts w:ascii="Arial" w:cs="Arial" w:eastAsia="Arial" w:hAnsi="Arial"/>
          <w:sz w:val="22"/>
          <w:szCs w:val="22"/>
          <w:color w:val="auto"/>
        </w:rPr>
        <w:t>The officers of the Corporation shall be a Chairman of the Board, a President, a Chief</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Officer, a Secretary, and a Treasurer. The Board of Directors may appoint such vice presidents, assistant secretaries and assistant treasurers and such other officers and agents as it shall deem necessary who shall hold their offices for such terms and shall exercise such powers and perform such duties as shall be determined from time to time by the Board. Any two or more offices may be held by the same person.</w:t>
      </w:r>
    </w:p>
    <w:p>
      <w:pPr>
        <w:spacing w:after="0" w:line="17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b w:val="1"/>
          <w:bCs w:val="1"/>
          <w:u w:val="single" w:color="auto"/>
          <w:color w:val="auto"/>
        </w:rPr>
        <w:t>Section 6.2 Election, Term of Office and Qualifications</w:t>
      </w:r>
      <w:r>
        <w:rPr>
          <w:rFonts w:ascii="Arial" w:cs="Arial" w:eastAsia="Arial" w:hAnsi="Arial"/>
          <w:sz w:val="22"/>
          <w:szCs w:val="22"/>
          <w:b w:val="1"/>
          <w:bCs w:val="1"/>
          <w:color w:val="auto"/>
        </w:rPr>
        <w:t xml:space="preserve">. </w:t>
      </w:r>
      <w:r>
        <w:rPr>
          <w:rFonts w:ascii="Arial" w:cs="Arial" w:eastAsia="Arial" w:hAnsi="Arial"/>
          <w:sz w:val="22"/>
          <w:szCs w:val="22"/>
          <w:color w:val="auto"/>
        </w:rPr>
        <w:t>The officers shall be elected annually by the Board of</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at the first meeting of the Board of Directors held after the annual meeting of stockholders. If the election of officers is not held at such meeting, such election shall be held as soon thereafter as may be convenient. Vacancies may be filled or new offices created and filled at any meeting of the Board of Directors. Each officer shall be elected to hold office until his successor shall have been elected and qualified, or until his earlier death, resignation or removal. Election of an officer shall not of itself create contract rights.</w:t>
      </w:r>
    </w:p>
    <w:p>
      <w:pPr>
        <w:spacing w:after="0" w:line="18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b w:val="1"/>
          <w:bCs w:val="1"/>
          <w:u w:val="single" w:color="auto"/>
          <w:color w:val="auto"/>
        </w:rPr>
        <w:t>Section 6.3 Removal</w:t>
      </w:r>
      <w:r>
        <w:rPr>
          <w:rFonts w:ascii="Arial" w:cs="Arial" w:eastAsia="Arial" w:hAnsi="Arial"/>
          <w:sz w:val="22"/>
          <w:szCs w:val="22"/>
          <w:b w:val="1"/>
          <w:bCs w:val="1"/>
          <w:color w:val="auto"/>
        </w:rPr>
        <w:t xml:space="preserve">. </w:t>
      </w:r>
      <w:r>
        <w:rPr>
          <w:rFonts w:ascii="Arial" w:cs="Arial" w:eastAsia="Arial" w:hAnsi="Arial"/>
          <w:sz w:val="22"/>
          <w:szCs w:val="22"/>
          <w:color w:val="auto"/>
        </w:rPr>
        <w:t>Any officer may be removed by the Board of Directors whenever in its judgment the best</w:t>
      </w:r>
      <w:r>
        <w:rPr>
          <w:rFonts w:ascii="Arial" w:cs="Arial" w:eastAsia="Arial" w:hAnsi="Arial"/>
          <w:sz w:val="22"/>
          <w:szCs w:val="22"/>
          <w:b w:val="1"/>
          <w:bCs w:val="1"/>
          <w:color w:val="auto"/>
        </w:rPr>
        <w:t xml:space="preserve"> </w:t>
      </w:r>
      <w:r>
        <w:rPr>
          <w:rFonts w:ascii="Arial" w:cs="Arial" w:eastAsia="Arial" w:hAnsi="Arial"/>
          <w:sz w:val="22"/>
          <w:szCs w:val="22"/>
          <w:color w:val="auto"/>
        </w:rPr>
        <w:t>interests of the Corporation will be sewed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- 12 -</w:t>
      </w:r>
    </w:p>
    <w:p>
      <w:pPr>
        <w:sectPr>
          <w:pgSz w:w="11900" w:h="16838" w:orient="portrait"/>
          <w:cols w:equalWidth="0" w:num="1">
            <w:col w:w="11420"/>
          </w:cols>
          <w:pgMar w:left="240" w:top="375" w:right="23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color w:val="auto"/>
        </w:rPr>
        <w:t>thereby, but such removal shall be without prejudice to the contract rights, if any, of the person so removed.</w:t>
      </w:r>
    </w:p>
    <w:p>
      <w:pPr>
        <w:spacing w:after="0" w:line="21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1"/>
          <w:szCs w:val="21"/>
          <w:b w:val="1"/>
          <w:bCs w:val="1"/>
          <w:u w:val="single" w:color="auto"/>
          <w:color w:val="auto"/>
        </w:rPr>
        <w:t>Section 6.4 Resignation</w:t>
      </w:r>
      <w:r>
        <w:rPr>
          <w:rFonts w:ascii="Arial" w:cs="Arial" w:eastAsia="Arial" w:hAnsi="Arial"/>
          <w:sz w:val="21"/>
          <w:szCs w:val="21"/>
          <w:b w:val="1"/>
          <w:bCs w:val="1"/>
          <w:color w:val="auto"/>
        </w:rPr>
        <w:t xml:space="preserve">. </w:t>
      </w:r>
      <w:r>
        <w:rPr>
          <w:rFonts w:ascii="Arial" w:cs="Arial" w:eastAsia="Arial" w:hAnsi="Arial"/>
          <w:sz w:val="21"/>
          <w:szCs w:val="21"/>
          <w:color w:val="auto"/>
        </w:rPr>
        <w:t>Any officer may resign at any time by giving written notice to the Board of Directors, the</w:t>
      </w:r>
      <w:r>
        <w:rPr>
          <w:rFonts w:ascii="Arial" w:cs="Arial" w:eastAsia="Arial" w:hAnsi="Arial"/>
          <w:sz w:val="21"/>
          <w:szCs w:val="21"/>
          <w:b w:val="1"/>
          <w:bCs w:val="1"/>
          <w:color w:val="auto"/>
        </w:rPr>
        <w:t xml:space="preserve"> </w:t>
      </w:r>
      <w:r>
        <w:rPr>
          <w:rFonts w:ascii="Arial" w:cs="Arial" w:eastAsia="Arial" w:hAnsi="Arial"/>
          <w:sz w:val="21"/>
          <w:szCs w:val="21"/>
          <w:color w:val="auto"/>
        </w:rPr>
        <w:t>Chairman of the Board, the President or the Secretary. Such resignation shall take effect at the time specified therein; and, unless tendered to take effect upon acceptance thereof, the acceptance of such resignation shall not be necessary to make it effective; provided, however that the acceptance or deemed acceptance of such resignation by the Corporation shall be without prejudice to the contract rights, if any, of the Corporation with respect to such person so resigning.</w:t>
      </w:r>
    </w:p>
    <w:p>
      <w:pPr>
        <w:spacing w:after="0" w:line="164"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22"/>
          <w:szCs w:val="22"/>
          <w:b w:val="1"/>
          <w:bCs w:val="1"/>
          <w:u w:val="single" w:color="auto"/>
          <w:color w:val="auto"/>
        </w:rPr>
        <w:t>Section 6.5 Duties</w:t>
      </w:r>
      <w:r>
        <w:rPr>
          <w:rFonts w:ascii="Arial" w:cs="Arial" w:eastAsia="Arial" w:hAnsi="Arial"/>
          <w:sz w:val="22"/>
          <w:szCs w:val="22"/>
          <w:b w:val="1"/>
          <w:bCs w:val="1"/>
          <w:color w:val="auto"/>
        </w:rPr>
        <w:t xml:space="preserve">. </w:t>
      </w:r>
      <w:r>
        <w:rPr>
          <w:rFonts w:ascii="Arial" w:cs="Arial" w:eastAsia="Arial" w:hAnsi="Arial"/>
          <w:sz w:val="22"/>
          <w:szCs w:val="22"/>
          <w:color w:val="auto"/>
        </w:rPr>
        <w:t>In addition to and to the extent not inconsistent with the provisions of these By-laws, the officers</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such authority, be subject to such restrictions, and perform such duties in the management of the business, property and affairs of the Corporation as may be determined from time to time by the Board of Directors.</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1"/>
          <w:szCs w:val="21"/>
          <w:b w:val="1"/>
          <w:bCs w:val="1"/>
          <w:u w:val="single" w:color="auto"/>
          <w:color w:val="auto"/>
        </w:rPr>
        <w:t>Section 6.6 Chairman of the Board</w:t>
      </w:r>
      <w:r>
        <w:rPr>
          <w:rFonts w:ascii="Arial" w:cs="Arial" w:eastAsia="Arial" w:hAnsi="Arial"/>
          <w:sz w:val="21"/>
          <w:szCs w:val="21"/>
          <w:b w:val="1"/>
          <w:bCs w:val="1"/>
          <w:color w:val="auto"/>
        </w:rPr>
        <w:t xml:space="preserve">. </w:t>
      </w:r>
      <w:r>
        <w:rPr>
          <w:rFonts w:ascii="Arial" w:cs="Arial" w:eastAsia="Arial" w:hAnsi="Arial"/>
          <w:sz w:val="21"/>
          <w:szCs w:val="21"/>
          <w:color w:val="auto"/>
        </w:rPr>
        <w:t>The Chairman of the Board shall be a member of the Board of Directors and shall</w:t>
      </w:r>
      <w:r>
        <w:rPr>
          <w:rFonts w:ascii="Arial" w:cs="Arial" w:eastAsia="Arial" w:hAnsi="Arial"/>
          <w:sz w:val="21"/>
          <w:szCs w:val="21"/>
          <w:b w:val="1"/>
          <w:bCs w:val="1"/>
          <w:color w:val="auto"/>
        </w:rPr>
        <w:t xml:space="preserve"> </w:t>
      </w:r>
      <w:r>
        <w:rPr>
          <w:rFonts w:ascii="Arial" w:cs="Arial" w:eastAsia="Arial" w:hAnsi="Arial"/>
          <w:sz w:val="21"/>
          <w:szCs w:val="21"/>
          <w:color w:val="auto"/>
        </w:rPr>
        <w:t>preside at all meetings of the stockholders and of the Board of Directors of the Corporation. The Chairman may be given supervisory authority in specific matters by action of the Board of Directors and shall have the authority to perform such other duties as may be prescribed by the Board of Directors from time to time. When authorized or directed by the Board of Directors, the Chairman shall execute instruments and contracts on behalf of the Corporation.</w:t>
      </w:r>
    </w:p>
    <w:p>
      <w:pPr>
        <w:spacing w:after="0" w:line="16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u w:val="single" w:color="auto"/>
          <w:color w:val="auto"/>
        </w:rPr>
        <w:t>Section 6.7 President</w:t>
      </w:r>
      <w:r>
        <w:rPr>
          <w:rFonts w:ascii="Arial" w:cs="Arial" w:eastAsia="Arial" w:hAnsi="Arial"/>
          <w:sz w:val="19"/>
          <w:szCs w:val="19"/>
          <w:b w:val="1"/>
          <w:bCs w:val="1"/>
          <w:color w:val="auto"/>
        </w:rPr>
        <w:t xml:space="preserve">. </w:t>
      </w:r>
      <w:r>
        <w:rPr>
          <w:rFonts w:ascii="Arial" w:cs="Arial" w:eastAsia="Arial" w:hAnsi="Arial"/>
          <w:sz w:val="19"/>
          <w:szCs w:val="19"/>
          <w:color w:val="auto"/>
        </w:rPr>
        <w:t>The President shall be the chief executive officer of the Corporation. Subject to the control of the</w:t>
      </w:r>
      <w:r>
        <w:rPr>
          <w:rFonts w:ascii="Arial" w:cs="Arial" w:eastAsia="Arial" w:hAnsi="Arial"/>
          <w:sz w:val="19"/>
          <w:szCs w:val="19"/>
          <w:b w:val="1"/>
          <w:bCs w:val="1"/>
          <w:color w:val="auto"/>
        </w:rPr>
        <w:t xml:space="preserve"> </w:t>
      </w:r>
      <w:r>
        <w:rPr>
          <w:rFonts w:ascii="Arial" w:cs="Arial" w:eastAsia="Arial" w:hAnsi="Arial"/>
          <w:sz w:val="19"/>
          <w:szCs w:val="19"/>
          <w:color w:val="auto"/>
        </w:rPr>
        <w:t>Board of Directors, the President shall, in general, supervise and manage the business and affairs of the Corporation and shall see that the resolutions and directions of the Board of Directors are carried into effect. Except in those instances in which the authority to execute is expressly delegated to another officer or agent of the Corporation or a different mode of execution is expressly prescribed by the Board of Directors or these By-laws or where otherwise required by law, the President may execute for the Corporation certificates for its shares of stock (the issuance of which shall have been authorized by the Board of Directors), and any contracts, deeds, mortgages, bonds or other instruments which the Board of Directors has authorized to be executed or the' execution of which is in the ordinary course of the Corporation's business, and the President may accomplish such execution either under or without the seal of the Corporation and either individually or with the Secretary, any Assistant Secretary, or any other officer authorized by the Board of Directors or these Bylaws. In the absence of the Chairman of the Board or in the event of his inability to act or while such office is vacant, the President shall perform the duties of the Chairman of the Board and when so acting shall have all of the powers and authority of, and shall be subject to all of the restrictions upon, the Chairman of the Board. Subject to Section 13.5 of these By-laws, the President may vote all securities which the Corporation is entitled to vote except as and to the extent such authority shall be vested in a different officer or agent of the Corporation by the Board of Directors.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- 13 -</w:t>
      </w:r>
    </w:p>
    <w:p>
      <w:pPr>
        <w:sectPr>
          <w:pgSz w:w="11900" w:h="16838" w:orient="portrait"/>
          <w:cols w:equalWidth="0" w:num="1">
            <w:col w:w="11420"/>
          </w:cols>
          <w:pgMar w:left="240" w:top="375" w:right="239" w:bottom="1440" w:gutter="0" w:footer="0" w:header="0"/>
        </w:sectPr>
      </w:pPr>
    </w:p>
    <w:bookmarkStart w:id="102" w:name="page103"/>
    <w:bookmarkEnd w:id="102"/>
    <w:p>
      <w:pPr>
        <w:jc w:val="both"/>
        <w:ind w:firstLine="648"/>
        <w:spacing w:after="0" w:line="288" w:lineRule="auto"/>
        <w:rPr>
          <w:sz w:val="20"/>
          <w:szCs w:val="20"/>
          <w:color w:val="auto"/>
        </w:rPr>
      </w:pPr>
      <w:r>
        <w:rPr>
          <w:rFonts w:ascii="Arial" w:cs="Arial" w:eastAsia="Arial" w:hAnsi="Arial"/>
          <w:sz w:val="19"/>
          <w:szCs w:val="19"/>
          <w:b w:val="1"/>
          <w:bCs w:val="1"/>
          <w:u w:val="single" w:color="auto"/>
          <w:color w:val="auto"/>
        </w:rPr>
        <w:t>Section 6.8 Vice Presidents</w:t>
      </w:r>
      <w:r>
        <w:rPr>
          <w:rFonts w:ascii="Arial" w:cs="Arial" w:eastAsia="Arial" w:hAnsi="Arial"/>
          <w:sz w:val="19"/>
          <w:szCs w:val="19"/>
          <w:b w:val="1"/>
          <w:bCs w:val="1"/>
          <w:color w:val="auto"/>
        </w:rPr>
        <w:t xml:space="preserve">. </w:t>
      </w:r>
      <w:r>
        <w:rPr>
          <w:rFonts w:ascii="Arial" w:cs="Arial" w:eastAsia="Arial" w:hAnsi="Arial"/>
          <w:sz w:val="19"/>
          <w:szCs w:val="19"/>
          <w:color w:val="auto"/>
        </w:rPr>
        <w:t>In the absence of the President or in the event of his inability or refusal to act, the Vice</w:t>
      </w:r>
      <w:r>
        <w:rPr>
          <w:rFonts w:ascii="Arial" w:cs="Arial" w:eastAsia="Arial" w:hAnsi="Arial"/>
          <w:sz w:val="19"/>
          <w:szCs w:val="19"/>
          <w:b w:val="1"/>
          <w:bCs w:val="1"/>
          <w:color w:val="auto"/>
        </w:rPr>
        <w:t xml:space="preserve"> </w:t>
      </w:r>
      <w:r>
        <w:rPr>
          <w:rFonts w:ascii="Arial" w:cs="Arial" w:eastAsia="Arial" w:hAnsi="Arial"/>
          <w:sz w:val="19"/>
          <w:szCs w:val="19"/>
          <w:color w:val="auto"/>
        </w:rPr>
        <w:t>President, if one shall have been elected (or in the event there is more than one Vice President, the Vice President designated Executive vice President by the Board of Directors and thereafter, or in the absence of such other designation, the Vice Presidents in the order otherwise designated by the Board of Directors, or in the absence of such other designation, in the order of their election), shall perform the duties of the President, and when so acting, shall have all the authority of and be subject to all the restrictions upon the President. Except in those instances in which the authority to execute is expressly delegated to another officer or agent of the Corporation or a different mode of execution is expressly prescribed by the Board of Directors or these By-laws or where otherwise required by law, the Vice President (or each of them if there are more than one) may execute for the Corporation certificates for its shares of stock (the issuance of which shall have been authorized by the Board of Directors), and any contracts, deeds, mortgages, bonds or other instruments which the Board of Directors has authorized to be executed, and he may accomplish such execution either under or without the seal of the Corporation and either individually or with the Secretary, any Assistant Secretary, or any other officer thereunto authorized by the Board of Directors or these By-laws. The Vice Presidents shall perform such other duties as from time to time may be prescribed by the President or the Board of Directors.</w:t>
      </w:r>
    </w:p>
    <w:p>
      <w:pPr>
        <w:spacing w:after="0" w:line="15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u w:val="single" w:color="auto"/>
          <w:color w:val="auto"/>
        </w:rPr>
        <w:t>Section 6.9 Chief Financial Officer</w:t>
      </w:r>
      <w:r>
        <w:rPr>
          <w:rFonts w:ascii="Arial" w:cs="Arial" w:eastAsia="Arial" w:hAnsi="Arial"/>
          <w:sz w:val="19"/>
          <w:szCs w:val="19"/>
          <w:b w:val="1"/>
          <w:bCs w:val="1"/>
          <w:color w:val="auto"/>
        </w:rPr>
        <w:t xml:space="preserve">. </w:t>
      </w:r>
      <w:r>
        <w:rPr>
          <w:rFonts w:ascii="Arial" w:cs="Arial" w:eastAsia="Arial" w:hAnsi="Arial"/>
          <w:sz w:val="19"/>
          <w:szCs w:val="19"/>
          <w:color w:val="auto"/>
        </w:rPr>
        <w:t>The Chief Financial Officer shall be the principal financial and accounting officer</w:t>
      </w:r>
      <w:r>
        <w:rPr>
          <w:rFonts w:ascii="Arial" w:cs="Arial" w:eastAsia="Arial" w:hAnsi="Arial"/>
          <w:sz w:val="19"/>
          <w:szCs w:val="19"/>
          <w:b w:val="1"/>
          <w:bCs w:val="1"/>
          <w:color w:val="auto"/>
        </w:rPr>
        <w:t xml:space="preserve"> </w:t>
      </w:r>
      <w:r>
        <w:rPr>
          <w:rFonts w:ascii="Arial" w:cs="Arial" w:eastAsia="Arial" w:hAnsi="Arial"/>
          <w:sz w:val="19"/>
          <w:szCs w:val="19"/>
          <w:color w:val="auto"/>
        </w:rPr>
        <w:t>of the Corporation, shall perform all duties incident to Chief Financial Officer and such other duties as from time to time may be assigned by the President. Without limiting the foregoing, the Chief Financial Officer shall have primary responsibility for the Corporation's financial affairs; including without limitation, (a) keeping or causing to be kept correct and complete books and records of account, including a record of all receipts and disbursements; and (b) preparing or causing to be prepared, from time to time, financial statements of the Corporation at the request of the President or the Board of Directors.</w:t>
      </w:r>
    </w:p>
    <w:p>
      <w:pPr>
        <w:spacing w:after="0" w:line="14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u w:val="single" w:color="auto"/>
          <w:color w:val="auto"/>
        </w:rPr>
        <w:t>Section 6.10 Treasurer</w:t>
      </w:r>
      <w:r>
        <w:rPr>
          <w:rFonts w:ascii="Arial" w:cs="Arial" w:eastAsia="Arial" w:hAnsi="Arial"/>
          <w:sz w:val="19"/>
          <w:szCs w:val="19"/>
          <w:b w:val="1"/>
          <w:bCs w:val="1"/>
          <w:color w:val="auto"/>
        </w:rPr>
        <w:t xml:space="preserve">. </w:t>
      </w:r>
      <w:r>
        <w:rPr>
          <w:rFonts w:ascii="Arial" w:cs="Arial" w:eastAsia="Arial" w:hAnsi="Arial"/>
          <w:sz w:val="19"/>
          <w:szCs w:val="19"/>
          <w:color w:val="auto"/>
        </w:rPr>
        <w:t>The Treasurer shall perform all the duties incident to the office of Treasurer and such other</w:t>
      </w:r>
      <w:r>
        <w:rPr>
          <w:rFonts w:ascii="Arial" w:cs="Arial" w:eastAsia="Arial" w:hAnsi="Arial"/>
          <w:sz w:val="19"/>
          <w:szCs w:val="19"/>
          <w:b w:val="1"/>
          <w:bCs w:val="1"/>
          <w:color w:val="auto"/>
        </w:rPr>
        <w:t xml:space="preserve"> </w:t>
      </w:r>
      <w:r>
        <w:rPr>
          <w:rFonts w:ascii="Arial" w:cs="Arial" w:eastAsia="Arial" w:hAnsi="Arial"/>
          <w:sz w:val="19"/>
          <w:szCs w:val="19"/>
          <w:color w:val="auto"/>
        </w:rPr>
        <w:t>duties as from time to time may be assigned by the President or the Chief Financial Officer of the Corporation. Without limiting the foregoing, the Treasurer shall (a) have charge and custody of, and be responsible for, all funds and securities of the Corporation; and (b) deposit all funds and securities of the Corporation in such banks, trust companies or other depositaries as shall be selected in accordance with these By-laws. If required by the Board of Directors, the Treasurer shall give a bond for the faithful discharge of his duties in such sum and with such surety or sureties as the Board of Directors shall determine.</w:t>
      </w:r>
    </w:p>
    <w:p>
      <w:pPr>
        <w:spacing w:after="0" w:line="14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u w:val="single" w:color="auto"/>
          <w:color w:val="auto"/>
        </w:rPr>
        <w:t>Section 6.11 Secretary</w:t>
      </w:r>
      <w:r>
        <w:rPr>
          <w:rFonts w:ascii="Arial" w:cs="Arial" w:eastAsia="Arial" w:hAnsi="Arial"/>
          <w:sz w:val="22"/>
          <w:szCs w:val="22"/>
          <w:b w:val="1"/>
          <w:bCs w:val="1"/>
          <w:color w:val="auto"/>
        </w:rPr>
        <w:t xml:space="preserve">. </w:t>
      </w:r>
      <w:r>
        <w:rPr>
          <w:rFonts w:ascii="Arial" w:cs="Arial" w:eastAsia="Arial" w:hAnsi="Arial"/>
          <w:sz w:val="22"/>
          <w:szCs w:val="22"/>
          <w:color w:val="auto"/>
        </w:rPr>
        <w:t>The Secretary shall (a) keep the minutes of the proceedings of the stockholders and of the</w:t>
      </w:r>
      <w:r>
        <w:rPr>
          <w:rFonts w:ascii="Arial" w:cs="Arial" w:eastAsia="Arial" w:hAnsi="Arial"/>
          <w:sz w:val="22"/>
          <w:szCs w:val="22"/>
          <w:b w:val="1"/>
          <w:bCs w:val="1"/>
          <w:color w:val="auto"/>
        </w:rPr>
        <w:t xml:space="preserve"> </w:t>
      </w:r>
      <w:r>
        <w:rPr>
          <w:rFonts w:ascii="Arial" w:cs="Arial" w:eastAsia="Arial" w:hAnsi="Arial"/>
          <w:sz w:val="22"/>
          <w:szCs w:val="22"/>
          <w:color w:val="auto"/>
        </w:rPr>
        <w:t>Board of Directors in one or more books provided for that purpose; (b) see that all notices are duly given in accordance with the provisions of these By-laws or as required by the General Corporation Law of the State of Delaware; (c) be custodian of the corporate records and of the seal of the Corporation and see that the seal</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- 14 -</w:t>
      </w:r>
    </w:p>
    <w:p>
      <w:pPr>
        <w:sectPr>
          <w:pgSz w:w="11900" w:h="16838" w:orient="portrait"/>
          <w:cols w:equalWidth="0" w:num="1">
            <w:col w:w="11420"/>
          </w:cols>
          <w:pgMar w:left="240" w:top="369" w:right="239" w:bottom="1440" w:gutter="0" w:footer="0" w:header="0"/>
        </w:sectPr>
      </w:pPr>
    </w:p>
    <w:bookmarkStart w:id="103" w:name="page104"/>
    <w:bookmarkEnd w:id="103"/>
    <w:p>
      <w:pPr>
        <w:jc w:val="both"/>
        <w:spacing w:after="0" w:line="297" w:lineRule="auto"/>
        <w:rPr>
          <w:sz w:val="20"/>
          <w:szCs w:val="20"/>
          <w:color w:val="auto"/>
        </w:rPr>
      </w:pPr>
      <w:r>
        <w:rPr>
          <w:rFonts w:ascii="Arial" w:cs="Arial" w:eastAsia="Arial" w:hAnsi="Arial"/>
          <w:sz w:val="19"/>
          <w:szCs w:val="19"/>
          <w:color w:val="auto"/>
        </w:rPr>
        <w:t>of the Corporation is affixed to all stock certificates prior to the issue thereof and to all documents the execution of which on behalf of the Corporation under its seal is necessary or appropriate; (d) keep or cause to be kept a register of the name and address of each stockholder, which shall be furnished to the Corporation by each such stockholder, and the number and class of shares held by each stockholder; (e) have general charge of the stock transfer books; and (f) in general, perform all duties incident to the office of Secretary and such other duties as from time to time may be prescribed by the President or the Board of Directors,</w:t>
      </w:r>
    </w:p>
    <w:p>
      <w:pPr>
        <w:spacing w:after="0" w:line="14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u w:val="single" w:color="auto"/>
          <w:color w:val="auto"/>
        </w:rPr>
        <w:t>Section 6.12 Assistant Treasurers and Assistant Secretaries</w:t>
      </w:r>
      <w:r>
        <w:rPr>
          <w:rFonts w:ascii="Arial" w:cs="Arial" w:eastAsia="Arial" w:hAnsi="Arial"/>
          <w:sz w:val="19"/>
          <w:szCs w:val="19"/>
          <w:b w:val="1"/>
          <w:bCs w:val="1"/>
          <w:color w:val="auto"/>
        </w:rPr>
        <w:t xml:space="preserve">. </w:t>
      </w:r>
      <w:r>
        <w:rPr>
          <w:rFonts w:ascii="Arial" w:cs="Arial" w:eastAsia="Arial" w:hAnsi="Arial"/>
          <w:sz w:val="19"/>
          <w:szCs w:val="19"/>
          <w:color w:val="auto"/>
        </w:rPr>
        <w:t>In the absence of the Treasurer or Secretary or in the</w:t>
      </w:r>
      <w:r>
        <w:rPr>
          <w:rFonts w:ascii="Arial" w:cs="Arial" w:eastAsia="Arial" w:hAnsi="Arial"/>
          <w:sz w:val="19"/>
          <w:szCs w:val="19"/>
          <w:b w:val="1"/>
          <w:bCs w:val="1"/>
          <w:color w:val="auto"/>
        </w:rPr>
        <w:t xml:space="preserve"> </w:t>
      </w:r>
      <w:r>
        <w:rPr>
          <w:rFonts w:ascii="Arial" w:cs="Arial" w:eastAsia="Arial" w:hAnsi="Arial"/>
          <w:sz w:val="19"/>
          <w:szCs w:val="19"/>
          <w:color w:val="auto"/>
        </w:rPr>
        <w:t>event of the inability or refusal of the Treasurer or Secretary to act, the Assistant Treasurer and the Assistant Secretary (or in the event there is more than one of either, in the order designated by the Board of Directors or in the absence of such designation, in the order of their election) shall perform the duties of the Treasurer and Secretary, respectively, and when so acting, shall have all the authority of and be subject to all the restrictions upon such office. The Assistant Treasurers and Assistant Secretaries shall also perform such duties as from time to time may be prescribed by the Treasurer or the Secretary, respectively, or by the President or the Board of Directors. If required by the Board of Directors, an Assistant Treasurer shall give a bond for the faithful discharge of his duties in such sum and with such surety or sureties as the Board of Directors shall determine.</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u w:val="single" w:color="auto"/>
          <w:color w:val="auto"/>
        </w:rPr>
        <w:t>Section 6.13 Salaries</w:t>
      </w:r>
      <w:r>
        <w:rPr>
          <w:rFonts w:ascii="Arial" w:cs="Arial" w:eastAsia="Arial" w:hAnsi="Arial"/>
          <w:sz w:val="22"/>
          <w:szCs w:val="22"/>
          <w:b w:val="1"/>
          <w:bCs w:val="1"/>
          <w:color w:val="auto"/>
        </w:rPr>
        <w:t xml:space="preserve">. </w:t>
      </w:r>
      <w:r>
        <w:rPr>
          <w:rFonts w:ascii="Arial" w:cs="Arial" w:eastAsia="Arial" w:hAnsi="Arial"/>
          <w:sz w:val="22"/>
          <w:szCs w:val="22"/>
          <w:color w:val="auto"/>
        </w:rPr>
        <w:t>The salaries and additional compensation, if any, of the officers shall be determined from time to</w:t>
      </w:r>
      <w:r>
        <w:rPr>
          <w:rFonts w:ascii="Arial" w:cs="Arial" w:eastAsia="Arial" w:hAnsi="Arial"/>
          <w:sz w:val="22"/>
          <w:szCs w:val="22"/>
          <w:b w:val="1"/>
          <w:bCs w:val="1"/>
          <w:color w:val="auto"/>
        </w:rPr>
        <w:t xml:space="preserve"> </w:t>
      </w:r>
      <w:r>
        <w:rPr>
          <w:rFonts w:ascii="Arial" w:cs="Arial" w:eastAsia="Arial" w:hAnsi="Arial"/>
          <w:sz w:val="22"/>
          <w:szCs w:val="22"/>
          <w:color w:val="auto"/>
        </w:rPr>
        <w:t>time by the Board of Directors; provided, no officer shall be prevented from receiving such salary by reason of the fact that he is also a director of the Corporation.</w:t>
      </w:r>
    </w:p>
    <w:p>
      <w:pPr>
        <w:spacing w:after="0" w:line="171"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u w:val="single" w:color="auto"/>
          <w:color w:val="auto"/>
        </w:rPr>
        <w:t>ARTICLE VII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CERTIFICATES OF STOCK AND THEIR TRANSFER</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u w:val="single" w:color="auto"/>
          <w:color w:val="auto"/>
        </w:rPr>
        <w:t>Section 7.1 Shares Uncertificated</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otherwise provided in a resolution approved by the majority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present, all shares of the Corporation shall be uncertificated shares beginning on October 23, 2007. Notwithstanding the foregoing, shares represented by a certificate issued prior to October 23, 2007, share be certificated shares until such certificate is surrendered to this Corporation.</w:t>
      </w:r>
    </w:p>
    <w:p>
      <w:pPr>
        <w:spacing w:after="0" w:line="17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u w:val="single" w:color="auto"/>
          <w:color w:val="auto"/>
        </w:rPr>
        <w:t>Section 7.2 Transfer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The shares of the Corporation shall be transferable. The Corporation shall have a duty</w:t>
      </w:r>
      <w:r>
        <w:rPr>
          <w:rFonts w:ascii="Arial" w:cs="Arial" w:eastAsia="Arial" w:hAnsi="Arial"/>
          <w:sz w:val="19"/>
          <w:szCs w:val="19"/>
          <w:b w:val="1"/>
          <w:bCs w:val="1"/>
          <w:color w:val="auto"/>
        </w:rPr>
        <w:t xml:space="preserve"> </w:t>
      </w:r>
      <w:r>
        <w:rPr>
          <w:rFonts w:ascii="Arial" w:cs="Arial" w:eastAsia="Arial" w:hAnsi="Arial"/>
          <w:sz w:val="19"/>
          <w:szCs w:val="19"/>
          <w:color w:val="auto"/>
        </w:rPr>
        <w:t>to register any such transfer provided there is presented to the Corporation or its transfer agents reasonable assurance that any such transfer and related endorsement is genuine and effective; and, provided that (x) the Corporation has no duty to inquire into adverse claims or has discharged any such duty; (y) any applicable law relating to the collection of taxes has been complied with; and (z) the transfer is in fact rightful or is to a bonafide purchaser. Upon registration of such transfer upon the stock transfer books of the Corporation, the certificates representing the shares transferred, if any, shall be cancelled and the shares transferred to the new record holder shall be uncertificated. The terms and conditions' described in the foregoing provisions of</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- 15 -</w:t>
      </w:r>
    </w:p>
    <w:p>
      <w:pPr>
        <w:sectPr>
          <w:pgSz w:w="11900" w:h="16838" w:orient="portrait"/>
          <w:cols w:equalWidth="0" w:num="1">
            <w:col w:w="11420"/>
          </w:cols>
          <w:pgMar w:left="240" w:top="375" w:right="239" w:bottom="1440" w:gutter="0" w:footer="0" w:header="0"/>
        </w:sectPr>
      </w:pPr>
    </w:p>
    <w:bookmarkStart w:id="104" w:name="page105"/>
    <w:bookmarkEnd w:id="104"/>
    <w:p>
      <w:pPr>
        <w:jc w:val="both"/>
        <w:spacing w:after="0" w:line="248" w:lineRule="auto"/>
        <w:rPr>
          <w:sz w:val="20"/>
          <w:szCs w:val="20"/>
          <w:color w:val="auto"/>
        </w:rPr>
      </w:pPr>
      <w:r>
        <w:rPr>
          <w:rFonts w:ascii="Arial" w:cs="Arial" w:eastAsia="Arial" w:hAnsi="Arial"/>
          <w:sz w:val="22"/>
          <w:szCs w:val="22"/>
          <w:color w:val="auto"/>
        </w:rPr>
        <w:t>this Section shall be construed in accordance with the provisions of the Delaware Uniform Commercial Code, except as otherwise provided by the General Corporation Law of the State of Delaware. No new shares shall be issued until a like number of shares shall have been surrendered and cancelled. In case of a lost, destroyed, wrongfully taken or mutilated certificate new shares may be issued therefor upon such terms and indemnity to the Corporation as the President or the Board of Directors may prescribe consistent with applicable law.</w:t>
      </w:r>
    </w:p>
    <w:p>
      <w:pPr>
        <w:spacing w:after="0" w:line="186" w:lineRule="exact"/>
        <w:rPr>
          <w:sz w:val="20"/>
          <w:szCs w:val="20"/>
          <w:color w:val="auto"/>
        </w:rPr>
      </w:pPr>
    </w:p>
    <w:p>
      <w:pPr>
        <w:ind w:left="4880"/>
        <w:spacing w:after="0"/>
        <w:rPr>
          <w:sz w:val="20"/>
          <w:szCs w:val="20"/>
          <w:color w:val="auto"/>
        </w:rPr>
      </w:pPr>
      <w:r>
        <w:rPr>
          <w:rFonts w:ascii="Arial" w:cs="Arial" w:eastAsia="Arial" w:hAnsi="Arial"/>
          <w:sz w:val="22"/>
          <w:szCs w:val="22"/>
          <w:b w:val="1"/>
          <w:bCs w:val="1"/>
          <w:u w:val="single" w:color="auto"/>
          <w:color w:val="auto"/>
        </w:rPr>
        <w:t>ARTICLE VIII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DIVIDENDS</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Subject to the provisions of the General Corporation Law of the State of Delaware and the Certificate of Incorporation of the Corporation, as may be amended or restated from time to time, the Board of Directors may declare and pay dividends upon the shares of its capital stock. Dividends may be paid in cash, in property, or in shares of the Corporation's capital stock.</w:t>
      </w:r>
    </w:p>
    <w:p>
      <w:pPr>
        <w:spacing w:after="0" w:line="128"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ARTICLE IX</w:t>
      </w:r>
    </w:p>
    <w:p>
      <w:pPr>
        <w:spacing w:after="0" w:line="274" w:lineRule="exact"/>
        <w:rPr>
          <w:sz w:val="20"/>
          <w:szCs w:val="20"/>
          <w:color w:val="auto"/>
        </w:rPr>
      </w:pPr>
    </w:p>
    <w:p>
      <w:pPr>
        <w:ind w:left="4980"/>
        <w:spacing w:after="0"/>
        <w:rPr>
          <w:sz w:val="20"/>
          <w:szCs w:val="20"/>
          <w:color w:val="auto"/>
        </w:rPr>
      </w:pPr>
      <w:r>
        <w:rPr>
          <w:rFonts w:ascii="Arial" w:cs="Arial" w:eastAsia="Arial" w:hAnsi="Arial"/>
          <w:sz w:val="22"/>
          <w:szCs w:val="22"/>
          <w:b w:val="1"/>
          <w:bCs w:val="1"/>
          <w:u w:val="single" w:color="auto"/>
          <w:color w:val="auto"/>
        </w:rPr>
        <w:t>FISCAL YEAR</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fiscal year of the Corporation shall be fixed by the Board of Directors.</w:t>
      </w:r>
    </w:p>
    <w:p>
      <w:pPr>
        <w:spacing w:after="0" w:line="214" w:lineRule="exact"/>
        <w:rPr>
          <w:sz w:val="20"/>
          <w:szCs w:val="20"/>
          <w:color w:val="auto"/>
        </w:rPr>
      </w:pPr>
    </w:p>
    <w:p>
      <w:pPr>
        <w:ind w:left="5000"/>
        <w:spacing w:after="0"/>
        <w:rPr>
          <w:sz w:val="20"/>
          <w:szCs w:val="20"/>
          <w:color w:val="auto"/>
        </w:rPr>
      </w:pPr>
      <w:r>
        <w:rPr>
          <w:rFonts w:ascii="Arial" w:cs="Arial" w:eastAsia="Arial" w:hAnsi="Arial"/>
          <w:sz w:val="22"/>
          <w:szCs w:val="22"/>
          <w:b w:val="1"/>
          <w:bCs w:val="1"/>
          <w:u w:val="single" w:color="auto"/>
          <w:color w:val="auto"/>
        </w:rPr>
        <w:t>ARTICLE X</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SEAL</w:t>
      </w:r>
    </w:p>
    <w:p>
      <w:pPr>
        <w:spacing w:after="0" w:line="226"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The corporate seal shall have inscribed thereon .the name of the Corporation and the words "Corporate Seal" and "Delaware." The seal may be used by causing it or a facsimile thereof to be impressed or affixed or in any manner reproduced.</w:t>
      </w:r>
    </w:p>
    <w:p>
      <w:pPr>
        <w:spacing w:after="0" w:line="99"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u w:val="single" w:color="auto"/>
          <w:color w:val="auto"/>
        </w:rPr>
        <w:t>ARTICLE XI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WAIVER OF NOTICE</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Whenever any notice is required to be given under these By-laws, the Certificate of Incorporation of the Corporation, as may be amended or restated from time to time, or the General Corporation Law of the State of Delaware, a waiver thereof in writing, signed by the person or persons entitled to such notice, whether before or after the time stated therein, shall be deemed equivalent to the giving Of such notice.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- 16 -</w:t>
      </w:r>
    </w:p>
    <w:p>
      <w:pPr>
        <w:sectPr>
          <w:pgSz w:w="11900" w:h="16838" w:orient="portrait"/>
          <w:cols w:equalWidth="0" w:num="1">
            <w:col w:w="11420"/>
          </w:cols>
          <w:pgMar w:left="240" w:top="375" w:right="239" w:bottom="1440" w:gutter="0" w:footer="0" w:header="0"/>
        </w:sectPr>
      </w:pPr>
    </w:p>
    <w:bookmarkStart w:id="105" w:name="page106"/>
    <w:bookmarkEnd w:id="105"/>
    <w:p>
      <w:pPr>
        <w:jc w:val="center"/>
        <w:ind w:right="240"/>
        <w:spacing w:after="0"/>
        <w:rPr>
          <w:sz w:val="20"/>
          <w:szCs w:val="20"/>
          <w:color w:val="auto"/>
        </w:rPr>
      </w:pPr>
      <w:r>
        <w:rPr>
          <w:rFonts w:ascii="Arial" w:cs="Arial" w:eastAsia="Arial" w:hAnsi="Arial"/>
          <w:sz w:val="22"/>
          <w:szCs w:val="22"/>
          <w:b w:val="1"/>
          <w:bCs w:val="1"/>
          <w:u w:val="single" w:color="auto"/>
          <w:color w:val="auto"/>
        </w:rPr>
        <w:t>ARTICLE XII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INDEMNIFICATION OF OFFICERS, DIRECTORS AND OTHERS</w:t>
      </w:r>
    </w:p>
    <w:p>
      <w:pPr>
        <w:spacing w:after="0" w:line="20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u w:val="single" w:color="auto"/>
          <w:color w:val="auto"/>
        </w:rPr>
        <w:t>Section 12.1 Nature of indemnity</w:t>
      </w:r>
      <w:r>
        <w:rPr>
          <w:rFonts w:ascii="Arial" w:cs="Arial" w:eastAsia="Arial" w:hAnsi="Arial"/>
          <w:sz w:val="19"/>
          <w:szCs w:val="19"/>
          <w:b w:val="1"/>
          <w:bCs w:val="1"/>
          <w:color w:val="auto"/>
        </w:rPr>
        <w:t xml:space="preserve">. </w:t>
      </w:r>
      <w:r>
        <w:rPr>
          <w:rFonts w:ascii="Arial" w:cs="Arial" w:eastAsia="Arial" w:hAnsi="Arial"/>
          <w:sz w:val="19"/>
          <w:szCs w:val="19"/>
          <w:color w:val="auto"/>
        </w:rPr>
        <w:t>Each person who was or is made a party or is threatened to be made a party to or is</w:t>
      </w:r>
      <w:r>
        <w:rPr>
          <w:rFonts w:ascii="Arial" w:cs="Arial" w:eastAsia="Arial" w:hAnsi="Arial"/>
          <w:sz w:val="19"/>
          <w:szCs w:val="19"/>
          <w:b w:val="1"/>
          <w:bCs w:val="1"/>
          <w:color w:val="auto"/>
        </w:rPr>
        <w:t xml:space="preserve"> </w:t>
      </w:r>
      <w:r>
        <w:rPr>
          <w:rFonts w:ascii="Arial" w:cs="Arial" w:eastAsia="Arial" w:hAnsi="Arial"/>
          <w:sz w:val="19"/>
          <w:szCs w:val="19"/>
          <w:color w:val="auto"/>
        </w:rPr>
        <w:t>involved in any action, suit or proceeding, whether civil, criminal, administrative or investigative (hereinafter a “proceeding”) by reason of the fact that he or she, or a person of whom he or she is the legal representative, is or was a director or officer of the Corporation shall be indemnified and held harmless by the Corporation as provided in this ARTICLE XII and to the fullest extent which it is empowered to do so by the General Corporation Law of the State of Delaware, as the same exists or may hereafter be amended, against all liabilities and expenses reasonably incurred by such person in connection with such proceeding, and such indemnification shall inure to the benefit of his or her heirs, executors and administrators; provided, however, that, except as provided in Section 12.2 hereof, the Corporation shall indemnify any such person 'seeking indemnification in connection with a proceeding initiated by such person only if such proceeding was authorized by the Board of Directors of the Corporation. Notwithstanding any other provision of this ARTICLE XII, to the extent that any director or officer, or employee or agent (at the discretion of the Board of Directors of the Corporation pursuant to Section 12.6 of this ARTICLE XII), is by reason of such person's position, a witness, in any proceeding, such person shall be indemnified against all costs and expenses actually and reasonably incurred by him or her on his or her behalf in connection therewith.</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u w:val="single" w:color="auto"/>
          <w:color w:val="auto"/>
        </w:rPr>
        <w:t>Section 12.2 Procedure for Indemnification of Directors and Officers</w:t>
      </w:r>
      <w:r>
        <w:rPr>
          <w:rFonts w:ascii="Arial" w:cs="Arial" w:eastAsia="Arial" w:hAnsi="Arial"/>
          <w:sz w:val="19"/>
          <w:szCs w:val="19"/>
          <w:b w:val="1"/>
          <w:bCs w:val="1"/>
          <w:color w:val="auto"/>
        </w:rPr>
        <w:t xml:space="preserve">. </w:t>
      </w:r>
      <w:r>
        <w:rPr>
          <w:rFonts w:ascii="Arial" w:cs="Arial" w:eastAsia="Arial" w:hAnsi="Arial"/>
          <w:sz w:val="19"/>
          <w:szCs w:val="19"/>
          <w:color w:val="auto"/>
        </w:rPr>
        <w:t>Any indemnification of a director or officer</w:t>
      </w:r>
      <w:r>
        <w:rPr>
          <w:rFonts w:ascii="Arial" w:cs="Arial" w:eastAsia="Arial" w:hAnsi="Arial"/>
          <w:sz w:val="19"/>
          <w:szCs w:val="19"/>
          <w:b w:val="1"/>
          <w:bCs w:val="1"/>
          <w:color w:val="auto"/>
        </w:rPr>
        <w:t xml:space="preserve"> </w:t>
      </w:r>
      <w:r>
        <w:rPr>
          <w:rFonts w:ascii="Arial" w:cs="Arial" w:eastAsia="Arial" w:hAnsi="Arial"/>
          <w:sz w:val="19"/>
          <w:szCs w:val="19"/>
          <w:color w:val="auto"/>
        </w:rPr>
        <w:t>of the Corporation under Section 12.1 of this ARTICLE XII or advance of expenses under Section 12.5 of this ARTICLE XII shall be made promptly, and in any event within thirty (30) days, upon the written request of the director or officer. If a determination by the Corporation that the director or officer is entitled to indemnification pursuant to this ARTICLE XII is required, and the Corporation fails to respond within sixty (60) days to a written request for indemnity, the Corporation shall be deemed to have approved the request. If the Corporation denies a written request for indemnification or advancing of expenses, in whole or in part, or if payment in full pursuant to such request is not made within thirty (30) days, the right to indemnification or advances as granted by this ARTICLE XII shall be enforceable by the director or officer in any court of competent jurisdiction. Such person's costs and expenses incurred in connection with successfully establishing his or her right to indemnification, in whole or in part, in any such action shall also be indemnified by the Corporation. It shall be a defense to any such action (other than an action brought to enforce a claim for expenses incurred in defending any proceeding in advance of its final disposition where the' required undertaking, if any, has been tendered to the Corporation) that the claimant has not met the standards of conduct which make it permissible under the General Corporation Law of the State of Delaware for the Corporation to indemnify the claimant for the amount claimed, but the burden of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- 17 -</w:t>
      </w:r>
    </w:p>
    <w:p>
      <w:pPr>
        <w:sectPr>
          <w:pgSz w:w="11900" w:h="16838" w:orient="portrait"/>
          <w:cols w:equalWidth="0" w:num="1">
            <w:col w:w="11420"/>
          </w:cols>
          <w:pgMar w:left="240" w:top="369" w:right="239" w:bottom="1440" w:gutter="0" w:footer="0" w:header="0"/>
        </w:sectPr>
      </w:pPr>
    </w:p>
    <w:bookmarkStart w:id="106" w:name="page107"/>
    <w:bookmarkEnd w:id="106"/>
    <w:p>
      <w:pPr>
        <w:jc w:val="both"/>
        <w:spacing w:after="0" w:line="312" w:lineRule="auto"/>
        <w:rPr>
          <w:sz w:val="20"/>
          <w:szCs w:val="20"/>
          <w:color w:val="auto"/>
        </w:rPr>
      </w:pPr>
      <w:r>
        <w:rPr>
          <w:rFonts w:ascii="Arial" w:cs="Arial" w:eastAsia="Arial" w:hAnsi="Arial"/>
          <w:sz w:val="19"/>
          <w:szCs w:val="19"/>
          <w:color w:val="auto"/>
        </w:rPr>
        <w:t>set forth in the General Corporation Law of the State of Delaware, nor an actual determination by the Corporation (including its Board of Directors, independent legal counsel, or its stockholders) that the claimant has not met such applicable standard of conduct, shall be a defense to the action or create a presumption that the claimant has not met the applicable standard of conduct.</w:t>
      </w:r>
    </w:p>
    <w:p>
      <w:pPr>
        <w:spacing w:after="0" w:line="128"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b w:val="1"/>
          <w:bCs w:val="1"/>
          <w:u w:val="single" w:color="auto"/>
          <w:color w:val="auto"/>
        </w:rPr>
        <w:t>Section 12.3 Article Not Exclusive</w:t>
      </w:r>
      <w:r>
        <w:rPr>
          <w:rFonts w:ascii="Arial" w:cs="Arial" w:eastAsia="Arial" w:hAnsi="Arial"/>
          <w:sz w:val="19"/>
          <w:szCs w:val="19"/>
          <w:b w:val="1"/>
          <w:bCs w:val="1"/>
          <w:color w:val="auto"/>
        </w:rPr>
        <w:t xml:space="preserve">. </w:t>
      </w:r>
      <w:r>
        <w:rPr>
          <w:rFonts w:ascii="Arial" w:cs="Arial" w:eastAsia="Arial" w:hAnsi="Arial"/>
          <w:sz w:val="19"/>
          <w:szCs w:val="19"/>
          <w:color w:val="auto"/>
        </w:rPr>
        <w:t>The rights to indemnification and the payment of expenses incurred in defending a</w:t>
      </w:r>
      <w:r>
        <w:rPr>
          <w:rFonts w:ascii="Arial" w:cs="Arial" w:eastAsia="Arial" w:hAnsi="Arial"/>
          <w:sz w:val="19"/>
          <w:szCs w:val="19"/>
          <w:b w:val="1"/>
          <w:bCs w:val="1"/>
          <w:color w:val="auto"/>
        </w:rPr>
        <w:t xml:space="preserve"> </w:t>
      </w:r>
      <w:r>
        <w:rPr>
          <w:rFonts w:ascii="Arial" w:cs="Arial" w:eastAsia="Arial" w:hAnsi="Arial"/>
          <w:sz w:val="19"/>
          <w:szCs w:val="19"/>
          <w:color w:val="auto"/>
        </w:rPr>
        <w:t>proceeding in advance of its final disposition conferred in this ARTICLE XII shall not be exclusive of any other right which any person may have or hereafter acquire under any statute, provision of the Certificate of Incorporation, as may be amended or restated from time to time, By-law, agreement, vote of stockholders or disinterested directors or otherwise.</w:t>
      </w:r>
    </w:p>
    <w:p>
      <w:pPr>
        <w:spacing w:after="0" w:line="13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u w:val="single" w:color="auto"/>
          <w:color w:val="auto"/>
        </w:rPr>
        <w:t>Section 12.4 Insurance</w:t>
      </w:r>
      <w:r>
        <w:rPr>
          <w:rFonts w:ascii="Arial" w:cs="Arial" w:eastAsia="Arial" w:hAnsi="Arial"/>
          <w:sz w:val="21"/>
          <w:szCs w:val="21"/>
          <w:b w:val="1"/>
          <w:bCs w:val="1"/>
          <w:color w:val="auto"/>
        </w:rPr>
        <w:t xml:space="preserve">. </w:t>
      </w:r>
      <w:r>
        <w:rPr>
          <w:rFonts w:ascii="Arial" w:cs="Arial" w:eastAsia="Arial" w:hAnsi="Arial"/>
          <w:sz w:val="21"/>
          <w:szCs w:val="21"/>
          <w:color w:val="auto"/>
        </w:rPr>
        <w:t>The Corporation may purchase and maintain insurance on its own behalf and on behalf of any</w:t>
      </w:r>
      <w:r>
        <w:rPr>
          <w:rFonts w:ascii="Arial" w:cs="Arial" w:eastAsia="Arial" w:hAnsi="Arial"/>
          <w:sz w:val="21"/>
          <w:szCs w:val="21"/>
          <w:b w:val="1"/>
          <w:bCs w:val="1"/>
          <w:color w:val="auto"/>
        </w:rPr>
        <w:t xml:space="preserve"> </w:t>
      </w:r>
      <w:r>
        <w:rPr>
          <w:rFonts w:ascii="Arial" w:cs="Arial" w:eastAsia="Arial" w:hAnsi="Arial"/>
          <w:sz w:val="21"/>
          <w:szCs w:val="21"/>
          <w:color w:val="auto"/>
        </w:rPr>
        <w:t>person who is or was a director, officer, employee, fiduciary, or agent of the Corporation or who is or was serving at the request of the Corporation as a director, officer, employee or agent of another corporation, partnership, joint venture, trust or other enterprise against any liability asserted against him or her and incurred by him or her in any such capacity, whether or not the Corporation would have the power to indemnify such person against such liability under this ARTICLE XII or under the General Corporation Law of the State of Delaware. The Corporation shall not be liable under this ARTICLE XII to make any payments of amounts otherwise indemnifiable hereunder if and to the extent that such indemnified person hereunder has otherwise actually received such payment under any insurance policy, contract, agreement or otherwise.</w:t>
      </w:r>
    </w:p>
    <w:p>
      <w:pPr>
        <w:spacing w:after="0" w:line="1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u w:val="single" w:color="auto"/>
          <w:color w:val="auto"/>
        </w:rPr>
        <w:t>Section 12.5 Expenses</w:t>
      </w:r>
      <w:r>
        <w:rPr>
          <w:rFonts w:ascii="Arial" w:cs="Arial" w:eastAsia="Arial" w:hAnsi="Arial"/>
          <w:sz w:val="22"/>
          <w:szCs w:val="22"/>
          <w:b w:val="1"/>
          <w:bCs w:val="1"/>
          <w:color w:val="auto"/>
        </w:rPr>
        <w:t xml:space="preserve">. </w:t>
      </w:r>
      <w:r>
        <w:rPr>
          <w:rFonts w:ascii="Arial" w:cs="Arial" w:eastAsia="Arial" w:hAnsi="Arial"/>
          <w:sz w:val="22"/>
          <w:szCs w:val="22"/>
          <w:color w:val="auto"/>
        </w:rPr>
        <w:t>Expenses (including attorneys' fees) incurred by any person described in Section 12.1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ARTICLE XII in defending any civil, criminal, administrative or investigative action, suit or proceeding shall be paid by the Corporation in advance of the final disposition of such action, suit or proceeding upon receipt of an undertaking by or on behalf of the director or officer to repay such amount if it shall ultimately be determined that he or she is not entitled to be indemnified by the Corporation.</w:t>
      </w:r>
    </w:p>
    <w:p>
      <w:pPr>
        <w:spacing w:after="0" w:line="1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u w:val="single" w:color="auto"/>
          <w:color w:val="auto"/>
        </w:rPr>
        <w:t>Section 12.6 Employees and Agents</w:t>
      </w:r>
      <w:r>
        <w:rPr>
          <w:rFonts w:ascii="Arial" w:cs="Arial" w:eastAsia="Arial" w:hAnsi="Arial"/>
          <w:sz w:val="22"/>
          <w:szCs w:val="22"/>
          <w:b w:val="1"/>
          <w:bCs w:val="1"/>
          <w:color w:val="auto"/>
        </w:rPr>
        <w:t xml:space="preserve">. </w:t>
      </w:r>
      <w:r>
        <w:rPr>
          <w:rFonts w:ascii="Arial" w:cs="Arial" w:eastAsia="Arial" w:hAnsi="Arial"/>
          <w:sz w:val="22"/>
          <w:szCs w:val="22"/>
          <w:color w:val="auto"/>
        </w:rPr>
        <w:t>Persons who are not covered by the foregoing provisions of this ARTICLE XII</w:t>
      </w:r>
      <w:r>
        <w:rPr>
          <w:rFonts w:ascii="Arial" w:cs="Arial" w:eastAsia="Arial" w:hAnsi="Arial"/>
          <w:sz w:val="22"/>
          <w:szCs w:val="22"/>
          <w:b w:val="1"/>
          <w:bCs w:val="1"/>
          <w:color w:val="auto"/>
        </w:rPr>
        <w:t xml:space="preserve"> </w:t>
      </w:r>
      <w:r>
        <w:rPr>
          <w:rFonts w:ascii="Arial" w:cs="Arial" w:eastAsia="Arial" w:hAnsi="Arial"/>
          <w:sz w:val="22"/>
          <w:szCs w:val="22"/>
          <w:color w:val="auto"/>
        </w:rPr>
        <w:t>and who are or were employees or agents of the Corporation, or who are or were serving at the request of the Corporation as employees or agents of another corporation, partnership, joint venture, trust or other enterprise, may be indemnified to the extent authorized at any time or from time to time by the Board of Directors.</w:t>
      </w:r>
    </w:p>
    <w:p>
      <w:pPr>
        <w:spacing w:after="0" w:line="1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u w:val="single" w:color="auto"/>
          <w:color w:val="auto"/>
        </w:rPr>
        <w:t>Section 12.7 Contract Rights</w:t>
      </w:r>
      <w:r>
        <w:rPr>
          <w:rFonts w:ascii="Arial" w:cs="Arial" w:eastAsia="Arial" w:hAnsi="Arial"/>
          <w:sz w:val="22"/>
          <w:szCs w:val="22"/>
          <w:b w:val="1"/>
          <w:bCs w:val="1"/>
          <w:color w:val="auto"/>
        </w:rPr>
        <w:t xml:space="preserve">. </w:t>
      </w:r>
      <w:r>
        <w:rPr>
          <w:rFonts w:ascii="Arial" w:cs="Arial" w:eastAsia="Arial" w:hAnsi="Arial"/>
          <w:sz w:val="22"/>
          <w:szCs w:val="22"/>
          <w:color w:val="auto"/>
        </w:rPr>
        <w:t>The provisions of this ARTICLE XII shall be deemed to be a contract right between the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and each director or officer who serves in any such capacity at any time while this ARTICLE XII and the relevant provisions of the General Corporation Law of the State of Delaware or other applicable law are in effect, and any repeal or modification of any such law or this ARTICLE XII shall not affect any rights or obligations then existing with respect to any state of facts then or theretofore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- 18 -</w:t>
      </w:r>
    </w:p>
    <w:p>
      <w:pPr>
        <w:sectPr>
          <w:pgSz w:w="11900" w:h="16838" w:orient="portrait"/>
          <w:cols w:equalWidth="0" w:num="1">
            <w:col w:w="11420"/>
          </w:cols>
          <w:pgMar w:left="240" w:top="375" w:right="239" w:bottom="1440" w:gutter="0" w:footer="0" w:header="0"/>
        </w:sectPr>
      </w:pPr>
    </w:p>
    <w:bookmarkStart w:id="107" w:name="page108"/>
    <w:bookmarkEnd w:id="107"/>
    <w:p>
      <w:pPr>
        <w:jc w:val="both"/>
        <w:spacing w:after="0" w:line="263" w:lineRule="auto"/>
        <w:rPr>
          <w:sz w:val="20"/>
          <w:szCs w:val="20"/>
          <w:color w:val="auto"/>
        </w:rPr>
      </w:pPr>
      <w:r>
        <w:rPr>
          <w:rFonts w:ascii="Arial" w:cs="Arial" w:eastAsia="Arial" w:hAnsi="Arial"/>
          <w:sz w:val="22"/>
          <w:szCs w:val="22"/>
          <w:color w:val="auto"/>
        </w:rPr>
        <w:t>existing or any action, suit or proceeding theretofore or thereafter brought or threatened based in whole or in part upon any such state of facts.</w:t>
      </w:r>
    </w:p>
    <w:p>
      <w:pPr>
        <w:spacing w:after="0" w:line="16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u w:val="single" w:color="auto"/>
          <w:color w:val="auto"/>
        </w:rPr>
        <w:t>Section 12.8 Merger of Consolidation</w:t>
      </w:r>
      <w:r>
        <w:rPr>
          <w:rFonts w:ascii="Arial" w:cs="Arial" w:eastAsia="Arial" w:hAnsi="Arial"/>
          <w:sz w:val="21"/>
          <w:szCs w:val="21"/>
          <w:b w:val="1"/>
          <w:bCs w:val="1"/>
          <w:color w:val="auto"/>
        </w:rPr>
        <w:t xml:space="preserve">. </w:t>
      </w:r>
      <w:r>
        <w:rPr>
          <w:rFonts w:ascii="Arial" w:cs="Arial" w:eastAsia="Arial" w:hAnsi="Arial"/>
          <w:sz w:val="21"/>
          <w:szCs w:val="21"/>
          <w:color w:val="auto"/>
        </w:rPr>
        <w:t>For purposes of this ARTICLE XII, references to the “Corporation” shall</w:t>
      </w:r>
      <w:r>
        <w:rPr>
          <w:rFonts w:ascii="Arial" w:cs="Arial" w:eastAsia="Arial" w:hAnsi="Arial"/>
          <w:sz w:val="21"/>
          <w:szCs w:val="21"/>
          <w:b w:val="1"/>
          <w:bCs w:val="1"/>
          <w:color w:val="auto"/>
        </w:rPr>
        <w:t xml:space="preserve"> </w:t>
      </w:r>
      <w:r>
        <w:rPr>
          <w:rFonts w:ascii="Arial" w:cs="Arial" w:eastAsia="Arial" w:hAnsi="Arial"/>
          <w:sz w:val="21"/>
          <w:szCs w:val="21"/>
          <w:color w:val="auto"/>
        </w:rPr>
        <w:t>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ARTICLE XII with respect to the resulting or surviving corporation as he or she would have with respect to such constituent corporation if its separate existence had continued.</w:t>
      </w:r>
    </w:p>
    <w:p>
      <w:pPr>
        <w:spacing w:after="0" w:line="17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u w:val="single" w:color="auto"/>
          <w:color w:val="auto"/>
        </w:rPr>
        <w:t>Section 12.9 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any provision or provisions of this ARTICLE XII shall be held to be invalid, illegal or</w:t>
      </w:r>
      <w:r>
        <w:rPr>
          <w:rFonts w:ascii="Arial" w:cs="Arial" w:eastAsia="Arial" w:hAnsi="Arial"/>
          <w:sz w:val="22"/>
          <w:szCs w:val="22"/>
          <w:b w:val="1"/>
          <w:bCs w:val="1"/>
          <w:color w:val="auto"/>
        </w:rPr>
        <w:t xml:space="preserve"> </w:t>
      </w:r>
      <w:r>
        <w:rPr>
          <w:rFonts w:ascii="Arial" w:cs="Arial" w:eastAsia="Arial" w:hAnsi="Arial"/>
          <w:sz w:val="22"/>
          <w:szCs w:val="22"/>
          <w:color w:val="auto"/>
        </w:rPr>
        <w:t>unenforceable for any reason whatsoever: (a) the validity, Legality and enforceability of the remaining provisions of this ARTICLE XII (including without limitation, each portion of any Section of this ARTICLE XII containing any such provision held to be invalid, illegal or unenforceable, that is not itself invalid, illegal or unenforceable) shall not in any way be affected or impaired thereby; and (b) to the fullest extent possible, the provisions of this ARTICLE XII (including, without limitation, each portion of any Section of this ARTICLE XII containing any such provision held to be invalid, illegal or unenforceable,, that is not itself invalid, illegal or unenforceable) shall be construed so as to give effect to the intent manifested by the provision held invalid, illegal or unenforceable.</w:t>
      </w:r>
    </w:p>
    <w:p>
      <w:pPr>
        <w:spacing w:after="0" w:line="18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b w:val="1"/>
          <w:bCs w:val="1"/>
          <w:u w:val="single" w:color="auto"/>
          <w:color w:val="auto"/>
        </w:rPr>
        <w:t>Section 12.10 Definitions</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ARTICLE XII, (a) references to “other enterprises” shall include</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benefit plans; (b) references to “fines” shall include any excise taxes assessed on a person with respect to an employee benefit plan; (c)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(d) references to “liabilities” and “expenses” shall include without limitation, liabilities, losses, damages, judgments, fines, penalties, amounts paid in settlement, expenses, and attorneys' fees and costs (including any fees and costs of any appellate proceedings); and (e) a person who acted in good faith and in a manner he or she reasonably believed to be in the interest of the participants and beneficiaries of an employee benefit plan shall be deemed to have acted in a manner not opposed to the best interests of the Corporation.</w:t>
      </w:r>
    </w:p>
    <w:p>
      <w:pPr>
        <w:spacing w:after="0" w:line="147"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21"/>
          <w:szCs w:val="21"/>
          <w:b w:val="1"/>
          <w:bCs w:val="1"/>
          <w:u w:val="single" w:color="auto"/>
          <w:color w:val="auto"/>
        </w:rPr>
        <w:t>Section 12.11 Certain Persons Not Entitled to Indemnification or Advancement of Expenses</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w:t>
      </w:r>
      <w:r>
        <w:rPr>
          <w:rFonts w:ascii="Arial" w:cs="Arial" w:eastAsia="Arial" w:hAnsi="Arial"/>
          <w:sz w:val="21"/>
          <w:szCs w:val="21"/>
          <w:b w:val="1"/>
          <w:bCs w:val="1"/>
          <w:color w:val="auto"/>
        </w:rPr>
        <w:t xml:space="preserve"> </w:t>
      </w:r>
      <w:r>
        <w:rPr>
          <w:rFonts w:ascii="Arial" w:cs="Arial" w:eastAsia="Arial" w:hAnsi="Arial"/>
          <w:sz w:val="21"/>
          <w:szCs w:val="21"/>
          <w:color w:val="auto"/>
        </w:rPr>
        <w:t>other provision of this ARTICLE XII, no person shall be entitled to indemnification or advancement of any costs, expenses or the like under this Article with respect to any proceeding, or any claim therein, brought or made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- 19 -</w:t>
      </w:r>
    </w:p>
    <w:p>
      <w:pPr>
        <w:sectPr>
          <w:pgSz w:w="11900" w:h="16838" w:orient="portrait"/>
          <w:cols w:equalWidth="0" w:num="1">
            <w:col w:w="11420"/>
          </w:cols>
          <w:pgMar w:left="240" w:top="375" w:right="239" w:bottom="1440" w:gutter="0" w:footer="0" w:header="0"/>
        </w:sectPr>
      </w:pPr>
    </w:p>
    <w:bookmarkStart w:id="108" w:name="page109"/>
    <w:bookmarkEnd w:id="108"/>
    <w:p>
      <w:pPr>
        <w:spacing w:after="0"/>
        <w:rPr>
          <w:sz w:val="20"/>
          <w:szCs w:val="20"/>
          <w:color w:val="auto"/>
        </w:rPr>
      </w:pPr>
      <w:r>
        <w:rPr>
          <w:rFonts w:ascii="Arial" w:cs="Arial" w:eastAsia="Arial" w:hAnsi="Arial"/>
          <w:sz w:val="19"/>
          <w:szCs w:val="19"/>
          <w:color w:val="auto"/>
        </w:rPr>
        <w:t>by such person against the Corporation, except as otherwise specifically provided in the fourth sentence of Section 12.2 hereof.</w:t>
      </w:r>
    </w:p>
    <w:p>
      <w:pPr>
        <w:spacing w:after="0" w:line="2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u w:val="single" w:color="auto"/>
          <w:color w:val="auto"/>
        </w:rPr>
        <w:t>Section 12.12 Notices</w:t>
      </w:r>
      <w:r>
        <w:rPr>
          <w:rFonts w:ascii="Arial" w:cs="Arial" w:eastAsia="Arial" w:hAnsi="Arial"/>
          <w:sz w:val="22"/>
          <w:szCs w:val="22"/>
          <w:b w:val="1"/>
          <w:bCs w:val="1"/>
          <w:color w:val="auto"/>
        </w:rPr>
        <w:t xml:space="preserve">. </w:t>
      </w:r>
      <w:r>
        <w:rPr>
          <w:rFonts w:ascii="Arial" w:cs="Arial" w:eastAsia="Arial" w:hAnsi="Arial"/>
          <w:sz w:val="22"/>
          <w:szCs w:val="22"/>
          <w:color w:val="auto"/>
        </w:rPr>
        <w:t>Any notice, request or other communication required or permitted to be given to the Corporation</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this ARTICLE XII shall be in writing and either delivered in person or sent by telex, telegram or certified or registered mail, postage prepaid, return receipt requested, to the Secretary of the Corporation and shall be effective only upon receipt by the Secretary.</w:t>
      </w:r>
    </w:p>
    <w:p>
      <w:pPr>
        <w:spacing w:after="0" w:line="177"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u w:val="single" w:color="auto"/>
          <w:color w:val="auto"/>
        </w:rPr>
        <w:t>ARTICLE XIII</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MISCELLANEOUS PROVISIONS</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u w:val="single" w:color="auto"/>
          <w:color w:val="auto"/>
        </w:rPr>
        <w:t>Section 13.1 Contracts</w:t>
      </w:r>
      <w:r>
        <w:rPr>
          <w:rFonts w:ascii="Arial" w:cs="Arial" w:eastAsia="Arial" w:hAnsi="Arial"/>
          <w:sz w:val="22"/>
          <w:szCs w:val="22"/>
          <w:b w:val="1"/>
          <w:bCs w:val="1"/>
          <w:color w:val="auto"/>
        </w:rPr>
        <w:t xml:space="preserve">. </w:t>
      </w:r>
      <w:r>
        <w:rPr>
          <w:rFonts w:ascii="Arial" w:cs="Arial" w:eastAsia="Arial" w:hAnsi="Arial"/>
          <w:sz w:val="22"/>
          <w:szCs w:val="22"/>
          <w:color w:val="auto"/>
        </w:rPr>
        <w:t>The Board of Directors may authorize any officer or agent to enter into any contract or execute</w:t>
      </w:r>
      <w:r>
        <w:rPr>
          <w:rFonts w:ascii="Arial" w:cs="Arial" w:eastAsia="Arial" w:hAnsi="Arial"/>
          <w:sz w:val="22"/>
          <w:szCs w:val="22"/>
          <w:b w:val="1"/>
          <w:bCs w:val="1"/>
          <w:color w:val="auto"/>
        </w:rPr>
        <w:t xml:space="preserve"> </w:t>
      </w:r>
      <w:r>
        <w:rPr>
          <w:rFonts w:ascii="Arial" w:cs="Arial" w:eastAsia="Arial" w:hAnsi="Arial"/>
          <w:sz w:val="22"/>
          <w:szCs w:val="22"/>
          <w:color w:val="auto"/>
        </w:rPr>
        <w:t>and deliver any instrument in the name of and on behalf of the Corporation, and the President may so authorize any officer or agent with respect to contracts or instruments in the usual and regular course of its business. Such authority may be general or confined to specific instances.</w:t>
      </w:r>
    </w:p>
    <w:p>
      <w:pPr>
        <w:spacing w:after="0" w:line="177"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19"/>
          <w:szCs w:val="19"/>
          <w:b w:val="1"/>
          <w:bCs w:val="1"/>
          <w:u w:val="single" w:color="auto"/>
          <w:color w:val="auto"/>
        </w:rPr>
        <w:t>Section 13.2 Loans</w:t>
      </w:r>
      <w:r>
        <w:rPr>
          <w:rFonts w:ascii="Arial" w:cs="Arial" w:eastAsia="Arial" w:hAnsi="Arial"/>
          <w:sz w:val="19"/>
          <w:szCs w:val="19"/>
          <w:b w:val="1"/>
          <w:bCs w:val="1"/>
          <w:color w:val="auto"/>
        </w:rPr>
        <w:t xml:space="preserve">. </w:t>
      </w:r>
      <w:r>
        <w:rPr>
          <w:rFonts w:ascii="Arial" w:cs="Arial" w:eastAsia="Arial" w:hAnsi="Arial"/>
          <w:sz w:val="19"/>
          <w:szCs w:val="19"/>
          <w:color w:val="auto"/>
        </w:rPr>
        <w:t>No loan shall be contracted on behalf of the Corporation and no evidence of indebtedness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issued in its name unless authorized by the Board of Directors. Such authority may be general or confined to specific instances.</w:t>
      </w:r>
    </w:p>
    <w:p>
      <w:pPr>
        <w:spacing w:after="0" w:line="8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u w:val="single" w:color="auto"/>
          <w:color w:val="auto"/>
        </w:rPr>
        <w:t>Section 13.3 Checks, Drafts, Etc.</w:t>
      </w:r>
      <w:r>
        <w:rPr>
          <w:rFonts w:ascii="Arial" w:cs="Arial" w:eastAsia="Arial" w:hAnsi="Arial"/>
          <w:sz w:val="22"/>
          <w:szCs w:val="22"/>
          <w:b w:val="1"/>
          <w:bCs w:val="1"/>
          <w:color w:val="auto"/>
        </w:rPr>
        <w:t xml:space="preserve"> </w:t>
      </w:r>
      <w:r>
        <w:rPr>
          <w:rFonts w:ascii="Arial" w:cs="Arial" w:eastAsia="Arial" w:hAnsi="Arial"/>
          <w:sz w:val="22"/>
          <w:szCs w:val="22"/>
          <w:color w:val="auto"/>
        </w:rPr>
        <w:t>All checks, drafts or other orders for the payment of money, or notes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evidences of indebtedness issued in the name of the Corporation shall be signed by such officer or agent as shall from time to time be authorized by the Board of Directors.</w:t>
      </w:r>
    </w:p>
    <w:p>
      <w:pPr>
        <w:spacing w:after="0" w:line="17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u w:val="single" w:color="auto"/>
          <w:color w:val="auto"/>
        </w:rPr>
        <w:t>Section 13.4 Deposits</w:t>
      </w:r>
      <w:r>
        <w:rPr>
          <w:rFonts w:ascii="Arial" w:cs="Arial" w:eastAsia="Arial" w:hAnsi="Arial"/>
          <w:sz w:val="22"/>
          <w:szCs w:val="22"/>
          <w:b w:val="1"/>
          <w:bCs w:val="1"/>
          <w:color w:val="auto"/>
        </w:rPr>
        <w:t xml:space="preserve">. </w:t>
      </w:r>
      <w:r>
        <w:rPr>
          <w:rFonts w:ascii="Arial" w:cs="Arial" w:eastAsia="Arial" w:hAnsi="Arial"/>
          <w:sz w:val="22"/>
          <w:szCs w:val="22"/>
          <w:color w:val="auto"/>
        </w:rPr>
        <w:t>The Board of Directors may select banks, trust companies or other depositaries for the funds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Corporation.</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u w:val="single" w:color="auto"/>
          <w:color w:val="auto"/>
        </w:rPr>
        <w:t>Section 13.5 Stock in Other Corporations</w:t>
      </w:r>
      <w:r>
        <w:rPr>
          <w:rFonts w:ascii="Arial" w:cs="Arial" w:eastAsia="Arial" w:hAnsi="Arial"/>
          <w:sz w:val="21"/>
          <w:szCs w:val="21"/>
          <w:b w:val="1"/>
          <w:bCs w:val="1"/>
          <w:color w:val="auto"/>
        </w:rPr>
        <w:t xml:space="preserve">. </w:t>
      </w:r>
      <w:r>
        <w:rPr>
          <w:rFonts w:ascii="Arial" w:cs="Arial" w:eastAsia="Arial" w:hAnsi="Arial"/>
          <w:sz w:val="21"/>
          <w:szCs w:val="21"/>
          <w:color w:val="auto"/>
        </w:rPr>
        <w:t>Shares of any other corporation which may from time to time be held by</w:t>
      </w:r>
      <w:r>
        <w:rPr>
          <w:rFonts w:ascii="Arial" w:cs="Arial" w:eastAsia="Arial" w:hAnsi="Arial"/>
          <w:sz w:val="21"/>
          <w:szCs w:val="21"/>
          <w:b w:val="1"/>
          <w:bCs w:val="1"/>
          <w:color w:val="auto"/>
        </w:rPr>
        <w:t xml:space="preserve"> </w:t>
      </w:r>
      <w:r>
        <w:rPr>
          <w:rFonts w:ascii="Arial" w:cs="Arial" w:eastAsia="Arial" w:hAnsi="Arial"/>
          <w:sz w:val="21"/>
          <w:szCs w:val="21"/>
          <w:color w:val="auto"/>
        </w:rPr>
        <w:t>the Corporation may be represented and voted by the President, or by any proxy appointed in writing by or the President, or by any other person or persons thereunto authorized by the Board of Directors, at any meeting of stockholders of such corporation or by executing written consents with respect to such shares where stockholder action may be taken by written consent. Shares represented by certificates standing in the name of the Corporation may be endorsed for sale or transfer in the name of the Corporation by the President or by any other officer thereunto authorized by the Board of Directors Shares belonging to the Corporation need not stand in the name of the Corporation, but may be held for the benefit of the Corporation in the name of any nominee designated for such purpose by the Board of Directors.</w:t>
      </w:r>
    </w:p>
    <w:p>
      <w:pPr>
        <w:spacing w:after="0" w:line="17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u w:val="single" w:color="auto"/>
          <w:color w:val="auto"/>
        </w:rPr>
        <w:t>Section 13.6 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any provision of these By-laws, or its application of a provision to any person or</w:t>
      </w:r>
      <w:r>
        <w:rPr>
          <w:rFonts w:ascii="Arial" w:cs="Arial" w:eastAsia="Arial" w:hAnsi="Arial"/>
          <w:sz w:val="22"/>
          <w:szCs w:val="22"/>
          <w:b w:val="1"/>
          <w:bCs w:val="1"/>
          <w:color w:val="auto"/>
        </w:rPr>
        <w:t xml:space="preserve"> </w:t>
      </w:r>
      <w:r>
        <w:rPr>
          <w:rFonts w:ascii="Arial" w:cs="Arial" w:eastAsia="Arial" w:hAnsi="Arial"/>
          <w:sz w:val="22"/>
          <w:szCs w:val="22"/>
          <w:color w:val="auto"/>
        </w:rPr>
        <w:t>circumstances, is held invalid, the remainder of</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- 20 -</w:t>
      </w:r>
    </w:p>
    <w:p>
      <w:pPr>
        <w:sectPr>
          <w:pgSz w:w="11900" w:h="16838" w:orient="portrait"/>
          <w:cols w:equalWidth="0" w:num="1">
            <w:col w:w="11420"/>
          </w:cols>
          <w:pgMar w:left="240" w:top="375" w:right="239" w:bottom="1440" w:gutter="0" w:footer="0" w:header="0"/>
        </w:sectPr>
      </w:pPr>
    </w:p>
    <w:bookmarkStart w:id="109" w:name="page110"/>
    <w:bookmarkEnd w:id="109"/>
    <w:p>
      <w:pPr>
        <w:spacing w:after="0"/>
        <w:rPr>
          <w:sz w:val="20"/>
          <w:szCs w:val="20"/>
          <w:color w:val="auto"/>
        </w:rPr>
      </w:pPr>
      <w:r>
        <w:rPr>
          <w:rFonts w:ascii="Arial" w:cs="Arial" w:eastAsia="Arial" w:hAnsi="Arial"/>
          <w:sz w:val="19"/>
          <w:szCs w:val="19"/>
          <w:color w:val="auto"/>
        </w:rPr>
        <w:t>these By-laws and the application of such provision to other persons or circumstances shall not be affected by such invalidity.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500"/>
        <w:spacing w:after="0"/>
        <w:rPr>
          <w:sz w:val="20"/>
          <w:szCs w:val="20"/>
          <w:color w:val="auto"/>
        </w:rPr>
      </w:pPr>
      <w:r>
        <w:rPr>
          <w:rFonts w:ascii="Arial" w:cs="Arial" w:eastAsia="Arial" w:hAnsi="Arial"/>
          <w:sz w:val="22"/>
          <w:szCs w:val="22"/>
          <w:b w:val="1"/>
          <w:bCs w:val="1"/>
          <w:u w:val="single" w:color="auto"/>
          <w:color w:val="auto"/>
        </w:rPr>
        <w:t>ARTICLE XIV</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AMENDMENT</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Except as provided in Section 3.16 hereof, these By-laws may be altered, amended or repealed and new by-laws may be adopted by the Board of Directors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- 21 -</w:t>
      </w:r>
    </w:p>
    <w:p>
      <w:pPr>
        <w:sectPr>
          <w:pgSz w:w="11900" w:h="16838" w:orient="portrait"/>
          <w:cols w:equalWidth="0" w:num="1">
            <w:col w:w="11420"/>
          </w:cols>
          <w:pgMar w:left="240" w:top="375"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u w:val="single" w:color="auto"/>
          <w:color w:val="auto"/>
        </w:rPr>
        <w:t>Exhibit 10.39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SECOND AMENDED AND RESTATED CREDIT AGREEMENT DATED AS OF OCTOBER 27, 2017</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280"/>
        <w:spacing w:after="0"/>
        <w:rPr>
          <w:sz w:val="20"/>
          <w:szCs w:val="20"/>
          <w:color w:val="auto"/>
        </w:rPr>
      </w:pPr>
      <w:r>
        <w:rPr>
          <w:rFonts w:ascii="Arial" w:cs="Arial" w:eastAsia="Arial" w:hAnsi="Arial"/>
          <w:sz w:val="22"/>
          <w:szCs w:val="22"/>
          <w:b w:val="1"/>
          <w:bCs w:val="1"/>
          <w:color w:val="auto"/>
        </w:rPr>
        <w:t>AMONG UNIVERSAL ELECTRONICS INC.</w:t>
      </w:r>
    </w:p>
    <w:p>
      <w:pPr>
        <w:spacing w:after="0" w:line="274"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THE LENDERS,</w:t>
      </w:r>
    </w:p>
    <w:p>
      <w:pPr>
        <w:spacing w:after="0" w:line="200" w:lineRule="exact"/>
        <w:rPr>
          <w:sz w:val="20"/>
          <w:szCs w:val="20"/>
          <w:color w:val="auto"/>
        </w:rPr>
      </w:pPr>
    </w:p>
    <w:p>
      <w:pPr>
        <w:spacing w:after="0" w:line="290" w:lineRule="exact"/>
        <w:rPr>
          <w:sz w:val="20"/>
          <w:szCs w:val="20"/>
          <w:color w:val="auto"/>
        </w:rPr>
      </w:pPr>
    </w:p>
    <w:p>
      <w:pPr>
        <w:ind w:left="2580"/>
        <w:spacing w:after="0"/>
        <w:rPr>
          <w:sz w:val="20"/>
          <w:szCs w:val="20"/>
          <w:color w:val="auto"/>
        </w:rPr>
      </w:pPr>
      <w:r>
        <w:rPr>
          <w:rFonts w:ascii="Arial" w:cs="Arial" w:eastAsia="Arial" w:hAnsi="Arial"/>
          <w:sz w:val="22"/>
          <w:szCs w:val="22"/>
          <w:b w:val="1"/>
          <w:bCs w:val="1"/>
          <w:color w:val="auto"/>
        </w:rPr>
        <w:t>U.S. BANK NATIONAL ASSOCIATION,</w:t>
      </w:r>
    </w:p>
    <w:p>
      <w:pPr>
        <w:spacing w:after="0" w:line="2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AS ADMINISTRATIVE AGENT, SOLE LEAD ARRANGER AND SOLE BOOK RUNNER</w:t>
      </w:r>
    </w:p>
    <w:p>
      <w:pPr>
        <w:sectPr>
          <w:pgSz w:w="11900" w:h="16838" w:orient="portrait"/>
          <w:cols w:equalWidth="0" w:num="1">
            <w:col w:w="10220"/>
          </w:cols>
          <w:pgMar w:left="1440" w:top="580"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355"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Page</w:t>
      </w:r>
    </w:p>
    <w:p>
      <w:pPr>
        <w:spacing w:after="0" w:line="368" w:lineRule="exact"/>
        <w:rPr>
          <w:sz w:val="20"/>
          <w:szCs w:val="20"/>
          <w:color w:val="auto"/>
        </w:rPr>
      </w:pPr>
    </w:p>
    <w:p>
      <w:pPr>
        <w:ind w:left="3520"/>
        <w:spacing w:after="0"/>
        <w:tabs>
          <w:tab w:leader="none" w:pos="6300" w:val="left"/>
        </w:tabs>
        <w:rPr>
          <w:sz w:val="20"/>
          <w:szCs w:val="20"/>
          <w:color w:val="auto"/>
        </w:rPr>
      </w:pPr>
      <w:r>
        <w:rPr>
          <w:rFonts w:ascii="Arial" w:cs="Arial" w:eastAsia="Arial" w:hAnsi="Arial"/>
          <w:sz w:val="22"/>
          <w:szCs w:val="22"/>
          <w:b w:val="1"/>
          <w:bCs w:val="1"/>
          <w:u w:val="single" w:color="auto"/>
          <w:color w:val="auto"/>
        </w:rPr>
        <w:t>ARTICLE I DEFINITIONS</w:t>
      </w:r>
      <w:r>
        <w:rPr>
          <w:sz w:val="20"/>
          <w:szCs w:val="20"/>
          <w:color w:val="auto"/>
        </w:rPr>
        <w:tab/>
      </w:r>
      <w:r>
        <w:rPr>
          <w:rFonts w:ascii="Arial" w:cs="Arial" w:eastAsia="Arial" w:hAnsi="Arial"/>
          <w:sz w:val="21"/>
          <w:szCs w:val="21"/>
          <w:b w:val="1"/>
          <w:bCs w:val="1"/>
          <w:u w:val="single" w:color="auto"/>
          <w:color w:val="auto"/>
        </w:rPr>
        <w:t>1</w:t>
      </w:r>
    </w:p>
    <w:p>
      <w:pPr>
        <w:spacing w:after="0" w:line="172" w:lineRule="exact"/>
        <w:rPr>
          <w:sz w:val="20"/>
          <w:szCs w:val="20"/>
          <w:color w:val="auto"/>
        </w:rPr>
      </w:pPr>
    </w:p>
    <w:p>
      <w:pPr>
        <w:spacing w:after="0"/>
        <w:tabs>
          <w:tab w:leader="none" w:pos="940" w:val="left"/>
          <w:tab w:leader="dot" w:pos="76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u w:val="single" w:color="auto"/>
          <w:color w:val="auto"/>
        </w:rPr>
        <w:t>Definitions</w:t>
      </w:r>
      <w:r>
        <w:rPr>
          <w:sz w:val="20"/>
          <w:szCs w:val="20"/>
          <w:color w:val="auto"/>
        </w:rPr>
        <w:tab/>
      </w:r>
      <w:r>
        <w:rPr>
          <w:rFonts w:ascii="Arial" w:cs="Arial" w:eastAsia="Arial" w:hAnsi="Arial"/>
          <w:sz w:val="21"/>
          <w:szCs w:val="21"/>
          <w:color w:val="auto"/>
        </w:rPr>
        <w:t>1</w:t>
      </w:r>
    </w:p>
    <w:p>
      <w:pPr>
        <w:spacing w:after="0" w:line="22" w:lineRule="exact"/>
        <w:rPr>
          <w:sz w:val="20"/>
          <w:szCs w:val="20"/>
          <w:color w:val="auto"/>
        </w:rPr>
      </w:pPr>
    </w:p>
    <w:p>
      <w:pPr>
        <w:spacing w:after="0"/>
        <w:tabs>
          <w:tab w:leader="none" w:pos="940" w:val="left"/>
          <w:tab w:leader="dot" w:pos="780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u w:val="single" w:color="auto"/>
          <w:color w:val="auto"/>
        </w:rPr>
        <w:t>Loan Classes</w:t>
      </w:r>
      <w:r>
        <w:rPr>
          <w:sz w:val="20"/>
          <w:szCs w:val="20"/>
          <w:color w:val="auto"/>
        </w:rPr>
        <w:tab/>
      </w:r>
      <w:r>
        <w:rPr>
          <w:rFonts w:ascii="Arial" w:cs="Arial" w:eastAsia="Arial" w:hAnsi="Arial"/>
          <w:sz w:val="19"/>
          <w:szCs w:val="19"/>
          <w:color w:val="auto"/>
        </w:rPr>
        <w:t>24</w:t>
      </w:r>
    </w:p>
    <w:p>
      <w:pPr>
        <w:spacing w:after="0" w:line="4" w:lineRule="exact"/>
        <w:rPr>
          <w:sz w:val="20"/>
          <w:szCs w:val="20"/>
          <w:color w:val="auto"/>
        </w:rPr>
      </w:pPr>
    </w:p>
    <w:p>
      <w:pPr>
        <w:spacing w:after="0"/>
        <w:tabs>
          <w:tab w:leader="none" w:pos="940" w:val="left"/>
          <w:tab w:leader="dot" w:pos="760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2"/>
          <w:szCs w:val="22"/>
          <w:u w:val="single" w:color="auto"/>
          <w:color w:val="auto"/>
        </w:rPr>
        <w:t>Computation of Time Periods</w:t>
      </w:r>
      <w:r>
        <w:rPr>
          <w:sz w:val="20"/>
          <w:szCs w:val="20"/>
          <w:color w:val="auto"/>
        </w:rPr>
        <w:tab/>
      </w:r>
      <w:r>
        <w:rPr>
          <w:rFonts w:ascii="Arial" w:cs="Arial" w:eastAsia="Arial" w:hAnsi="Arial"/>
          <w:sz w:val="19"/>
          <w:szCs w:val="19"/>
          <w:color w:val="auto"/>
        </w:rPr>
        <w:t>24</w:t>
      </w:r>
    </w:p>
    <w:p>
      <w:pPr>
        <w:spacing w:after="0" w:line="4" w:lineRule="exact"/>
        <w:rPr>
          <w:sz w:val="20"/>
          <w:szCs w:val="20"/>
          <w:color w:val="auto"/>
        </w:rPr>
      </w:pPr>
    </w:p>
    <w:p>
      <w:pPr>
        <w:spacing w:after="0"/>
        <w:tabs>
          <w:tab w:leader="none" w:pos="940" w:val="left"/>
          <w:tab w:leader="dot" w:pos="760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2"/>
          <w:szCs w:val="22"/>
          <w:u w:val="single" w:color="auto"/>
          <w:color w:val="auto"/>
        </w:rPr>
        <w:t>Other Definitional Terms</w:t>
      </w:r>
      <w:r>
        <w:rPr>
          <w:sz w:val="20"/>
          <w:szCs w:val="20"/>
          <w:color w:val="auto"/>
        </w:rPr>
        <w:tab/>
      </w:r>
      <w:r>
        <w:rPr>
          <w:rFonts w:ascii="Arial" w:cs="Arial" w:eastAsia="Arial" w:hAnsi="Arial"/>
          <w:sz w:val="19"/>
          <w:szCs w:val="19"/>
          <w:color w:val="auto"/>
        </w:rPr>
        <w:t>24</w:t>
      </w:r>
    </w:p>
    <w:p>
      <w:pPr>
        <w:spacing w:after="0" w:line="142" w:lineRule="exact"/>
        <w:rPr>
          <w:sz w:val="20"/>
          <w:szCs w:val="20"/>
          <w:color w:val="auto"/>
        </w:rPr>
      </w:pPr>
    </w:p>
    <w:p>
      <w:pPr>
        <w:ind w:left="3340"/>
        <w:spacing w:after="0"/>
        <w:tabs>
          <w:tab w:leader="none" w:pos="6360" w:val="left"/>
        </w:tabs>
        <w:rPr>
          <w:sz w:val="20"/>
          <w:szCs w:val="20"/>
          <w:color w:val="auto"/>
        </w:rPr>
      </w:pPr>
      <w:r>
        <w:rPr>
          <w:rFonts w:ascii="Arial" w:cs="Arial" w:eastAsia="Arial" w:hAnsi="Arial"/>
          <w:sz w:val="22"/>
          <w:szCs w:val="22"/>
          <w:b w:val="1"/>
          <w:bCs w:val="1"/>
          <w:u w:val="single" w:color="auto"/>
          <w:color w:val="auto"/>
        </w:rPr>
        <w:t>ARTICLE II THE CREDITS</w:t>
      </w:r>
      <w:r>
        <w:rPr>
          <w:sz w:val="20"/>
          <w:szCs w:val="20"/>
          <w:color w:val="auto"/>
        </w:rPr>
        <w:tab/>
      </w:r>
      <w:r>
        <w:rPr>
          <w:rFonts w:ascii="Arial" w:cs="Arial" w:eastAsia="Arial" w:hAnsi="Arial"/>
          <w:sz w:val="19"/>
          <w:szCs w:val="19"/>
          <w:b w:val="1"/>
          <w:bCs w:val="1"/>
          <w:u w:val="single" w:color="auto"/>
          <w:color w:val="auto"/>
        </w:rPr>
        <w:t>25</w:t>
      </w:r>
    </w:p>
    <w:p>
      <w:pPr>
        <w:spacing w:after="0" w:line="172" w:lineRule="exact"/>
        <w:rPr>
          <w:sz w:val="20"/>
          <w:szCs w:val="20"/>
          <w:color w:val="auto"/>
        </w:rPr>
      </w:pPr>
    </w:p>
    <w:p>
      <w:pPr>
        <w:spacing w:after="0"/>
        <w:tabs>
          <w:tab w:leader="none" w:pos="940" w:val="left"/>
          <w:tab w:leader="dot" w:pos="75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u w:val="single" w:color="auto"/>
          <w:color w:val="auto"/>
        </w:rPr>
        <w:t>Revolving Loan Commitment</w:t>
      </w:r>
      <w:r>
        <w:rPr>
          <w:sz w:val="20"/>
          <w:szCs w:val="20"/>
          <w:color w:val="auto"/>
        </w:rPr>
        <w:tab/>
      </w:r>
      <w:r>
        <w:rPr>
          <w:rFonts w:ascii="Arial" w:cs="Arial" w:eastAsia="Arial" w:hAnsi="Arial"/>
          <w:sz w:val="19"/>
          <w:szCs w:val="19"/>
          <w:color w:val="auto"/>
        </w:rPr>
        <w:t>25</w:t>
      </w:r>
    </w:p>
    <w:p>
      <w:pPr>
        <w:spacing w:after="0" w:line="22" w:lineRule="exact"/>
        <w:rPr>
          <w:sz w:val="20"/>
          <w:szCs w:val="20"/>
          <w:color w:val="auto"/>
        </w:rPr>
      </w:pPr>
    </w:p>
    <w:p>
      <w:pPr>
        <w:spacing w:after="0"/>
        <w:tabs>
          <w:tab w:leader="none" w:pos="940" w:val="left"/>
          <w:tab w:leader="dot" w:pos="760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u w:val="single" w:color="auto"/>
          <w:color w:val="auto"/>
        </w:rPr>
        <w:t>Determination of Amounts; Required Payments; Termination</w:t>
      </w:r>
      <w:r>
        <w:rPr>
          <w:sz w:val="20"/>
          <w:szCs w:val="20"/>
          <w:color w:val="auto"/>
        </w:rPr>
        <w:tab/>
      </w:r>
      <w:r>
        <w:rPr>
          <w:rFonts w:ascii="Arial" w:cs="Arial" w:eastAsia="Arial" w:hAnsi="Arial"/>
          <w:sz w:val="19"/>
          <w:szCs w:val="19"/>
          <w:color w:val="auto"/>
        </w:rPr>
        <w:t>25</w:t>
      </w:r>
    </w:p>
    <w:p>
      <w:pPr>
        <w:spacing w:after="0" w:line="4" w:lineRule="exact"/>
        <w:rPr>
          <w:sz w:val="20"/>
          <w:szCs w:val="20"/>
          <w:color w:val="auto"/>
        </w:rPr>
      </w:pPr>
    </w:p>
    <w:p>
      <w:pPr>
        <w:spacing w:after="0"/>
        <w:tabs>
          <w:tab w:leader="none" w:pos="940" w:val="left"/>
          <w:tab w:leader="dot" w:pos="78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2"/>
          <w:szCs w:val="22"/>
          <w:u w:val="single" w:color="auto"/>
          <w:color w:val="auto"/>
        </w:rPr>
        <w:t>Ratable Loans; Types of Advances</w:t>
      </w:r>
      <w:r>
        <w:rPr>
          <w:sz w:val="20"/>
          <w:szCs w:val="20"/>
          <w:color w:val="auto"/>
        </w:rPr>
        <w:tab/>
      </w:r>
      <w:r>
        <w:rPr>
          <w:rFonts w:ascii="Arial" w:cs="Arial" w:eastAsia="Arial" w:hAnsi="Arial"/>
          <w:sz w:val="19"/>
          <w:szCs w:val="19"/>
          <w:color w:val="auto"/>
        </w:rPr>
        <w:t>25</w:t>
      </w:r>
    </w:p>
    <w:p>
      <w:pPr>
        <w:spacing w:after="0" w:line="4" w:lineRule="exact"/>
        <w:rPr>
          <w:sz w:val="20"/>
          <w:szCs w:val="20"/>
          <w:color w:val="auto"/>
        </w:rPr>
      </w:pPr>
    </w:p>
    <w:p>
      <w:pPr>
        <w:spacing w:after="0"/>
        <w:tabs>
          <w:tab w:leader="none" w:pos="940" w:val="left"/>
          <w:tab w:leader="dot" w:pos="760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2"/>
          <w:szCs w:val="22"/>
          <w:u w:val="single" w:color="auto"/>
          <w:color w:val="auto"/>
        </w:rPr>
        <w:t>Swing Line Loans</w:t>
      </w:r>
      <w:r>
        <w:rPr>
          <w:sz w:val="20"/>
          <w:szCs w:val="20"/>
          <w:color w:val="auto"/>
        </w:rPr>
        <w:tab/>
      </w:r>
      <w:r>
        <w:rPr>
          <w:rFonts w:ascii="Arial" w:cs="Arial" w:eastAsia="Arial" w:hAnsi="Arial"/>
          <w:sz w:val="19"/>
          <w:szCs w:val="19"/>
          <w:color w:val="auto"/>
        </w:rPr>
        <w:t>25</w:t>
      </w:r>
    </w:p>
    <w:p>
      <w:pPr>
        <w:spacing w:after="0" w:line="4" w:lineRule="exact"/>
        <w:rPr>
          <w:sz w:val="20"/>
          <w:szCs w:val="20"/>
          <w:color w:val="auto"/>
        </w:rPr>
      </w:pPr>
    </w:p>
    <w:p>
      <w:pPr>
        <w:spacing w:after="0"/>
        <w:tabs>
          <w:tab w:leader="none" w:pos="940" w:val="left"/>
          <w:tab w:leader="dot" w:pos="782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22"/>
          <w:szCs w:val="22"/>
          <w:u w:val="single" w:color="auto"/>
          <w:color w:val="auto"/>
        </w:rPr>
        <w:t>Other Fees</w:t>
      </w:r>
      <w:r>
        <w:rPr>
          <w:sz w:val="20"/>
          <w:szCs w:val="20"/>
          <w:color w:val="auto"/>
        </w:rPr>
        <w:tab/>
      </w:r>
      <w:r>
        <w:rPr>
          <w:rFonts w:ascii="Arial" w:cs="Arial" w:eastAsia="Arial" w:hAnsi="Arial"/>
          <w:sz w:val="19"/>
          <w:szCs w:val="19"/>
          <w:color w:val="auto"/>
        </w:rPr>
        <w:t>27</w:t>
      </w:r>
    </w:p>
    <w:p>
      <w:pPr>
        <w:spacing w:after="0" w:line="4" w:lineRule="exact"/>
        <w:rPr>
          <w:sz w:val="20"/>
          <w:szCs w:val="20"/>
          <w:color w:val="auto"/>
        </w:rPr>
      </w:pPr>
    </w:p>
    <w:p>
      <w:pPr>
        <w:spacing w:after="0"/>
        <w:tabs>
          <w:tab w:leader="none" w:pos="940" w:val="left"/>
          <w:tab w:leader="dot" w:pos="756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22"/>
          <w:szCs w:val="22"/>
          <w:u w:val="single" w:color="auto"/>
          <w:color w:val="auto"/>
        </w:rPr>
        <w:t>Minimum Amount of Each Eurocurrency Advance</w:t>
      </w:r>
      <w:r>
        <w:rPr>
          <w:sz w:val="20"/>
          <w:szCs w:val="20"/>
          <w:color w:val="auto"/>
        </w:rPr>
        <w:tab/>
      </w:r>
      <w:r>
        <w:rPr>
          <w:rFonts w:ascii="Arial" w:cs="Arial" w:eastAsia="Arial" w:hAnsi="Arial"/>
          <w:sz w:val="17"/>
          <w:szCs w:val="17"/>
          <w:color w:val="auto"/>
        </w:rPr>
        <w:t>27</w:t>
      </w:r>
    </w:p>
    <w:p>
      <w:pPr>
        <w:spacing w:after="0" w:line="4" w:lineRule="exact"/>
        <w:rPr>
          <w:sz w:val="20"/>
          <w:szCs w:val="20"/>
          <w:color w:val="auto"/>
        </w:rPr>
      </w:pPr>
    </w:p>
    <w:p>
      <w:pPr>
        <w:spacing w:after="0"/>
        <w:tabs>
          <w:tab w:leader="none" w:pos="940" w:val="left"/>
          <w:tab w:leader="dot" w:pos="758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22"/>
          <w:szCs w:val="22"/>
          <w:u w:val="single" w:color="auto"/>
          <w:color w:val="auto"/>
        </w:rPr>
        <w:t>Optional Principal Payments</w:t>
      </w:r>
      <w:r>
        <w:rPr>
          <w:sz w:val="20"/>
          <w:szCs w:val="20"/>
          <w:color w:val="auto"/>
        </w:rPr>
        <w:tab/>
      </w:r>
      <w:r>
        <w:rPr>
          <w:rFonts w:ascii="Arial" w:cs="Arial" w:eastAsia="Arial" w:hAnsi="Arial"/>
          <w:sz w:val="19"/>
          <w:szCs w:val="19"/>
          <w:color w:val="auto"/>
        </w:rPr>
        <w:t>27</w:t>
      </w:r>
    </w:p>
    <w:p>
      <w:pPr>
        <w:spacing w:after="0" w:line="4"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u w:val="single" w:color="auto"/>
          <w:color w:val="auto"/>
        </w:rPr>
        <w:t>Method of Selecting Types and Interest Periods for New Revolving</w:t>
      </w:r>
    </w:p>
    <w:p>
      <w:pPr>
        <w:spacing w:after="0" w:line="4" w:lineRule="exact"/>
        <w:rPr>
          <w:sz w:val="20"/>
          <w:szCs w:val="20"/>
          <w:color w:val="auto"/>
        </w:rPr>
      </w:pPr>
    </w:p>
    <w:p>
      <w:pPr>
        <w:ind w:left="960"/>
        <w:spacing w:after="0"/>
        <w:tabs>
          <w:tab w:leader="dot" w:pos="7580" w:val="left"/>
        </w:tabs>
        <w:rPr>
          <w:sz w:val="20"/>
          <w:szCs w:val="20"/>
          <w:color w:val="auto"/>
        </w:rPr>
      </w:pPr>
      <w:r>
        <w:rPr>
          <w:rFonts w:ascii="Arial" w:cs="Arial" w:eastAsia="Arial" w:hAnsi="Arial"/>
          <w:sz w:val="22"/>
          <w:szCs w:val="22"/>
          <w:u w:val="single" w:color="auto"/>
          <w:color w:val="auto"/>
        </w:rPr>
        <w:t>Advances</w:t>
      </w:r>
      <w:r>
        <w:rPr>
          <w:sz w:val="20"/>
          <w:szCs w:val="20"/>
          <w:color w:val="auto"/>
        </w:rPr>
        <w:tab/>
      </w:r>
      <w:r>
        <w:rPr>
          <w:rFonts w:ascii="Arial" w:cs="Arial" w:eastAsia="Arial" w:hAnsi="Arial"/>
          <w:sz w:val="19"/>
          <w:szCs w:val="19"/>
          <w:color w:val="auto"/>
        </w:rPr>
        <w:t>27</w:t>
      </w:r>
    </w:p>
    <w:p>
      <w:pPr>
        <w:spacing w:after="0" w:line="4"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u w:val="single" w:color="auto"/>
          <w:color w:val="auto"/>
        </w:rPr>
        <w:t>Conversion and Continuation of Outstanding Advances; Maximum</w:t>
      </w:r>
    </w:p>
    <w:p>
      <w:pPr>
        <w:spacing w:after="0" w:line="4" w:lineRule="exact"/>
        <w:rPr>
          <w:sz w:val="20"/>
          <w:szCs w:val="20"/>
          <w:color w:val="auto"/>
        </w:rPr>
      </w:pPr>
    </w:p>
    <w:p>
      <w:pPr>
        <w:ind w:left="960"/>
        <w:spacing w:after="0"/>
        <w:tabs>
          <w:tab w:leader="dot" w:pos="7560" w:val="left"/>
        </w:tabs>
        <w:rPr>
          <w:sz w:val="20"/>
          <w:szCs w:val="20"/>
          <w:color w:val="auto"/>
        </w:rPr>
      </w:pPr>
      <w:r>
        <w:rPr>
          <w:rFonts w:ascii="Arial" w:cs="Arial" w:eastAsia="Arial" w:hAnsi="Arial"/>
          <w:sz w:val="22"/>
          <w:szCs w:val="22"/>
          <w:u w:val="single" w:color="auto"/>
          <w:color w:val="auto"/>
        </w:rPr>
        <w:t>Number of Interest Periods</w:t>
      </w:r>
      <w:r>
        <w:rPr>
          <w:sz w:val="20"/>
          <w:szCs w:val="20"/>
          <w:color w:val="auto"/>
        </w:rPr>
        <w:tab/>
      </w:r>
      <w:r>
        <w:rPr>
          <w:rFonts w:ascii="Arial" w:cs="Arial" w:eastAsia="Arial" w:hAnsi="Arial"/>
          <w:sz w:val="19"/>
          <w:szCs w:val="19"/>
          <w:color w:val="auto"/>
        </w:rPr>
        <w:t>28</w:t>
      </w:r>
    </w:p>
    <w:p>
      <w:pPr>
        <w:spacing w:after="0" w:line="4" w:lineRule="exact"/>
        <w:rPr>
          <w:sz w:val="20"/>
          <w:szCs w:val="20"/>
          <w:color w:val="auto"/>
        </w:rPr>
      </w:pPr>
    </w:p>
    <w:p>
      <w:pPr>
        <w:spacing w:after="0"/>
        <w:tabs>
          <w:tab w:leader="none" w:pos="940" w:val="left"/>
          <w:tab w:leader="dot" w:pos="758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22"/>
          <w:szCs w:val="22"/>
          <w:u w:val="single" w:color="auto"/>
          <w:color w:val="auto"/>
        </w:rPr>
        <w:t>Interest Rates</w:t>
      </w:r>
      <w:r>
        <w:rPr>
          <w:sz w:val="20"/>
          <w:szCs w:val="20"/>
          <w:color w:val="auto"/>
        </w:rPr>
        <w:tab/>
      </w:r>
      <w:r>
        <w:rPr>
          <w:rFonts w:ascii="Arial" w:cs="Arial" w:eastAsia="Arial" w:hAnsi="Arial"/>
          <w:sz w:val="19"/>
          <w:szCs w:val="19"/>
          <w:color w:val="auto"/>
        </w:rPr>
        <w:t>29</w:t>
      </w:r>
    </w:p>
    <w:p>
      <w:pPr>
        <w:spacing w:after="0" w:line="4" w:lineRule="exact"/>
        <w:rPr>
          <w:sz w:val="20"/>
          <w:szCs w:val="20"/>
          <w:color w:val="auto"/>
        </w:rPr>
      </w:pPr>
    </w:p>
    <w:p>
      <w:pPr>
        <w:spacing w:after="0"/>
        <w:tabs>
          <w:tab w:leader="none" w:pos="940" w:val="left"/>
          <w:tab w:leader="dot" w:pos="760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22"/>
          <w:szCs w:val="22"/>
          <w:u w:val="single" w:color="auto"/>
          <w:color w:val="auto"/>
        </w:rPr>
        <w:t>Rates Applicable After Event of Default</w:t>
      </w:r>
      <w:r>
        <w:rPr>
          <w:sz w:val="20"/>
          <w:szCs w:val="20"/>
          <w:color w:val="auto"/>
        </w:rPr>
        <w:tab/>
      </w:r>
      <w:r>
        <w:rPr>
          <w:rFonts w:ascii="Arial" w:cs="Arial" w:eastAsia="Arial" w:hAnsi="Arial"/>
          <w:sz w:val="19"/>
          <w:szCs w:val="19"/>
          <w:color w:val="auto"/>
        </w:rPr>
        <w:t>29</w:t>
      </w:r>
    </w:p>
    <w:p>
      <w:pPr>
        <w:spacing w:after="0" w:line="4" w:lineRule="exact"/>
        <w:rPr>
          <w:sz w:val="20"/>
          <w:szCs w:val="20"/>
          <w:color w:val="auto"/>
        </w:rPr>
      </w:pPr>
    </w:p>
    <w:p>
      <w:pPr>
        <w:spacing w:after="0"/>
        <w:tabs>
          <w:tab w:leader="none" w:pos="940" w:val="left"/>
          <w:tab w:leader="dot" w:pos="756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22"/>
          <w:szCs w:val="22"/>
          <w:u w:val="single" w:color="auto"/>
          <w:color w:val="auto"/>
        </w:rPr>
        <w:t>Method of Payment</w:t>
      </w:r>
      <w:r>
        <w:rPr>
          <w:sz w:val="20"/>
          <w:szCs w:val="20"/>
          <w:color w:val="auto"/>
        </w:rPr>
        <w:tab/>
      </w:r>
      <w:r>
        <w:rPr>
          <w:rFonts w:ascii="Arial" w:cs="Arial" w:eastAsia="Arial" w:hAnsi="Arial"/>
          <w:sz w:val="19"/>
          <w:szCs w:val="19"/>
          <w:color w:val="auto"/>
        </w:rPr>
        <w:t>29</w:t>
      </w:r>
    </w:p>
    <w:p>
      <w:pPr>
        <w:spacing w:after="0" w:line="4" w:lineRule="exact"/>
        <w:rPr>
          <w:sz w:val="20"/>
          <w:szCs w:val="20"/>
          <w:color w:val="auto"/>
        </w:rPr>
      </w:pPr>
    </w:p>
    <w:p>
      <w:pPr>
        <w:spacing w:after="0"/>
        <w:tabs>
          <w:tab w:leader="none" w:pos="940" w:val="left"/>
          <w:tab w:leader="dot" w:pos="756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22"/>
          <w:szCs w:val="22"/>
          <w:u w:val="single" w:color="auto"/>
          <w:color w:val="auto"/>
        </w:rPr>
        <w:t>Noteless Agreement; Evidence of Indebtedness</w:t>
      </w:r>
      <w:r>
        <w:rPr>
          <w:sz w:val="20"/>
          <w:szCs w:val="20"/>
          <w:color w:val="auto"/>
        </w:rPr>
        <w:tab/>
      </w:r>
      <w:r>
        <w:rPr>
          <w:rFonts w:ascii="Arial" w:cs="Arial" w:eastAsia="Arial" w:hAnsi="Arial"/>
          <w:sz w:val="19"/>
          <w:szCs w:val="19"/>
          <w:color w:val="auto"/>
        </w:rPr>
        <w:t>30</w:t>
      </w:r>
    </w:p>
    <w:p>
      <w:pPr>
        <w:spacing w:after="0" w:line="4" w:lineRule="exact"/>
        <w:rPr>
          <w:sz w:val="20"/>
          <w:szCs w:val="20"/>
          <w:color w:val="auto"/>
        </w:rPr>
      </w:pPr>
    </w:p>
    <w:p>
      <w:pPr>
        <w:spacing w:after="0"/>
        <w:tabs>
          <w:tab w:leader="none" w:pos="940" w:val="left"/>
          <w:tab w:leader="dot" w:pos="758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22"/>
          <w:szCs w:val="22"/>
          <w:u w:val="single" w:color="auto"/>
          <w:color w:val="auto"/>
        </w:rPr>
        <w:t>Telephonic Notices</w:t>
      </w:r>
      <w:r>
        <w:rPr>
          <w:sz w:val="20"/>
          <w:szCs w:val="20"/>
          <w:color w:val="auto"/>
        </w:rPr>
        <w:tab/>
      </w:r>
      <w:r>
        <w:rPr>
          <w:rFonts w:ascii="Arial" w:cs="Arial" w:eastAsia="Arial" w:hAnsi="Arial"/>
          <w:sz w:val="19"/>
          <w:szCs w:val="19"/>
          <w:color w:val="auto"/>
        </w:rPr>
        <w:t>31</w:t>
      </w:r>
    </w:p>
    <w:p>
      <w:pPr>
        <w:spacing w:after="0" w:line="4" w:lineRule="exact"/>
        <w:rPr>
          <w:sz w:val="20"/>
          <w:szCs w:val="20"/>
          <w:color w:val="auto"/>
        </w:rPr>
      </w:pPr>
    </w:p>
    <w:p>
      <w:pPr>
        <w:spacing w:after="0"/>
        <w:tabs>
          <w:tab w:leader="none" w:pos="940" w:val="left"/>
          <w:tab w:leader="dot" w:pos="760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22"/>
          <w:szCs w:val="22"/>
          <w:u w:val="single" w:color="auto"/>
          <w:color w:val="auto"/>
        </w:rPr>
        <w:t>Interest Payment Dates; Interest and Fee Basis</w:t>
      </w:r>
      <w:r>
        <w:rPr>
          <w:sz w:val="20"/>
          <w:szCs w:val="20"/>
          <w:color w:val="auto"/>
        </w:rPr>
        <w:tab/>
      </w:r>
      <w:r>
        <w:rPr>
          <w:rFonts w:ascii="Arial" w:cs="Arial" w:eastAsia="Arial" w:hAnsi="Arial"/>
          <w:sz w:val="19"/>
          <w:szCs w:val="19"/>
          <w:color w:val="auto"/>
        </w:rPr>
        <w:t>31</w:t>
      </w:r>
    </w:p>
    <w:p>
      <w:pPr>
        <w:spacing w:after="0" w:line="4"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19"/>
          <w:szCs w:val="19"/>
          <w:u w:val="single" w:color="auto"/>
          <w:color w:val="auto"/>
        </w:rPr>
        <w:t>Notification of Advances, Interest Rates, Prepayments and Revolving</w:t>
      </w:r>
    </w:p>
    <w:p>
      <w:pPr>
        <w:spacing w:after="0" w:line="4" w:lineRule="exact"/>
        <w:rPr>
          <w:sz w:val="20"/>
          <w:szCs w:val="20"/>
          <w:color w:val="auto"/>
        </w:rPr>
      </w:pPr>
    </w:p>
    <w:p>
      <w:pPr>
        <w:ind w:left="960"/>
        <w:spacing w:after="0"/>
        <w:tabs>
          <w:tab w:leader="dot" w:pos="7540" w:val="left"/>
        </w:tabs>
        <w:rPr>
          <w:sz w:val="20"/>
          <w:szCs w:val="20"/>
          <w:color w:val="auto"/>
        </w:rPr>
      </w:pPr>
      <w:r>
        <w:rPr>
          <w:rFonts w:ascii="Arial" w:cs="Arial" w:eastAsia="Arial" w:hAnsi="Arial"/>
          <w:sz w:val="22"/>
          <w:szCs w:val="22"/>
          <w:u w:val="single" w:color="auto"/>
          <w:color w:val="auto"/>
        </w:rPr>
        <w:t>Commitment Reductions</w:t>
      </w:r>
      <w:r>
        <w:rPr>
          <w:sz w:val="20"/>
          <w:szCs w:val="20"/>
          <w:color w:val="auto"/>
        </w:rPr>
        <w:tab/>
      </w:r>
      <w:r>
        <w:rPr>
          <w:rFonts w:ascii="Arial" w:cs="Arial" w:eastAsia="Arial" w:hAnsi="Arial"/>
          <w:sz w:val="19"/>
          <w:szCs w:val="19"/>
          <w:color w:val="auto"/>
        </w:rPr>
        <w:t>31</w:t>
      </w:r>
    </w:p>
    <w:p>
      <w:pPr>
        <w:spacing w:after="0" w:line="4" w:lineRule="exact"/>
        <w:rPr>
          <w:sz w:val="20"/>
          <w:szCs w:val="20"/>
          <w:color w:val="auto"/>
        </w:rPr>
      </w:pPr>
    </w:p>
    <w:p>
      <w:pPr>
        <w:spacing w:after="0"/>
        <w:tabs>
          <w:tab w:leader="none" w:pos="940" w:val="left"/>
          <w:tab w:leader="dot" w:pos="752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22"/>
          <w:szCs w:val="22"/>
          <w:u w:val="single" w:color="auto"/>
          <w:color w:val="auto"/>
        </w:rPr>
        <w:t>Lending Installations</w:t>
      </w:r>
      <w:r>
        <w:rPr>
          <w:sz w:val="20"/>
          <w:szCs w:val="20"/>
          <w:color w:val="auto"/>
        </w:rPr>
        <w:tab/>
      </w:r>
      <w:r>
        <w:rPr>
          <w:rFonts w:ascii="Arial" w:cs="Arial" w:eastAsia="Arial" w:hAnsi="Arial"/>
          <w:sz w:val="19"/>
          <w:szCs w:val="19"/>
          <w:color w:val="auto"/>
        </w:rPr>
        <w:t>32</w:t>
      </w:r>
    </w:p>
    <w:p>
      <w:pPr>
        <w:spacing w:after="0" w:line="4" w:lineRule="exact"/>
        <w:rPr>
          <w:sz w:val="20"/>
          <w:szCs w:val="20"/>
          <w:color w:val="auto"/>
        </w:rPr>
      </w:pPr>
    </w:p>
    <w:p>
      <w:pPr>
        <w:spacing w:after="0"/>
        <w:tabs>
          <w:tab w:leader="none" w:pos="940" w:val="left"/>
          <w:tab w:leader="dot" w:pos="7540" w:val="left"/>
        </w:tabs>
        <w:rPr>
          <w:sz w:val="20"/>
          <w:szCs w:val="20"/>
          <w:color w:val="auto"/>
        </w:rPr>
      </w:pPr>
      <w:r>
        <w:rPr>
          <w:rFonts w:ascii="Arial" w:cs="Arial" w:eastAsia="Arial" w:hAnsi="Arial"/>
          <w:sz w:val="22"/>
          <w:szCs w:val="22"/>
          <w:color w:val="auto"/>
        </w:rPr>
        <w:t>2.18.</w:t>
      </w:r>
      <w:r>
        <w:rPr>
          <w:sz w:val="20"/>
          <w:szCs w:val="20"/>
          <w:color w:val="auto"/>
        </w:rPr>
        <w:tab/>
      </w:r>
      <w:r>
        <w:rPr>
          <w:rFonts w:ascii="Arial" w:cs="Arial" w:eastAsia="Arial" w:hAnsi="Arial"/>
          <w:sz w:val="22"/>
          <w:szCs w:val="22"/>
          <w:u w:val="single" w:color="auto"/>
          <w:color w:val="auto"/>
        </w:rPr>
        <w:t>Non-Receipt of Funds by the Administrative Agent</w:t>
      </w:r>
      <w:r>
        <w:rPr>
          <w:sz w:val="20"/>
          <w:szCs w:val="20"/>
          <w:color w:val="auto"/>
        </w:rPr>
        <w:tab/>
      </w:r>
      <w:r>
        <w:rPr>
          <w:rFonts w:ascii="Arial" w:cs="Arial" w:eastAsia="Arial" w:hAnsi="Arial"/>
          <w:sz w:val="19"/>
          <w:szCs w:val="19"/>
          <w:color w:val="auto"/>
        </w:rPr>
        <w:t>32</w:t>
      </w:r>
    </w:p>
    <w:p>
      <w:pPr>
        <w:spacing w:after="0" w:line="4" w:lineRule="exact"/>
        <w:rPr>
          <w:sz w:val="20"/>
          <w:szCs w:val="20"/>
          <w:color w:val="auto"/>
        </w:rPr>
      </w:pPr>
    </w:p>
    <w:p>
      <w:pPr>
        <w:spacing w:after="0"/>
        <w:tabs>
          <w:tab w:leader="none" w:pos="940" w:val="left"/>
          <w:tab w:leader="dot" w:pos="7520" w:val="left"/>
        </w:tabs>
        <w:rPr>
          <w:sz w:val="20"/>
          <w:szCs w:val="20"/>
          <w:color w:val="auto"/>
        </w:rPr>
      </w:pPr>
      <w:r>
        <w:rPr>
          <w:rFonts w:ascii="Arial" w:cs="Arial" w:eastAsia="Arial" w:hAnsi="Arial"/>
          <w:sz w:val="22"/>
          <w:szCs w:val="22"/>
          <w:color w:val="auto"/>
        </w:rPr>
        <w:t>2.19.</w:t>
      </w:r>
      <w:r>
        <w:rPr>
          <w:sz w:val="20"/>
          <w:szCs w:val="20"/>
          <w:color w:val="auto"/>
        </w:rPr>
        <w:tab/>
      </w:r>
      <w:r>
        <w:rPr>
          <w:rFonts w:ascii="Arial" w:cs="Arial" w:eastAsia="Arial" w:hAnsi="Arial"/>
          <w:sz w:val="22"/>
          <w:szCs w:val="22"/>
          <w:u w:val="single" w:color="auto"/>
          <w:color w:val="auto"/>
        </w:rPr>
        <w:t>Facility LCs</w:t>
      </w:r>
      <w:r>
        <w:rPr>
          <w:sz w:val="20"/>
          <w:szCs w:val="20"/>
          <w:color w:val="auto"/>
        </w:rPr>
        <w:tab/>
      </w:r>
      <w:r>
        <w:rPr>
          <w:rFonts w:ascii="Arial" w:cs="Arial" w:eastAsia="Arial" w:hAnsi="Arial"/>
          <w:sz w:val="19"/>
          <w:szCs w:val="19"/>
          <w:color w:val="auto"/>
        </w:rPr>
        <w:t>32</w:t>
      </w:r>
    </w:p>
    <w:p>
      <w:pPr>
        <w:spacing w:after="0" w:line="4" w:lineRule="exact"/>
        <w:rPr>
          <w:sz w:val="20"/>
          <w:szCs w:val="20"/>
          <w:color w:val="auto"/>
        </w:rPr>
      </w:pPr>
    </w:p>
    <w:p>
      <w:pPr>
        <w:spacing w:after="0"/>
        <w:tabs>
          <w:tab w:leader="none" w:pos="940" w:val="left"/>
          <w:tab w:leader="dot" w:pos="7500" w:val="left"/>
        </w:tabs>
        <w:rPr>
          <w:sz w:val="20"/>
          <w:szCs w:val="20"/>
          <w:color w:val="auto"/>
        </w:rPr>
      </w:pPr>
      <w:r>
        <w:rPr>
          <w:rFonts w:ascii="Arial" w:cs="Arial" w:eastAsia="Arial" w:hAnsi="Arial"/>
          <w:sz w:val="22"/>
          <w:szCs w:val="22"/>
          <w:color w:val="auto"/>
        </w:rPr>
        <w:t>2.20.</w:t>
      </w:r>
      <w:r>
        <w:rPr>
          <w:sz w:val="20"/>
          <w:szCs w:val="20"/>
          <w:color w:val="auto"/>
        </w:rPr>
        <w:tab/>
      </w:r>
      <w:r>
        <w:rPr>
          <w:rFonts w:ascii="Arial" w:cs="Arial" w:eastAsia="Arial" w:hAnsi="Arial"/>
          <w:sz w:val="22"/>
          <w:szCs w:val="22"/>
          <w:u w:val="single" w:color="auto"/>
          <w:color w:val="auto"/>
        </w:rPr>
        <w:t>Replacement of Lender</w:t>
      </w:r>
      <w:r>
        <w:rPr>
          <w:sz w:val="20"/>
          <w:szCs w:val="20"/>
          <w:color w:val="auto"/>
        </w:rPr>
        <w:tab/>
      </w:r>
      <w:r>
        <w:rPr>
          <w:rFonts w:ascii="Arial" w:cs="Arial" w:eastAsia="Arial" w:hAnsi="Arial"/>
          <w:sz w:val="19"/>
          <w:szCs w:val="19"/>
          <w:color w:val="auto"/>
        </w:rPr>
        <w:t>36</w:t>
      </w:r>
    </w:p>
    <w:p>
      <w:pPr>
        <w:spacing w:after="0" w:line="4" w:lineRule="exact"/>
        <w:rPr>
          <w:sz w:val="20"/>
          <w:szCs w:val="20"/>
          <w:color w:val="auto"/>
        </w:rPr>
      </w:pPr>
    </w:p>
    <w:p>
      <w:pPr>
        <w:spacing w:after="0"/>
        <w:tabs>
          <w:tab w:leader="none" w:pos="940" w:val="left"/>
          <w:tab w:leader="dot" w:pos="7540"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22"/>
          <w:szCs w:val="22"/>
          <w:u w:val="single" w:color="auto"/>
          <w:color w:val="auto"/>
        </w:rPr>
        <w:t>Limitation of Interest</w:t>
      </w:r>
      <w:r>
        <w:rPr>
          <w:sz w:val="20"/>
          <w:szCs w:val="20"/>
          <w:color w:val="auto"/>
        </w:rPr>
        <w:tab/>
      </w:r>
      <w:r>
        <w:rPr>
          <w:rFonts w:ascii="Arial" w:cs="Arial" w:eastAsia="Arial" w:hAnsi="Arial"/>
          <w:sz w:val="19"/>
          <w:szCs w:val="19"/>
          <w:color w:val="auto"/>
        </w:rPr>
        <w:t>37</w:t>
      </w:r>
    </w:p>
    <w:p>
      <w:pPr>
        <w:spacing w:after="0" w:line="4" w:lineRule="exact"/>
        <w:rPr>
          <w:sz w:val="20"/>
          <w:szCs w:val="20"/>
          <w:color w:val="auto"/>
        </w:rPr>
      </w:pPr>
    </w:p>
    <w:p>
      <w:pPr>
        <w:spacing w:after="0"/>
        <w:tabs>
          <w:tab w:leader="none" w:pos="940" w:val="left"/>
          <w:tab w:leader="dot" w:pos="7520" w:val="left"/>
        </w:tabs>
        <w:rPr>
          <w:sz w:val="20"/>
          <w:szCs w:val="20"/>
          <w:color w:val="auto"/>
        </w:rPr>
      </w:pPr>
      <w:r>
        <w:rPr>
          <w:rFonts w:ascii="Arial" w:cs="Arial" w:eastAsia="Arial" w:hAnsi="Arial"/>
          <w:sz w:val="22"/>
          <w:szCs w:val="22"/>
          <w:color w:val="auto"/>
        </w:rPr>
        <w:t>2.22.</w:t>
      </w:r>
      <w:r>
        <w:rPr>
          <w:sz w:val="20"/>
          <w:szCs w:val="20"/>
          <w:color w:val="auto"/>
        </w:rPr>
        <w:tab/>
      </w:r>
      <w:r>
        <w:rPr>
          <w:rFonts w:ascii="Arial" w:cs="Arial" w:eastAsia="Arial" w:hAnsi="Arial"/>
          <w:sz w:val="22"/>
          <w:szCs w:val="22"/>
          <w:u w:val="single" w:color="auto"/>
          <w:color w:val="auto"/>
        </w:rPr>
        <w:t>Defaulting Lenders</w:t>
      </w:r>
      <w:r>
        <w:rPr>
          <w:sz w:val="20"/>
          <w:szCs w:val="20"/>
          <w:color w:val="auto"/>
        </w:rPr>
        <w:tab/>
      </w:r>
      <w:r>
        <w:rPr>
          <w:rFonts w:ascii="Arial" w:cs="Arial" w:eastAsia="Arial" w:hAnsi="Arial"/>
          <w:sz w:val="19"/>
          <w:szCs w:val="19"/>
          <w:color w:val="auto"/>
        </w:rPr>
        <w:t>38</w:t>
      </w:r>
    </w:p>
    <w:p>
      <w:pPr>
        <w:spacing w:after="0" w:line="17" w:lineRule="exact"/>
        <w:rPr>
          <w:sz w:val="20"/>
          <w:szCs w:val="20"/>
          <w:color w:val="auto"/>
        </w:rPr>
      </w:pPr>
    </w:p>
    <w:p>
      <w:pPr>
        <w:spacing w:after="0"/>
        <w:tabs>
          <w:tab w:leader="none" w:pos="940" w:val="left"/>
          <w:tab w:leader="dot" w:pos="7560"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22"/>
          <w:szCs w:val="22"/>
          <w:u w:val="single" w:color="auto"/>
          <w:color w:val="auto"/>
        </w:rPr>
        <w:t>Judgment Currency</w:t>
      </w:r>
      <w:r>
        <w:rPr>
          <w:sz w:val="20"/>
          <w:szCs w:val="20"/>
          <w:color w:val="auto"/>
        </w:rPr>
        <w:tab/>
      </w:r>
      <w:r>
        <w:rPr>
          <w:rFonts w:ascii="Arial" w:cs="Arial" w:eastAsia="Arial" w:hAnsi="Arial"/>
          <w:sz w:val="17"/>
          <w:szCs w:val="17"/>
          <w:color w:val="auto"/>
        </w:rPr>
        <w:t>42</w:t>
      </w:r>
    </w:p>
    <w:p>
      <w:pPr>
        <w:spacing w:after="0" w:line="155" w:lineRule="exact"/>
        <w:rPr>
          <w:sz w:val="20"/>
          <w:szCs w:val="20"/>
          <w:color w:val="auto"/>
        </w:rPr>
      </w:pPr>
    </w:p>
    <w:p>
      <w:pPr>
        <w:ind w:left="2560"/>
        <w:spacing w:after="0"/>
        <w:tabs>
          <w:tab w:leader="none" w:pos="7160" w:val="left"/>
        </w:tabs>
        <w:rPr>
          <w:sz w:val="20"/>
          <w:szCs w:val="20"/>
          <w:color w:val="auto"/>
        </w:rPr>
      </w:pPr>
      <w:r>
        <w:rPr>
          <w:rFonts w:ascii="Arial" w:cs="Arial" w:eastAsia="Arial" w:hAnsi="Arial"/>
          <w:sz w:val="22"/>
          <w:szCs w:val="22"/>
          <w:b w:val="1"/>
          <w:bCs w:val="1"/>
          <w:u w:val="single" w:color="auto"/>
          <w:color w:val="auto"/>
        </w:rPr>
        <w:t>ARTICLE III YIELD PROTECTION; TAXES</w:t>
      </w:r>
      <w:r>
        <w:rPr>
          <w:sz w:val="20"/>
          <w:szCs w:val="20"/>
          <w:color w:val="auto"/>
        </w:rPr>
        <w:tab/>
      </w:r>
      <w:r>
        <w:rPr>
          <w:rFonts w:ascii="Arial" w:cs="Arial" w:eastAsia="Arial" w:hAnsi="Arial"/>
          <w:sz w:val="19"/>
          <w:szCs w:val="19"/>
          <w:b w:val="1"/>
          <w:bCs w:val="1"/>
          <w:u w:val="single" w:color="auto"/>
          <w:color w:val="auto"/>
        </w:rPr>
        <w:t>42</w:t>
      </w:r>
    </w:p>
    <w:p>
      <w:pPr>
        <w:spacing w:after="0" w:line="172" w:lineRule="exact"/>
        <w:rPr>
          <w:sz w:val="20"/>
          <w:szCs w:val="20"/>
          <w:color w:val="auto"/>
        </w:rPr>
      </w:pPr>
    </w:p>
    <w:p>
      <w:pPr>
        <w:spacing w:after="0"/>
        <w:tabs>
          <w:tab w:leader="none" w:pos="940" w:val="left"/>
          <w:tab w:leader="dot" w:pos="75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2"/>
          <w:szCs w:val="22"/>
          <w:u w:val="single" w:color="auto"/>
          <w:color w:val="auto"/>
        </w:rPr>
        <w:t>Yield Protection</w:t>
      </w:r>
      <w:r>
        <w:rPr>
          <w:sz w:val="20"/>
          <w:szCs w:val="20"/>
          <w:color w:val="auto"/>
        </w:rPr>
        <w:tab/>
      </w:r>
      <w:r>
        <w:rPr>
          <w:rFonts w:ascii="Arial" w:cs="Arial" w:eastAsia="Arial" w:hAnsi="Arial"/>
          <w:sz w:val="17"/>
          <w:szCs w:val="17"/>
          <w:color w:val="auto"/>
        </w:rPr>
        <w:t>42</w:t>
      </w:r>
    </w:p>
    <w:p>
      <w:pPr>
        <w:spacing w:after="0" w:line="22" w:lineRule="exact"/>
        <w:rPr>
          <w:sz w:val="20"/>
          <w:szCs w:val="20"/>
          <w:color w:val="auto"/>
        </w:rPr>
      </w:pPr>
    </w:p>
    <w:p>
      <w:pPr>
        <w:spacing w:after="0"/>
        <w:tabs>
          <w:tab w:leader="none" w:pos="940" w:val="left"/>
          <w:tab w:leader="dot" w:pos="756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2"/>
          <w:szCs w:val="22"/>
          <w:u w:val="single" w:color="auto"/>
          <w:color w:val="auto"/>
        </w:rPr>
        <w:t>Changes in Capital Adequacy Regulations</w:t>
      </w:r>
      <w:r>
        <w:rPr>
          <w:sz w:val="20"/>
          <w:szCs w:val="20"/>
          <w:color w:val="auto"/>
        </w:rPr>
        <w:tab/>
      </w:r>
      <w:r>
        <w:rPr>
          <w:rFonts w:ascii="Arial" w:cs="Arial" w:eastAsia="Arial" w:hAnsi="Arial"/>
          <w:sz w:val="19"/>
          <w:szCs w:val="19"/>
          <w:color w:val="auto"/>
        </w:rPr>
        <w:t>43</w:t>
      </w:r>
    </w:p>
    <w:p>
      <w:pPr>
        <w:spacing w:after="0" w:line="4" w:lineRule="exact"/>
        <w:rPr>
          <w:sz w:val="20"/>
          <w:szCs w:val="20"/>
          <w:color w:val="auto"/>
        </w:rPr>
      </w:pPr>
    </w:p>
    <w:p>
      <w:pPr>
        <w:spacing w:after="0"/>
        <w:tabs>
          <w:tab w:leader="none" w:pos="940" w:val="left"/>
          <w:tab w:leader="dot" w:pos="756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2"/>
          <w:szCs w:val="22"/>
          <w:u w:val="single" w:color="auto"/>
          <w:color w:val="auto"/>
        </w:rPr>
        <w:t>Availability of Types of Advances; Adequacy of Interest Rate</w:t>
      </w:r>
      <w:r>
        <w:rPr>
          <w:sz w:val="20"/>
          <w:szCs w:val="20"/>
          <w:color w:val="auto"/>
        </w:rPr>
        <w:tab/>
      </w:r>
      <w:r>
        <w:rPr>
          <w:rFonts w:ascii="Arial" w:cs="Arial" w:eastAsia="Arial" w:hAnsi="Arial"/>
          <w:sz w:val="19"/>
          <w:szCs w:val="19"/>
          <w:color w:val="auto"/>
        </w:rPr>
        <w:t>43</w:t>
      </w:r>
    </w:p>
    <w:p>
      <w:pPr>
        <w:spacing w:after="0" w:line="4" w:lineRule="exact"/>
        <w:rPr>
          <w:sz w:val="20"/>
          <w:szCs w:val="20"/>
          <w:color w:val="auto"/>
        </w:rPr>
      </w:pPr>
    </w:p>
    <w:p>
      <w:pPr>
        <w:spacing w:after="0"/>
        <w:tabs>
          <w:tab w:leader="none" w:pos="940" w:val="left"/>
          <w:tab w:leader="dot" w:pos="752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22"/>
          <w:szCs w:val="22"/>
          <w:u w:val="single" w:color="auto"/>
          <w:color w:val="auto"/>
        </w:rPr>
        <w:t>Funding Indemnification</w:t>
      </w:r>
      <w:r>
        <w:rPr>
          <w:sz w:val="20"/>
          <w:szCs w:val="20"/>
          <w:color w:val="auto"/>
        </w:rPr>
        <w:tab/>
      </w:r>
      <w:r>
        <w:rPr>
          <w:rFonts w:ascii="Arial" w:cs="Arial" w:eastAsia="Arial" w:hAnsi="Arial"/>
          <w:sz w:val="19"/>
          <w:szCs w:val="19"/>
          <w:color w:val="auto"/>
        </w:rPr>
        <w:t>44</w:t>
      </w:r>
    </w:p>
    <w:p>
      <w:pPr>
        <w:spacing w:after="0" w:line="4" w:lineRule="exact"/>
        <w:rPr>
          <w:sz w:val="20"/>
          <w:szCs w:val="20"/>
          <w:color w:val="auto"/>
        </w:rPr>
      </w:pPr>
    </w:p>
    <w:p>
      <w:pPr>
        <w:spacing w:after="0"/>
        <w:tabs>
          <w:tab w:leader="none" w:pos="940" w:val="left"/>
          <w:tab w:leader="dot" w:pos="754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22"/>
          <w:szCs w:val="22"/>
          <w:u w:val="single" w:color="auto"/>
          <w:color w:val="auto"/>
        </w:rPr>
        <w:t>Taxes</w:t>
      </w:r>
      <w:r>
        <w:rPr>
          <w:sz w:val="20"/>
          <w:szCs w:val="20"/>
          <w:color w:val="auto"/>
        </w:rPr>
        <w:tab/>
      </w:r>
      <w:r>
        <w:rPr>
          <w:rFonts w:ascii="Arial" w:cs="Arial" w:eastAsia="Arial" w:hAnsi="Arial"/>
          <w:sz w:val="19"/>
          <w:szCs w:val="19"/>
          <w:color w:val="auto"/>
        </w:rPr>
        <w:t>44</w:t>
      </w:r>
    </w:p>
    <w:p>
      <w:pPr>
        <w:sectPr>
          <w:pgSz w:w="11900" w:h="16838" w:orient="portrait"/>
          <w:cols w:equalWidth="0" w:num="1">
            <w:col w:w="10680"/>
          </w:cols>
          <w:pgMar w:left="980" w:top="423" w:right="239" w:bottom="1440" w:gutter="0" w:footer="0" w:header="0"/>
        </w:sectPr>
      </w:pPr>
    </w:p>
    <w:bookmarkStart w:id="112" w:name="page113"/>
    <w:bookmarkEnd w:id="112"/>
    <w:p>
      <w:pPr>
        <w:ind w:left="5600"/>
        <w:spacing w:after="0"/>
        <w:rPr>
          <w:sz w:val="20"/>
          <w:szCs w:val="20"/>
          <w:color w:val="auto"/>
        </w:rPr>
      </w:pPr>
      <w:r>
        <w:rPr>
          <w:rFonts w:ascii="Arial" w:cs="Arial" w:eastAsia="Arial" w:hAnsi="Arial"/>
          <w:sz w:val="22"/>
          <w:szCs w:val="22"/>
          <w:color w:val="auto"/>
        </w:rPr>
        <w:t>i</w:t>
      </w:r>
    </w:p>
    <w:p>
      <w:pPr>
        <w:spacing w:after="0" w:line="71"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9"/>
          <w:szCs w:val="19"/>
          <w:u w:val="single" w:color="auto"/>
          <w:color w:val="auto"/>
        </w:rPr>
        <w:t>Selection of Lending Installation; Mitigation Obligations; Lender</w:t>
      </w:r>
    </w:p>
    <w:p>
      <w:pPr>
        <w:spacing w:after="0" w:line="22" w:lineRule="exact"/>
        <w:rPr>
          <w:sz w:val="20"/>
          <w:szCs w:val="20"/>
          <w:color w:val="auto"/>
        </w:rPr>
      </w:pPr>
    </w:p>
    <w:p>
      <w:pPr>
        <w:ind w:left="1620"/>
        <w:spacing w:after="0"/>
        <w:tabs>
          <w:tab w:leader="dot" w:pos="8200" w:val="left"/>
        </w:tabs>
        <w:rPr>
          <w:sz w:val="20"/>
          <w:szCs w:val="20"/>
          <w:color w:val="auto"/>
        </w:rPr>
      </w:pPr>
      <w:r>
        <w:rPr>
          <w:rFonts w:ascii="Arial" w:cs="Arial" w:eastAsia="Arial" w:hAnsi="Arial"/>
          <w:sz w:val="22"/>
          <w:szCs w:val="22"/>
          <w:u w:val="single" w:color="auto"/>
          <w:color w:val="auto"/>
        </w:rPr>
        <w:t>Statements; Survival of Indemnity</w:t>
      </w:r>
      <w:r>
        <w:rPr>
          <w:sz w:val="20"/>
          <w:szCs w:val="20"/>
          <w:color w:val="auto"/>
        </w:rPr>
        <w:tab/>
      </w:r>
      <w:r>
        <w:rPr>
          <w:rFonts w:ascii="Arial" w:cs="Arial" w:eastAsia="Arial" w:hAnsi="Arial"/>
          <w:sz w:val="19"/>
          <w:szCs w:val="19"/>
          <w:color w:val="auto"/>
        </w:rPr>
        <w:t>48</w:t>
      </w:r>
    </w:p>
    <w:p>
      <w:pPr>
        <w:spacing w:after="0" w:line="142" w:lineRule="exact"/>
        <w:rPr>
          <w:sz w:val="20"/>
          <w:szCs w:val="20"/>
          <w:color w:val="auto"/>
        </w:rPr>
      </w:pPr>
    </w:p>
    <w:p>
      <w:pPr>
        <w:spacing w:after="0"/>
        <w:tabs>
          <w:tab w:leader="none" w:pos="4300" w:val="left"/>
        </w:tabs>
        <w:rPr>
          <w:sz w:val="20"/>
          <w:szCs w:val="20"/>
          <w:color w:val="auto"/>
        </w:rPr>
      </w:pPr>
      <w:r>
        <w:rPr>
          <w:rFonts w:ascii="Arial" w:cs="Arial" w:eastAsia="Arial" w:hAnsi="Arial"/>
          <w:sz w:val="22"/>
          <w:szCs w:val="22"/>
          <w:b w:val="1"/>
          <w:bCs w:val="1"/>
          <w:u w:val="single" w:color="auto"/>
          <w:color w:val="auto"/>
        </w:rPr>
        <w:t>ARTICLE IV CONDITIONS PRECEDENT</w:t>
      </w:r>
      <w:r>
        <w:rPr>
          <w:sz w:val="20"/>
          <w:szCs w:val="20"/>
          <w:color w:val="auto"/>
        </w:rPr>
        <w:tab/>
      </w:r>
      <w:r>
        <w:rPr>
          <w:rFonts w:ascii="Arial" w:cs="Arial" w:eastAsia="Arial" w:hAnsi="Arial"/>
          <w:sz w:val="19"/>
          <w:szCs w:val="19"/>
          <w:b w:val="1"/>
          <w:bCs w:val="1"/>
          <w:u w:val="single" w:color="auto"/>
          <w:color w:val="auto"/>
        </w:rPr>
        <w:t>48</w:t>
      </w:r>
    </w:p>
    <w:p>
      <w:pPr>
        <w:spacing w:after="0" w:line="172" w:lineRule="exact"/>
        <w:rPr>
          <w:sz w:val="20"/>
          <w:szCs w:val="20"/>
          <w:color w:val="auto"/>
        </w:rPr>
      </w:pPr>
    </w:p>
    <w:p>
      <w:pPr>
        <w:ind w:left="660"/>
        <w:spacing w:after="0"/>
        <w:tabs>
          <w:tab w:leader="none" w:pos="1600" w:val="left"/>
          <w:tab w:leader="dot" w:pos="822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2"/>
          <w:szCs w:val="22"/>
          <w:u w:val="single" w:color="auto"/>
          <w:color w:val="auto"/>
        </w:rPr>
        <w:t>Initial Credit Extension</w:t>
      </w:r>
      <w:r>
        <w:rPr>
          <w:sz w:val="20"/>
          <w:szCs w:val="20"/>
          <w:color w:val="auto"/>
        </w:rPr>
        <w:tab/>
      </w:r>
      <w:r>
        <w:rPr>
          <w:rFonts w:ascii="Arial" w:cs="Arial" w:eastAsia="Arial" w:hAnsi="Arial"/>
          <w:sz w:val="19"/>
          <w:szCs w:val="19"/>
          <w:color w:val="auto"/>
        </w:rPr>
        <w:t>48</w:t>
      </w:r>
    </w:p>
    <w:p>
      <w:pPr>
        <w:spacing w:after="0" w:line="22" w:lineRule="exact"/>
        <w:rPr>
          <w:sz w:val="20"/>
          <w:szCs w:val="20"/>
          <w:color w:val="auto"/>
        </w:rPr>
      </w:pPr>
    </w:p>
    <w:p>
      <w:pPr>
        <w:ind w:left="660"/>
        <w:spacing w:after="0"/>
        <w:tabs>
          <w:tab w:leader="none" w:pos="1600" w:val="left"/>
          <w:tab w:leader="dot" w:pos="82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2"/>
          <w:szCs w:val="22"/>
          <w:u w:val="single" w:color="auto"/>
          <w:color w:val="auto"/>
        </w:rPr>
        <w:t>Each Credit Extension</w:t>
      </w:r>
      <w:r>
        <w:rPr>
          <w:sz w:val="20"/>
          <w:szCs w:val="20"/>
          <w:color w:val="auto"/>
        </w:rPr>
        <w:tab/>
      </w:r>
      <w:r>
        <w:rPr>
          <w:rFonts w:ascii="Arial" w:cs="Arial" w:eastAsia="Arial" w:hAnsi="Arial"/>
          <w:sz w:val="19"/>
          <w:szCs w:val="19"/>
          <w:color w:val="auto"/>
        </w:rPr>
        <w:t>49</w:t>
      </w:r>
    </w:p>
    <w:p>
      <w:pPr>
        <w:spacing w:after="0" w:line="142" w:lineRule="exact"/>
        <w:rPr>
          <w:sz w:val="20"/>
          <w:szCs w:val="20"/>
          <w:color w:val="auto"/>
        </w:rPr>
      </w:pPr>
    </w:p>
    <w:p>
      <w:pPr>
        <w:spacing w:after="0"/>
        <w:tabs>
          <w:tab w:leader="none" w:pos="5580" w:val="left"/>
        </w:tabs>
        <w:rPr>
          <w:sz w:val="20"/>
          <w:szCs w:val="20"/>
          <w:color w:val="auto"/>
        </w:rPr>
      </w:pPr>
      <w:r>
        <w:rPr>
          <w:rFonts w:ascii="Arial" w:cs="Arial" w:eastAsia="Arial" w:hAnsi="Arial"/>
          <w:sz w:val="22"/>
          <w:szCs w:val="22"/>
          <w:b w:val="1"/>
          <w:bCs w:val="1"/>
          <w:u w:val="single" w:color="auto"/>
          <w:color w:val="auto"/>
        </w:rPr>
        <w:t>ARTICLE V REPRESENTATIONS AND WARRANTIES</w:t>
      </w:r>
      <w:r>
        <w:rPr>
          <w:sz w:val="20"/>
          <w:szCs w:val="20"/>
          <w:color w:val="auto"/>
        </w:rPr>
        <w:tab/>
      </w:r>
      <w:r>
        <w:rPr>
          <w:rFonts w:ascii="Arial" w:cs="Arial" w:eastAsia="Arial" w:hAnsi="Arial"/>
          <w:sz w:val="19"/>
          <w:szCs w:val="19"/>
          <w:b w:val="1"/>
          <w:bCs w:val="1"/>
          <w:u w:val="single" w:color="auto"/>
          <w:color w:val="auto"/>
        </w:rPr>
        <w:t>50</w:t>
      </w:r>
    </w:p>
    <w:p>
      <w:pPr>
        <w:spacing w:after="0" w:line="172" w:lineRule="exact"/>
        <w:rPr>
          <w:sz w:val="20"/>
          <w:szCs w:val="20"/>
          <w:color w:val="auto"/>
        </w:rPr>
      </w:pPr>
    </w:p>
    <w:p>
      <w:pPr>
        <w:ind w:left="660"/>
        <w:spacing w:after="0"/>
        <w:tabs>
          <w:tab w:leader="none" w:pos="1600" w:val="left"/>
          <w:tab w:leader="dot" w:pos="822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2"/>
          <w:szCs w:val="22"/>
          <w:u w:val="single" w:color="auto"/>
          <w:color w:val="auto"/>
        </w:rPr>
        <w:t>Existence and Standing</w:t>
      </w:r>
      <w:r>
        <w:rPr>
          <w:sz w:val="20"/>
          <w:szCs w:val="20"/>
          <w:color w:val="auto"/>
        </w:rPr>
        <w:tab/>
      </w:r>
      <w:r>
        <w:rPr>
          <w:rFonts w:ascii="Arial" w:cs="Arial" w:eastAsia="Arial" w:hAnsi="Arial"/>
          <w:sz w:val="19"/>
          <w:szCs w:val="19"/>
          <w:color w:val="auto"/>
        </w:rPr>
        <w:t>51</w:t>
      </w:r>
    </w:p>
    <w:p>
      <w:pPr>
        <w:spacing w:after="0" w:line="22" w:lineRule="exact"/>
        <w:rPr>
          <w:sz w:val="20"/>
          <w:szCs w:val="20"/>
          <w:color w:val="auto"/>
        </w:rPr>
      </w:pPr>
    </w:p>
    <w:p>
      <w:pPr>
        <w:ind w:left="660"/>
        <w:spacing w:after="0"/>
        <w:tabs>
          <w:tab w:leader="none" w:pos="1600" w:val="left"/>
          <w:tab w:leader="dot" w:pos="822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2"/>
          <w:szCs w:val="22"/>
          <w:u w:val="single" w:color="auto"/>
          <w:color w:val="auto"/>
        </w:rPr>
        <w:t>Authorization and Validity</w:t>
      </w:r>
      <w:r>
        <w:rPr>
          <w:sz w:val="20"/>
          <w:szCs w:val="20"/>
          <w:color w:val="auto"/>
        </w:rPr>
        <w:tab/>
      </w:r>
      <w:r>
        <w:rPr>
          <w:rFonts w:ascii="Arial" w:cs="Arial" w:eastAsia="Arial" w:hAnsi="Arial"/>
          <w:sz w:val="19"/>
          <w:szCs w:val="19"/>
          <w:color w:val="auto"/>
        </w:rPr>
        <w:t>51</w:t>
      </w:r>
    </w:p>
    <w:p>
      <w:pPr>
        <w:spacing w:after="0" w:line="4" w:lineRule="exact"/>
        <w:rPr>
          <w:sz w:val="20"/>
          <w:szCs w:val="20"/>
          <w:color w:val="auto"/>
        </w:rPr>
      </w:pPr>
    </w:p>
    <w:p>
      <w:pPr>
        <w:ind w:left="660"/>
        <w:spacing w:after="0"/>
        <w:tabs>
          <w:tab w:leader="none" w:pos="1600" w:val="left"/>
          <w:tab w:leader="dot" w:pos="81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22"/>
          <w:szCs w:val="22"/>
          <w:u w:val="single" w:color="auto"/>
          <w:color w:val="auto"/>
        </w:rPr>
        <w:t>No Conflict; No Default</w:t>
      </w:r>
      <w:r>
        <w:rPr>
          <w:sz w:val="20"/>
          <w:szCs w:val="20"/>
          <w:color w:val="auto"/>
        </w:rPr>
        <w:tab/>
      </w:r>
      <w:r>
        <w:rPr>
          <w:rFonts w:ascii="Arial" w:cs="Arial" w:eastAsia="Arial" w:hAnsi="Arial"/>
          <w:sz w:val="19"/>
          <w:szCs w:val="19"/>
          <w:color w:val="auto"/>
        </w:rPr>
        <w:t>51</w:t>
      </w:r>
    </w:p>
    <w:p>
      <w:pPr>
        <w:spacing w:after="0" w:line="4" w:lineRule="exact"/>
        <w:rPr>
          <w:sz w:val="20"/>
          <w:szCs w:val="20"/>
          <w:color w:val="auto"/>
        </w:rPr>
      </w:pPr>
    </w:p>
    <w:p>
      <w:pPr>
        <w:ind w:left="660"/>
        <w:spacing w:after="0"/>
        <w:tabs>
          <w:tab w:leader="none" w:pos="1600" w:val="left"/>
          <w:tab w:leader="dot" w:pos="932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22"/>
          <w:szCs w:val="22"/>
          <w:u w:val="single" w:color="auto"/>
          <w:color w:val="auto"/>
        </w:rPr>
        <w:t>Government Consent</w:t>
      </w:r>
      <w:r>
        <w:rPr>
          <w:sz w:val="20"/>
          <w:szCs w:val="20"/>
          <w:color w:val="auto"/>
        </w:rPr>
        <w:tab/>
      </w:r>
      <w:r>
        <w:rPr>
          <w:rFonts w:ascii="Arial" w:cs="Arial" w:eastAsia="Arial" w:hAnsi="Arial"/>
          <w:sz w:val="19"/>
          <w:szCs w:val="19"/>
          <w:color w:val="auto"/>
        </w:rPr>
        <w:t>51</w:t>
      </w:r>
    </w:p>
    <w:p>
      <w:pPr>
        <w:spacing w:after="0" w:line="4" w:lineRule="exact"/>
        <w:rPr>
          <w:sz w:val="20"/>
          <w:szCs w:val="20"/>
          <w:color w:val="auto"/>
        </w:rPr>
      </w:pPr>
    </w:p>
    <w:p>
      <w:pPr>
        <w:ind w:left="660"/>
        <w:spacing w:after="0"/>
        <w:tabs>
          <w:tab w:leader="none" w:pos="1600" w:val="left"/>
          <w:tab w:leader="dot" w:pos="820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22"/>
          <w:szCs w:val="22"/>
          <w:u w:val="single" w:color="auto"/>
          <w:color w:val="auto"/>
        </w:rPr>
        <w:t>Financial Statements and Condition</w:t>
      </w:r>
      <w:r>
        <w:rPr>
          <w:sz w:val="20"/>
          <w:szCs w:val="20"/>
          <w:color w:val="auto"/>
        </w:rPr>
        <w:tab/>
      </w:r>
      <w:r>
        <w:rPr>
          <w:rFonts w:ascii="Arial" w:cs="Arial" w:eastAsia="Arial" w:hAnsi="Arial"/>
          <w:sz w:val="19"/>
          <w:szCs w:val="19"/>
          <w:color w:val="auto"/>
        </w:rPr>
        <w:t>52</w:t>
      </w:r>
    </w:p>
    <w:p>
      <w:pPr>
        <w:spacing w:after="0" w:line="4" w:lineRule="exact"/>
        <w:rPr>
          <w:sz w:val="20"/>
          <w:szCs w:val="20"/>
          <w:color w:val="auto"/>
        </w:rPr>
      </w:pPr>
    </w:p>
    <w:p>
      <w:pPr>
        <w:ind w:left="660"/>
        <w:spacing w:after="0"/>
        <w:tabs>
          <w:tab w:leader="none" w:pos="1600" w:val="left"/>
          <w:tab w:leader="dot" w:pos="820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22"/>
          <w:szCs w:val="22"/>
          <w:u w:val="single" w:color="auto"/>
          <w:color w:val="auto"/>
        </w:rPr>
        <w:t>Material Adverse Change</w:t>
      </w:r>
      <w:r>
        <w:rPr>
          <w:sz w:val="20"/>
          <w:szCs w:val="20"/>
          <w:color w:val="auto"/>
        </w:rPr>
        <w:tab/>
      </w:r>
      <w:r>
        <w:rPr>
          <w:rFonts w:ascii="Arial" w:cs="Arial" w:eastAsia="Arial" w:hAnsi="Arial"/>
          <w:sz w:val="17"/>
          <w:szCs w:val="17"/>
          <w:color w:val="auto"/>
        </w:rPr>
        <w:t>52</w:t>
      </w:r>
    </w:p>
    <w:p>
      <w:pPr>
        <w:spacing w:after="0" w:line="4" w:lineRule="exact"/>
        <w:rPr>
          <w:sz w:val="20"/>
          <w:szCs w:val="20"/>
          <w:color w:val="auto"/>
        </w:rPr>
      </w:pPr>
    </w:p>
    <w:p>
      <w:pPr>
        <w:ind w:left="660"/>
        <w:spacing w:after="0"/>
        <w:tabs>
          <w:tab w:leader="none" w:pos="1600" w:val="left"/>
          <w:tab w:leader="dot" w:pos="820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22"/>
          <w:szCs w:val="22"/>
          <w:u w:val="single" w:color="auto"/>
          <w:color w:val="auto"/>
        </w:rPr>
        <w:t>Taxes</w:t>
      </w:r>
      <w:r>
        <w:rPr>
          <w:sz w:val="20"/>
          <w:szCs w:val="20"/>
          <w:color w:val="auto"/>
        </w:rPr>
        <w:tab/>
      </w:r>
      <w:r>
        <w:rPr>
          <w:rFonts w:ascii="Arial" w:cs="Arial" w:eastAsia="Arial" w:hAnsi="Arial"/>
          <w:sz w:val="19"/>
          <w:szCs w:val="19"/>
          <w:color w:val="auto"/>
        </w:rPr>
        <w:t>52</w:t>
      </w:r>
    </w:p>
    <w:p>
      <w:pPr>
        <w:spacing w:after="0" w:line="4" w:lineRule="exact"/>
        <w:rPr>
          <w:sz w:val="20"/>
          <w:szCs w:val="20"/>
          <w:color w:val="auto"/>
        </w:rPr>
      </w:pPr>
    </w:p>
    <w:p>
      <w:pPr>
        <w:ind w:left="660"/>
        <w:spacing w:after="0"/>
        <w:tabs>
          <w:tab w:leader="none" w:pos="1600" w:val="left"/>
          <w:tab w:leader="dot" w:pos="8180" w:val="left"/>
        </w:tabs>
        <w:rPr>
          <w:sz w:val="20"/>
          <w:szCs w:val="20"/>
          <w:color w:val="auto"/>
        </w:rPr>
      </w:pPr>
      <w:r>
        <w:rPr>
          <w:rFonts w:ascii="Arial" w:cs="Arial" w:eastAsia="Arial" w:hAnsi="Arial"/>
          <w:sz w:val="22"/>
          <w:szCs w:val="22"/>
          <w:color w:val="auto"/>
        </w:rPr>
        <w:t>5.8.</w:t>
      </w:r>
      <w:r>
        <w:rPr>
          <w:sz w:val="20"/>
          <w:szCs w:val="20"/>
          <w:color w:val="auto"/>
        </w:rPr>
        <w:tab/>
      </w:r>
      <w:r>
        <w:rPr>
          <w:rFonts w:ascii="Arial" w:cs="Arial" w:eastAsia="Arial" w:hAnsi="Arial"/>
          <w:sz w:val="22"/>
          <w:szCs w:val="22"/>
          <w:u w:val="single" w:color="auto"/>
          <w:color w:val="auto"/>
        </w:rPr>
        <w:t>Litigation and Contingent Obligations</w:t>
      </w:r>
      <w:r>
        <w:rPr>
          <w:sz w:val="20"/>
          <w:szCs w:val="20"/>
          <w:color w:val="auto"/>
        </w:rPr>
        <w:tab/>
      </w:r>
      <w:r>
        <w:rPr>
          <w:rFonts w:ascii="Arial" w:cs="Arial" w:eastAsia="Arial" w:hAnsi="Arial"/>
          <w:sz w:val="19"/>
          <w:szCs w:val="19"/>
          <w:color w:val="auto"/>
        </w:rPr>
        <w:t>52</w:t>
      </w:r>
    </w:p>
    <w:p>
      <w:pPr>
        <w:spacing w:after="0" w:line="4" w:lineRule="exact"/>
        <w:rPr>
          <w:sz w:val="20"/>
          <w:szCs w:val="20"/>
          <w:color w:val="auto"/>
        </w:rPr>
      </w:pPr>
    </w:p>
    <w:p>
      <w:pPr>
        <w:ind w:left="660"/>
        <w:spacing w:after="0"/>
        <w:tabs>
          <w:tab w:leader="none" w:pos="1600" w:val="left"/>
          <w:tab w:leader="dot" w:pos="8220" w:val="left"/>
        </w:tabs>
        <w:rPr>
          <w:sz w:val="20"/>
          <w:szCs w:val="20"/>
          <w:color w:val="auto"/>
        </w:rPr>
      </w:pPr>
      <w:r>
        <w:rPr>
          <w:rFonts w:ascii="Arial" w:cs="Arial" w:eastAsia="Arial" w:hAnsi="Arial"/>
          <w:sz w:val="22"/>
          <w:szCs w:val="22"/>
          <w:color w:val="auto"/>
        </w:rPr>
        <w:t>5.9.</w:t>
      </w:r>
      <w:r>
        <w:rPr>
          <w:sz w:val="20"/>
          <w:szCs w:val="20"/>
          <w:color w:val="auto"/>
        </w:rPr>
        <w:tab/>
      </w:r>
      <w:r>
        <w:rPr>
          <w:rFonts w:ascii="Arial" w:cs="Arial" w:eastAsia="Arial" w:hAnsi="Arial"/>
          <w:sz w:val="22"/>
          <w:szCs w:val="22"/>
          <w:u w:val="single" w:color="auto"/>
          <w:color w:val="auto"/>
        </w:rPr>
        <w:t>ERISA</w:t>
      </w:r>
      <w:r>
        <w:rPr>
          <w:sz w:val="20"/>
          <w:szCs w:val="20"/>
          <w:color w:val="auto"/>
        </w:rPr>
        <w:tab/>
      </w:r>
      <w:r>
        <w:rPr>
          <w:rFonts w:ascii="Arial" w:cs="Arial" w:eastAsia="Arial" w:hAnsi="Arial"/>
          <w:sz w:val="19"/>
          <w:szCs w:val="19"/>
          <w:color w:val="auto"/>
        </w:rPr>
        <w:t>52</w:t>
      </w:r>
    </w:p>
    <w:p>
      <w:pPr>
        <w:spacing w:after="0" w:line="4" w:lineRule="exact"/>
        <w:rPr>
          <w:sz w:val="20"/>
          <w:szCs w:val="20"/>
          <w:color w:val="auto"/>
        </w:rPr>
      </w:pPr>
    </w:p>
    <w:p>
      <w:pPr>
        <w:ind w:left="660"/>
        <w:spacing w:after="0"/>
        <w:tabs>
          <w:tab w:leader="none" w:pos="1600" w:val="left"/>
          <w:tab w:leader="dot" w:pos="8220" w:val="left"/>
        </w:tabs>
        <w:rPr>
          <w:sz w:val="20"/>
          <w:szCs w:val="20"/>
          <w:color w:val="auto"/>
        </w:rPr>
      </w:pPr>
      <w:r>
        <w:rPr>
          <w:rFonts w:ascii="Arial" w:cs="Arial" w:eastAsia="Arial" w:hAnsi="Arial"/>
          <w:sz w:val="22"/>
          <w:szCs w:val="22"/>
          <w:color w:val="auto"/>
        </w:rPr>
        <w:t>5.10.</w:t>
      </w:r>
      <w:r>
        <w:rPr>
          <w:sz w:val="20"/>
          <w:szCs w:val="20"/>
          <w:color w:val="auto"/>
        </w:rPr>
        <w:tab/>
      </w:r>
      <w:r>
        <w:rPr>
          <w:rFonts w:ascii="Arial" w:cs="Arial" w:eastAsia="Arial" w:hAnsi="Arial"/>
          <w:sz w:val="22"/>
          <w:szCs w:val="22"/>
          <w:u w:val="single" w:color="auto"/>
          <w:color w:val="auto"/>
        </w:rPr>
        <w:t>Regulation U</w:t>
      </w:r>
      <w:r>
        <w:rPr>
          <w:sz w:val="20"/>
          <w:szCs w:val="20"/>
          <w:color w:val="auto"/>
        </w:rPr>
        <w:tab/>
      </w:r>
      <w:r>
        <w:rPr>
          <w:rFonts w:ascii="Arial" w:cs="Arial" w:eastAsia="Arial" w:hAnsi="Arial"/>
          <w:sz w:val="17"/>
          <w:szCs w:val="17"/>
          <w:color w:val="auto"/>
        </w:rPr>
        <w:t>53</w:t>
      </w:r>
    </w:p>
    <w:p>
      <w:pPr>
        <w:spacing w:after="0" w:line="4" w:lineRule="exact"/>
        <w:rPr>
          <w:sz w:val="20"/>
          <w:szCs w:val="20"/>
          <w:color w:val="auto"/>
        </w:rPr>
      </w:pPr>
    </w:p>
    <w:p>
      <w:pPr>
        <w:ind w:left="660"/>
        <w:spacing w:after="0"/>
        <w:tabs>
          <w:tab w:leader="none" w:pos="1600" w:val="left"/>
          <w:tab w:leader="dot" w:pos="8240" w:val="left"/>
        </w:tabs>
        <w:rPr>
          <w:sz w:val="20"/>
          <w:szCs w:val="20"/>
          <w:color w:val="auto"/>
        </w:rPr>
      </w:pPr>
      <w:r>
        <w:rPr>
          <w:rFonts w:ascii="Arial" w:cs="Arial" w:eastAsia="Arial" w:hAnsi="Arial"/>
          <w:sz w:val="22"/>
          <w:szCs w:val="22"/>
          <w:color w:val="auto"/>
        </w:rPr>
        <w:t>5.11.</w:t>
      </w:r>
      <w:r>
        <w:rPr>
          <w:sz w:val="20"/>
          <w:szCs w:val="20"/>
          <w:color w:val="auto"/>
        </w:rPr>
        <w:tab/>
      </w:r>
      <w:r>
        <w:rPr>
          <w:rFonts w:ascii="Arial" w:cs="Arial" w:eastAsia="Arial" w:hAnsi="Arial"/>
          <w:sz w:val="22"/>
          <w:szCs w:val="22"/>
          <w:u w:val="single" w:color="auto"/>
          <w:color w:val="auto"/>
        </w:rPr>
        <w:t>Compliance With Laws</w:t>
      </w:r>
      <w:r>
        <w:rPr>
          <w:sz w:val="20"/>
          <w:szCs w:val="20"/>
          <w:color w:val="auto"/>
        </w:rPr>
        <w:tab/>
      </w:r>
      <w:r>
        <w:rPr>
          <w:rFonts w:ascii="Arial" w:cs="Arial" w:eastAsia="Arial" w:hAnsi="Arial"/>
          <w:sz w:val="17"/>
          <w:szCs w:val="17"/>
          <w:color w:val="auto"/>
        </w:rPr>
        <w:t>53</w:t>
      </w:r>
    </w:p>
    <w:p>
      <w:pPr>
        <w:spacing w:after="0" w:line="4" w:lineRule="exact"/>
        <w:rPr>
          <w:sz w:val="20"/>
          <w:szCs w:val="20"/>
          <w:color w:val="auto"/>
        </w:rPr>
      </w:pPr>
    </w:p>
    <w:p>
      <w:pPr>
        <w:ind w:left="660"/>
        <w:spacing w:after="0"/>
        <w:tabs>
          <w:tab w:leader="none" w:pos="1600" w:val="left"/>
          <w:tab w:leader="dot" w:pos="8200" w:val="left"/>
        </w:tabs>
        <w:rPr>
          <w:sz w:val="20"/>
          <w:szCs w:val="20"/>
          <w:color w:val="auto"/>
        </w:rPr>
      </w:pPr>
      <w:r>
        <w:rPr>
          <w:rFonts w:ascii="Arial" w:cs="Arial" w:eastAsia="Arial" w:hAnsi="Arial"/>
          <w:sz w:val="22"/>
          <w:szCs w:val="22"/>
          <w:color w:val="auto"/>
        </w:rPr>
        <w:t>5.12.</w:t>
      </w:r>
      <w:r>
        <w:rPr>
          <w:sz w:val="20"/>
          <w:szCs w:val="20"/>
          <w:color w:val="auto"/>
        </w:rPr>
        <w:tab/>
      </w:r>
      <w:r>
        <w:rPr>
          <w:rFonts w:ascii="Arial" w:cs="Arial" w:eastAsia="Arial" w:hAnsi="Arial"/>
          <w:sz w:val="22"/>
          <w:szCs w:val="22"/>
          <w:u w:val="single" w:color="auto"/>
          <w:color w:val="auto"/>
        </w:rPr>
        <w:t>Ownership of Properties</w:t>
      </w:r>
      <w:r>
        <w:rPr>
          <w:sz w:val="20"/>
          <w:szCs w:val="20"/>
          <w:color w:val="auto"/>
        </w:rPr>
        <w:tab/>
      </w:r>
      <w:r>
        <w:rPr>
          <w:rFonts w:ascii="Arial" w:cs="Arial" w:eastAsia="Arial" w:hAnsi="Arial"/>
          <w:sz w:val="17"/>
          <w:szCs w:val="17"/>
          <w:color w:val="auto"/>
        </w:rPr>
        <w:t>53</w:t>
      </w:r>
    </w:p>
    <w:p>
      <w:pPr>
        <w:spacing w:after="0" w:line="4" w:lineRule="exact"/>
        <w:rPr>
          <w:sz w:val="20"/>
          <w:szCs w:val="20"/>
          <w:color w:val="auto"/>
        </w:rPr>
      </w:pPr>
    </w:p>
    <w:p>
      <w:pPr>
        <w:ind w:left="660"/>
        <w:spacing w:after="0"/>
        <w:tabs>
          <w:tab w:leader="none" w:pos="1600" w:val="left"/>
          <w:tab w:leader="dot" w:pos="8220" w:val="left"/>
        </w:tabs>
        <w:rPr>
          <w:sz w:val="20"/>
          <w:szCs w:val="20"/>
          <w:color w:val="auto"/>
        </w:rPr>
      </w:pPr>
      <w:r>
        <w:rPr>
          <w:rFonts w:ascii="Arial" w:cs="Arial" w:eastAsia="Arial" w:hAnsi="Arial"/>
          <w:sz w:val="22"/>
          <w:szCs w:val="22"/>
          <w:color w:val="auto"/>
        </w:rPr>
        <w:t>5.13.</w:t>
      </w:r>
      <w:r>
        <w:rPr>
          <w:sz w:val="20"/>
          <w:szCs w:val="20"/>
          <w:color w:val="auto"/>
        </w:rPr>
        <w:tab/>
      </w:r>
      <w:r>
        <w:rPr>
          <w:rFonts w:ascii="Arial" w:cs="Arial" w:eastAsia="Arial" w:hAnsi="Arial"/>
          <w:sz w:val="22"/>
          <w:szCs w:val="22"/>
          <w:u w:val="single" w:color="auto"/>
          <w:color w:val="auto"/>
        </w:rPr>
        <w:t>Trademarks; Patents</w:t>
      </w:r>
      <w:r>
        <w:rPr>
          <w:sz w:val="20"/>
          <w:szCs w:val="20"/>
          <w:color w:val="auto"/>
        </w:rPr>
        <w:tab/>
      </w:r>
      <w:r>
        <w:rPr>
          <w:rFonts w:ascii="Arial" w:cs="Arial" w:eastAsia="Arial" w:hAnsi="Arial"/>
          <w:sz w:val="19"/>
          <w:szCs w:val="19"/>
          <w:color w:val="auto"/>
        </w:rPr>
        <w:t>53</w:t>
      </w:r>
    </w:p>
    <w:p>
      <w:pPr>
        <w:spacing w:after="0" w:line="4" w:lineRule="exact"/>
        <w:rPr>
          <w:sz w:val="20"/>
          <w:szCs w:val="20"/>
          <w:color w:val="auto"/>
        </w:rPr>
      </w:pPr>
    </w:p>
    <w:p>
      <w:pPr>
        <w:ind w:left="660"/>
        <w:spacing w:after="0"/>
        <w:tabs>
          <w:tab w:leader="none" w:pos="1600" w:val="left"/>
          <w:tab w:leader="dot" w:pos="8200" w:val="left"/>
        </w:tabs>
        <w:rPr>
          <w:sz w:val="20"/>
          <w:szCs w:val="20"/>
          <w:color w:val="auto"/>
        </w:rPr>
      </w:pPr>
      <w:r>
        <w:rPr>
          <w:rFonts w:ascii="Arial" w:cs="Arial" w:eastAsia="Arial" w:hAnsi="Arial"/>
          <w:sz w:val="22"/>
          <w:szCs w:val="22"/>
          <w:color w:val="auto"/>
        </w:rPr>
        <w:t>5.14.</w:t>
      </w:r>
      <w:r>
        <w:rPr>
          <w:sz w:val="20"/>
          <w:szCs w:val="20"/>
          <w:color w:val="auto"/>
        </w:rPr>
        <w:tab/>
      </w:r>
      <w:r>
        <w:rPr>
          <w:rFonts w:ascii="Arial" w:cs="Arial" w:eastAsia="Arial" w:hAnsi="Arial"/>
          <w:sz w:val="22"/>
          <w:szCs w:val="22"/>
          <w:u w:val="single" w:color="auto"/>
          <w:color w:val="auto"/>
        </w:rPr>
        <w:t>Burdensome Restrictions</w:t>
      </w:r>
      <w:r>
        <w:rPr>
          <w:sz w:val="20"/>
          <w:szCs w:val="20"/>
          <w:color w:val="auto"/>
        </w:rPr>
        <w:tab/>
      </w:r>
      <w:r>
        <w:rPr>
          <w:rFonts w:ascii="Arial" w:cs="Arial" w:eastAsia="Arial" w:hAnsi="Arial"/>
          <w:sz w:val="19"/>
          <w:szCs w:val="19"/>
          <w:color w:val="auto"/>
        </w:rPr>
        <w:t>53</w:t>
      </w:r>
    </w:p>
    <w:p>
      <w:pPr>
        <w:spacing w:after="0" w:line="4" w:lineRule="exact"/>
        <w:rPr>
          <w:sz w:val="20"/>
          <w:szCs w:val="20"/>
          <w:color w:val="auto"/>
        </w:rPr>
      </w:pPr>
    </w:p>
    <w:p>
      <w:pPr>
        <w:ind w:left="660"/>
        <w:spacing w:after="0"/>
        <w:tabs>
          <w:tab w:leader="none" w:pos="1600" w:val="left"/>
          <w:tab w:leader="dot" w:pos="8220" w:val="left"/>
        </w:tabs>
        <w:rPr>
          <w:sz w:val="20"/>
          <w:szCs w:val="20"/>
          <w:color w:val="auto"/>
        </w:rPr>
      </w:pPr>
      <w:r>
        <w:rPr>
          <w:rFonts w:ascii="Arial" w:cs="Arial" w:eastAsia="Arial" w:hAnsi="Arial"/>
          <w:sz w:val="22"/>
          <w:szCs w:val="22"/>
          <w:color w:val="auto"/>
        </w:rPr>
        <w:t>5.15.</w:t>
      </w:r>
      <w:r>
        <w:rPr>
          <w:sz w:val="20"/>
          <w:szCs w:val="20"/>
          <w:color w:val="auto"/>
        </w:rPr>
        <w:tab/>
      </w:r>
      <w:r>
        <w:rPr>
          <w:rFonts w:ascii="Arial" w:cs="Arial" w:eastAsia="Arial" w:hAnsi="Arial"/>
          <w:sz w:val="22"/>
          <w:szCs w:val="22"/>
          <w:u w:val="single" w:color="auto"/>
          <w:color w:val="auto"/>
        </w:rPr>
        <w:t>Plan Assets; Prohibited Transactions</w:t>
      </w:r>
      <w:r>
        <w:rPr>
          <w:sz w:val="20"/>
          <w:szCs w:val="20"/>
          <w:color w:val="auto"/>
        </w:rPr>
        <w:tab/>
      </w:r>
      <w:r>
        <w:rPr>
          <w:rFonts w:ascii="Arial" w:cs="Arial" w:eastAsia="Arial" w:hAnsi="Arial"/>
          <w:sz w:val="19"/>
          <w:szCs w:val="19"/>
          <w:color w:val="auto"/>
        </w:rPr>
        <w:t>53</w:t>
      </w:r>
    </w:p>
    <w:p>
      <w:pPr>
        <w:spacing w:after="0" w:line="4" w:lineRule="exact"/>
        <w:rPr>
          <w:sz w:val="20"/>
          <w:szCs w:val="20"/>
          <w:color w:val="auto"/>
        </w:rPr>
      </w:pPr>
    </w:p>
    <w:p>
      <w:pPr>
        <w:ind w:left="660"/>
        <w:spacing w:after="0"/>
        <w:tabs>
          <w:tab w:leader="none" w:pos="1600" w:val="left"/>
          <w:tab w:leader="dot" w:pos="8180" w:val="left"/>
        </w:tabs>
        <w:rPr>
          <w:sz w:val="20"/>
          <w:szCs w:val="20"/>
          <w:color w:val="auto"/>
        </w:rPr>
      </w:pPr>
      <w:r>
        <w:rPr>
          <w:rFonts w:ascii="Arial" w:cs="Arial" w:eastAsia="Arial" w:hAnsi="Arial"/>
          <w:sz w:val="22"/>
          <w:szCs w:val="22"/>
          <w:color w:val="auto"/>
        </w:rPr>
        <w:t>5.16.</w:t>
      </w:r>
      <w:r>
        <w:rPr>
          <w:sz w:val="20"/>
          <w:szCs w:val="20"/>
          <w:color w:val="auto"/>
        </w:rPr>
        <w:tab/>
      </w:r>
      <w:r>
        <w:rPr>
          <w:rFonts w:ascii="Arial" w:cs="Arial" w:eastAsia="Arial" w:hAnsi="Arial"/>
          <w:sz w:val="22"/>
          <w:szCs w:val="22"/>
          <w:u w:val="single" w:color="auto"/>
          <w:color w:val="auto"/>
        </w:rPr>
        <w:t>Environmental Matters</w:t>
      </w:r>
      <w:r>
        <w:rPr>
          <w:sz w:val="20"/>
          <w:szCs w:val="20"/>
          <w:color w:val="auto"/>
        </w:rPr>
        <w:tab/>
      </w:r>
      <w:r>
        <w:rPr>
          <w:rFonts w:ascii="Arial" w:cs="Arial" w:eastAsia="Arial" w:hAnsi="Arial"/>
          <w:sz w:val="19"/>
          <w:szCs w:val="19"/>
          <w:color w:val="auto"/>
        </w:rPr>
        <w:t>54</w:t>
      </w:r>
    </w:p>
    <w:p>
      <w:pPr>
        <w:spacing w:after="0" w:line="4" w:lineRule="exact"/>
        <w:rPr>
          <w:sz w:val="20"/>
          <w:szCs w:val="20"/>
          <w:color w:val="auto"/>
        </w:rPr>
      </w:pPr>
    </w:p>
    <w:p>
      <w:pPr>
        <w:ind w:left="660"/>
        <w:spacing w:after="0"/>
        <w:tabs>
          <w:tab w:leader="none" w:pos="1600" w:val="left"/>
          <w:tab w:leader="dot" w:pos="8200" w:val="left"/>
        </w:tabs>
        <w:rPr>
          <w:sz w:val="20"/>
          <w:szCs w:val="20"/>
          <w:color w:val="auto"/>
        </w:rPr>
      </w:pPr>
      <w:r>
        <w:rPr>
          <w:rFonts w:ascii="Arial" w:cs="Arial" w:eastAsia="Arial" w:hAnsi="Arial"/>
          <w:sz w:val="22"/>
          <w:szCs w:val="22"/>
          <w:color w:val="auto"/>
        </w:rPr>
        <w:t>5.17.</w:t>
      </w:r>
      <w:r>
        <w:rPr>
          <w:sz w:val="20"/>
          <w:szCs w:val="20"/>
          <w:color w:val="auto"/>
        </w:rPr>
        <w:tab/>
      </w:r>
      <w:r>
        <w:rPr>
          <w:rFonts w:ascii="Arial" w:cs="Arial" w:eastAsia="Arial" w:hAnsi="Arial"/>
          <w:sz w:val="22"/>
          <w:szCs w:val="22"/>
          <w:u w:val="single" w:color="auto"/>
          <w:color w:val="auto"/>
        </w:rPr>
        <w:t>Investment Company Act</w:t>
      </w:r>
      <w:r>
        <w:rPr>
          <w:sz w:val="20"/>
          <w:szCs w:val="20"/>
          <w:color w:val="auto"/>
        </w:rPr>
        <w:tab/>
      </w:r>
      <w:r>
        <w:rPr>
          <w:rFonts w:ascii="Arial" w:cs="Arial" w:eastAsia="Arial" w:hAnsi="Arial"/>
          <w:sz w:val="17"/>
          <w:szCs w:val="17"/>
          <w:color w:val="auto"/>
        </w:rPr>
        <w:t>54</w:t>
      </w:r>
    </w:p>
    <w:p>
      <w:pPr>
        <w:spacing w:after="0" w:line="4" w:lineRule="exact"/>
        <w:rPr>
          <w:sz w:val="20"/>
          <w:szCs w:val="20"/>
          <w:color w:val="auto"/>
        </w:rPr>
      </w:pPr>
    </w:p>
    <w:p>
      <w:pPr>
        <w:ind w:left="660"/>
        <w:spacing w:after="0"/>
        <w:tabs>
          <w:tab w:leader="none" w:pos="1600" w:val="left"/>
          <w:tab w:leader="dot" w:pos="8160" w:val="left"/>
        </w:tabs>
        <w:rPr>
          <w:sz w:val="20"/>
          <w:szCs w:val="20"/>
          <w:color w:val="auto"/>
        </w:rPr>
      </w:pPr>
      <w:r>
        <w:rPr>
          <w:rFonts w:ascii="Arial" w:cs="Arial" w:eastAsia="Arial" w:hAnsi="Arial"/>
          <w:sz w:val="22"/>
          <w:szCs w:val="22"/>
          <w:color w:val="auto"/>
        </w:rPr>
        <w:t>5.18.</w:t>
      </w:r>
      <w:r>
        <w:rPr>
          <w:sz w:val="20"/>
          <w:szCs w:val="20"/>
          <w:color w:val="auto"/>
        </w:rPr>
        <w:tab/>
      </w:r>
      <w:r>
        <w:rPr>
          <w:rFonts w:ascii="Arial" w:cs="Arial" w:eastAsia="Arial" w:hAnsi="Arial"/>
          <w:sz w:val="22"/>
          <w:szCs w:val="22"/>
          <w:u w:val="single" w:color="auto"/>
          <w:color w:val="auto"/>
        </w:rPr>
        <w:t>Insurance</w:t>
      </w:r>
      <w:r>
        <w:rPr>
          <w:sz w:val="20"/>
          <w:szCs w:val="20"/>
          <w:color w:val="auto"/>
        </w:rPr>
        <w:tab/>
      </w:r>
      <w:r>
        <w:rPr>
          <w:rFonts w:ascii="Arial" w:cs="Arial" w:eastAsia="Arial" w:hAnsi="Arial"/>
          <w:sz w:val="19"/>
          <w:szCs w:val="19"/>
          <w:color w:val="auto"/>
        </w:rPr>
        <w:t>54</w:t>
      </w:r>
    </w:p>
    <w:p>
      <w:pPr>
        <w:spacing w:after="0" w:line="4" w:lineRule="exact"/>
        <w:rPr>
          <w:sz w:val="20"/>
          <w:szCs w:val="20"/>
          <w:color w:val="auto"/>
        </w:rPr>
      </w:pPr>
    </w:p>
    <w:p>
      <w:pPr>
        <w:ind w:left="660"/>
        <w:spacing w:after="0"/>
        <w:tabs>
          <w:tab w:leader="none" w:pos="1600" w:val="left"/>
          <w:tab w:leader="dot" w:pos="8180" w:val="left"/>
        </w:tabs>
        <w:rPr>
          <w:sz w:val="20"/>
          <w:szCs w:val="20"/>
          <w:color w:val="auto"/>
        </w:rPr>
      </w:pPr>
      <w:r>
        <w:rPr>
          <w:rFonts w:ascii="Arial" w:cs="Arial" w:eastAsia="Arial" w:hAnsi="Arial"/>
          <w:sz w:val="22"/>
          <w:szCs w:val="22"/>
          <w:color w:val="auto"/>
        </w:rPr>
        <w:t>5.19.</w:t>
      </w:r>
      <w:r>
        <w:rPr>
          <w:sz w:val="20"/>
          <w:szCs w:val="20"/>
          <w:color w:val="auto"/>
        </w:rPr>
        <w:tab/>
      </w:r>
      <w:r>
        <w:rPr>
          <w:rFonts w:ascii="Arial" w:cs="Arial" w:eastAsia="Arial" w:hAnsi="Arial"/>
          <w:sz w:val="22"/>
          <w:szCs w:val="22"/>
          <w:u w:val="single" w:color="auto"/>
          <w:color w:val="auto"/>
        </w:rPr>
        <w:t>Solvency</w:t>
      </w:r>
      <w:r>
        <w:rPr>
          <w:sz w:val="20"/>
          <w:szCs w:val="20"/>
          <w:color w:val="auto"/>
        </w:rPr>
        <w:tab/>
      </w:r>
      <w:r>
        <w:rPr>
          <w:rFonts w:ascii="Arial" w:cs="Arial" w:eastAsia="Arial" w:hAnsi="Arial"/>
          <w:sz w:val="19"/>
          <w:szCs w:val="19"/>
          <w:color w:val="auto"/>
        </w:rPr>
        <w:t>54</w:t>
      </w:r>
    </w:p>
    <w:p>
      <w:pPr>
        <w:spacing w:after="0" w:line="4" w:lineRule="exact"/>
        <w:rPr>
          <w:sz w:val="20"/>
          <w:szCs w:val="20"/>
          <w:color w:val="auto"/>
        </w:rPr>
      </w:pPr>
    </w:p>
    <w:p>
      <w:pPr>
        <w:ind w:left="660"/>
        <w:spacing w:after="0"/>
        <w:tabs>
          <w:tab w:leader="none" w:pos="1600" w:val="left"/>
          <w:tab w:leader="dot" w:pos="8180" w:val="left"/>
        </w:tabs>
        <w:rPr>
          <w:sz w:val="20"/>
          <w:szCs w:val="20"/>
          <w:color w:val="auto"/>
        </w:rPr>
      </w:pPr>
      <w:r>
        <w:rPr>
          <w:rFonts w:ascii="Arial" w:cs="Arial" w:eastAsia="Arial" w:hAnsi="Arial"/>
          <w:sz w:val="22"/>
          <w:szCs w:val="22"/>
          <w:color w:val="auto"/>
        </w:rPr>
        <w:t>5.20.</w:t>
      </w:r>
      <w:r>
        <w:rPr>
          <w:sz w:val="20"/>
          <w:szCs w:val="20"/>
          <w:color w:val="auto"/>
        </w:rPr>
        <w:tab/>
      </w:r>
      <w:r>
        <w:rPr>
          <w:rFonts w:ascii="Arial" w:cs="Arial" w:eastAsia="Arial" w:hAnsi="Arial"/>
          <w:sz w:val="22"/>
          <w:szCs w:val="22"/>
          <w:u w:val="single" w:color="auto"/>
          <w:color w:val="auto"/>
        </w:rPr>
        <w:t>No Default</w:t>
      </w:r>
      <w:r>
        <w:rPr>
          <w:sz w:val="20"/>
          <w:szCs w:val="20"/>
          <w:color w:val="auto"/>
        </w:rPr>
        <w:tab/>
      </w:r>
      <w:r>
        <w:rPr>
          <w:rFonts w:ascii="Arial" w:cs="Arial" w:eastAsia="Arial" w:hAnsi="Arial"/>
          <w:sz w:val="19"/>
          <w:szCs w:val="19"/>
          <w:color w:val="auto"/>
        </w:rPr>
        <w:t>55</w:t>
      </w:r>
    </w:p>
    <w:p>
      <w:pPr>
        <w:spacing w:after="0" w:line="4" w:lineRule="exact"/>
        <w:rPr>
          <w:sz w:val="20"/>
          <w:szCs w:val="20"/>
          <w:color w:val="auto"/>
        </w:rPr>
      </w:pPr>
    </w:p>
    <w:p>
      <w:pPr>
        <w:ind w:left="660"/>
        <w:spacing w:after="0"/>
        <w:tabs>
          <w:tab w:leader="none" w:pos="1600" w:val="left"/>
          <w:tab w:leader="dot" w:pos="8200" w:val="left"/>
        </w:tabs>
        <w:rPr>
          <w:sz w:val="20"/>
          <w:szCs w:val="20"/>
          <w:color w:val="auto"/>
        </w:rPr>
      </w:pPr>
      <w:r>
        <w:rPr>
          <w:rFonts w:ascii="Arial" w:cs="Arial" w:eastAsia="Arial" w:hAnsi="Arial"/>
          <w:sz w:val="22"/>
          <w:szCs w:val="22"/>
          <w:color w:val="auto"/>
        </w:rPr>
        <w:t>5.21.</w:t>
      </w:r>
      <w:r>
        <w:rPr>
          <w:sz w:val="20"/>
          <w:szCs w:val="20"/>
          <w:color w:val="auto"/>
        </w:rPr>
        <w:tab/>
      </w:r>
      <w:r>
        <w:rPr>
          <w:rFonts w:ascii="Arial" w:cs="Arial" w:eastAsia="Arial" w:hAnsi="Arial"/>
          <w:sz w:val="22"/>
          <w:szCs w:val="22"/>
          <w:u w:val="single" w:color="auto"/>
          <w:color w:val="auto"/>
        </w:rPr>
        <w:t>Anti-Corruption Laws; Sanctions</w:t>
      </w:r>
      <w:r>
        <w:rPr>
          <w:sz w:val="20"/>
          <w:szCs w:val="20"/>
          <w:color w:val="auto"/>
        </w:rPr>
        <w:tab/>
      </w:r>
      <w:r>
        <w:rPr>
          <w:rFonts w:ascii="Arial" w:cs="Arial" w:eastAsia="Arial" w:hAnsi="Arial"/>
          <w:sz w:val="19"/>
          <w:szCs w:val="19"/>
          <w:color w:val="auto"/>
        </w:rPr>
        <w:t>55</w:t>
      </w:r>
    </w:p>
    <w:p>
      <w:pPr>
        <w:spacing w:after="0" w:line="4" w:lineRule="exact"/>
        <w:rPr>
          <w:sz w:val="20"/>
          <w:szCs w:val="20"/>
          <w:color w:val="auto"/>
        </w:rPr>
      </w:pPr>
    </w:p>
    <w:p>
      <w:pPr>
        <w:ind w:left="660"/>
        <w:spacing w:after="0"/>
        <w:tabs>
          <w:tab w:leader="none" w:pos="1600" w:val="left"/>
          <w:tab w:leader="dot" w:pos="8200" w:val="left"/>
        </w:tabs>
        <w:rPr>
          <w:sz w:val="20"/>
          <w:szCs w:val="20"/>
          <w:color w:val="auto"/>
        </w:rPr>
      </w:pPr>
      <w:r>
        <w:rPr>
          <w:rFonts w:ascii="Arial" w:cs="Arial" w:eastAsia="Arial" w:hAnsi="Arial"/>
          <w:sz w:val="22"/>
          <w:szCs w:val="22"/>
          <w:color w:val="auto"/>
        </w:rPr>
        <w:t>5.22.</w:t>
      </w:r>
      <w:r>
        <w:rPr>
          <w:sz w:val="20"/>
          <w:szCs w:val="20"/>
          <w:color w:val="auto"/>
        </w:rPr>
        <w:tab/>
      </w:r>
      <w:r>
        <w:rPr>
          <w:rFonts w:ascii="Arial" w:cs="Arial" w:eastAsia="Arial" w:hAnsi="Arial"/>
          <w:sz w:val="22"/>
          <w:szCs w:val="22"/>
          <w:u w:val="single" w:color="auto"/>
          <w:color w:val="auto"/>
        </w:rPr>
        <w:t>EEA Financial Institution</w:t>
      </w:r>
      <w:r>
        <w:rPr>
          <w:sz w:val="20"/>
          <w:szCs w:val="20"/>
          <w:color w:val="auto"/>
        </w:rPr>
        <w:tab/>
      </w:r>
      <w:r>
        <w:rPr>
          <w:rFonts w:ascii="Arial" w:cs="Arial" w:eastAsia="Arial" w:hAnsi="Arial"/>
          <w:sz w:val="17"/>
          <w:szCs w:val="17"/>
          <w:color w:val="auto"/>
        </w:rPr>
        <w:t>55</w:t>
      </w:r>
    </w:p>
    <w:p>
      <w:pPr>
        <w:spacing w:after="0" w:line="4" w:lineRule="exact"/>
        <w:rPr>
          <w:sz w:val="20"/>
          <w:szCs w:val="20"/>
          <w:color w:val="auto"/>
        </w:rPr>
      </w:pPr>
    </w:p>
    <w:p>
      <w:pPr>
        <w:ind w:left="660"/>
        <w:spacing w:after="0"/>
        <w:tabs>
          <w:tab w:leader="none" w:pos="1600" w:val="left"/>
          <w:tab w:leader="dot" w:pos="8220" w:val="left"/>
        </w:tabs>
        <w:rPr>
          <w:sz w:val="20"/>
          <w:szCs w:val="20"/>
          <w:color w:val="auto"/>
        </w:rPr>
      </w:pPr>
      <w:r>
        <w:rPr>
          <w:rFonts w:ascii="Arial" w:cs="Arial" w:eastAsia="Arial" w:hAnsi="Arial"/>
          <w:sz w:val="22"/>
          <w:szCs w:val="22"/>
          <w:color w:val="auto"/>
        </w:rPr>
        <w:t>5.23.</w:t>
      </w:r>
      <w:r>
        <w:rPr>
          <w:sz w:val="20"/>
          <w:szCs w:val="20"/>
          <w:color w:val="auto"/>
        </w:rPr>
        <w:tab/>
      </w:r>
      <w:r>
        <w:rPr>
          <w:rFonts w:ascii="Arial" w:cs="Arial" w:eastAsia="Arial" w:hAnsi="Arial"/>
          <w:sz w:val="22"/>
          <w:szCs w:val="22"/>
          <w:u w:val="single" w:color="auto"/>
          <w:color w:val="auto"/>
        </w:rPr>
        <w:t>Full Disclosure</w:t>
      </w:r>
      <w:r>
        <w:rPr>
          <w:sz w:val="20"/>
          <w:szCs w:val="20"/>
          <w:color w:val="auto"/>
        </w:rPr>
        <w:tab/>
      </w:r>
      <w:r>
        <w:rPr>
          <w:rFonts w:ascii="Arial" w:cs="Arial" w:eastAsia="Arial" w:hAnsi="Arial"/>
          <w:sz w:val="19"/>
          <w:szCs w:val="19"/>
          <w:color w:val="auto"/>
        </w:rPr>
        <w:t>55</w:t>
      </w:r>
    </w:p>
    <w:p>
      <w:pPr>
        <w:spacing w:after="0" w:line="4" w:lineRule="exact"/>
        <w:rPr>
          <w:sz w:val="20"/>
          <w:szCs w:val="20"/>
          <w:color w:val="auto"/>
        </w:rPr>
      </w:pPr>
    </w:p>
    <w:p>
      <w:pPr>
        <w:ind w:left="660"/>
        <w:spacing w:after="0"/>
        <w:tabs>
          <w:tab w:leader="none" w:pos="1600" w:val="left"/>
          <w:tab w:leader="dot" w:pos="8220" w:val="left"/>
        </w:tabs>
        <w:rPr>
          <w:sz w:val="20"/>
          <w:szCs w:val="20"/>
          <w:color w:val="auto"/>
        </w:rPr>
      </w:pPr>
      <w:r>
        <w:rPr>
          <w:rFonts w:ascii="Arial" w:cs="Arial" w:eastAsia="Arial" w:hAnsi="Arial"/>
          <w:sz w:val="22"/>
          <w:szCs w:val="22"/>
          <w:color w:val="auto"/>
        </w:rPr>
        <w:t>5.24.</w:t>
      </w:r>
      <w:r>
        <w:rPr>
          <w:sz w:val="20"/>
          <w:szCs w:val="20"/>
          <w:color w:val="auto"/>
        </w:rPr>
        <w:tab/>
      </w:r>
      <w:r>
        <w:rPr>
          <w:rFonts w:ascii="Arial" w:cs="Arial" w:eastAsia="Arial" w:hAnsi="Arial"/>
          <w:sz w:val="22"/>
          <w:szCs w:val="22"/>
          <w:u w:val="single" w:color="auto"/>
          <w:color w:val="auto"/>
        </w:rPr>
        <w:t>Subsidiaries</w:t>
      </w:r>
      <w:r>
        <w:rPr>
          <w:sz w:val="20"/>
          <w:szCs w:val="20"/>
          <w:color w:val="auto"/>
        </w:rPr>
        <w:tab/>
      </w:r>
      <w:r>
        <w:rPr>
          <w:rFonts w:ascii="Arial" w:cs="Arial" w:eastAsia="Arial" w:hAnsi="Arial"/>
          <w:sz w:val="19"/>
          <w:szCs w:val="19"/>
          <w:color w:val="auto"/>
        </w:rPr>
        <w:t>55</w:t>
      </w:r>
    </w:p>
    <w:p>
      <w:pPr>
        <w:spacing w:after="0" w:line="142" w:lineRule="exact"/>
        <w:rPr>
          <w:sz w:val="20"/>
          <w:szCs w:val="20"/>
          <w:color w:val="auto"/>
        </w:rPr>
      </w:pPr>
    </w:p>
    <w:p>
      <w:pPr>
        <w:spacing w:after="0"/>
        <w:tabs>
          <w:tab w:leader="none" w:pos="2880" w:val="left"/>
        </w:tabs>
        <w:rPr>
          <w:sz w:val="20"/>
          <w:szCs w:val="20"/>
          <w:color w:val="auto"/>
        </w:rPr>
      </w:pPr>
      <w:r>
        <w:rPr>
          <w:rFonts w:ascii="Arial" w:cs="Arial" w:eastAsia="Arial" w:hAnsi="Arial"/>
          <w:sz w:val="22"/>
          <w:szCs w:val="22"/>
          <w:b w:val="1"/>
          <w:bCs w:val="1"/>
          <w:u w:val="single" w:color="auto"/>
          <w:color w:val="auto"/>
        </w:rPr>
        <w:t>ARTICLE VI COVENANTS</w:t>
      </w:r>
      <w:r>
        <w:rPr>
          <w:sz w:val="20"/>
          <w:szCs w:val="20"/>
          <w:color w:val="auto"/>
        </w:rPr>
        <w:tab/>
      </w:r>
      <w:r>
        <w:rPr>
          <w:rFonts w:ascii="Arial" w:cs="Arial" w:eastAsia="Arial" w:hAnsi="Arial"/>
          <w:sz w:val="19"/>
          <w:szCs w:val="19"/>
          <w:b w:val="1"/>
          <w:bCs w:val="1"/>
          <w:u w:val="single" w:color="auto"/>
          <w:color w:val="auto"/>
        </w:rPr>
        <w:t>56</w:t>
      </w:r>
    </w:p>
    <w:p>
      <w:pPr>
        <w:spacing w:after="0" w:line="172" w:lineRule="exact"/>
        <w:rPr>
          <w:sz w:val="20"/>
          <w:szCs w:val="20"/>
          <w:color w:val="auto"/>
        </w:rPr>
      </w:pPr>
    </w:p>
    <w:p>
      <w:pPr>
        <w:ind w:left="660"/>
        <w:spacing w:after="0"/>
        <w:tabs>
          <w:tab w:leader="none" w:pos="1600" w:val="left"/>
          <w:tab w:leader="dot" w:pos="81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2"/>
          <w:szCs w:val="22"/>
          <w:u w:val="single" w:color="auto"/>
          <w:color w:val="auto"/>
        </w:rPr>
        <w:t>Financial Reporting</w:t>
      </w:r>
      <w:r>
        <w:rPr>
          <w:sz w:val="20"/>
          <w:szCs w:val="20"/>
          <w:color w:val="auto"/>
        </w:rPr>
        <w:tab/>
      </w:r>
      <w:r>
        <w:rPr>
          <w:rFonts w:ascii="Arial" w:cs="Arial" w:eastAsia="Arial" w:hAnsi="Arial"/>
          <w:sz w:val="19"/>
          <w:szCs w:val="19"/>
          <w:color w:val="auto"/>
        </w:rPr>
        <w:t>56</w:t>
      </w:r>
    </w:p>
    <w:p>
      <w:pPr>
        <w:spacing w:after="0" w:line="22" w:lineRule="exact"/>
        <w:rPr>
          <w:sz w:val="20"/>
          <w:szCs w:val="20"/>
          <w:color w:val="auto"/>
        </w:rPr>
      </w:pPr>
    </w:p>
    <w:p>
      <w:pPr>
        <w:ind w:left="660"/>
        <w:spacing w:after="0"/>
        <w:tabs>
          <w:tab w:leader="none" w:pos="1600" w:val="left"/>
          <w:tab w:leader="dot" w:pos="81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2"/>
          <w:szCs w:val="22"/>
          <w:u w:val="single" w:color="auto"/>
          <w:color w:val="auto"/>
        </w:rPr>
        <w:t>Use of Proceeds</w:t>
      </w:r>
      <w:r>
        <w:rPr>
          <w:sz w:val="20"/>
          <w:szCs w:val="20"/>
          <w:color w:val="auto"/>
        </w:rPr>
        <w:tab/>
      </w:r>
      <w:r>
        <w:rPr>
          <w:rFonts w:ascii="Arial" w:cs="Arial" w:eastAsia="Arial" w:hAnsi="Arial"/>
          <w:sz w:val="19"/>
          <w:szCs w:val="19"/>
          <w:color w:val="auto"/>
        </w:rPr>
        <w:t>57</w:t>
      </w:r>
    </w:p>
    <w:p>
      <w:pPr>
        <w:spacing w:after="0" w:line="4" w:lineRule="exact"/>
        <w:rPr>
          <w:sz w:val="20"/>
          <w:szCs w:val="20"/>
          <w:color w:val="auto"/>
        </w:rPr>
      </w:pPr>
    </w:p>
    <w:p>
      <w:pPr>
        <w:ind w:left="660"/>
        <w:spacing w:after="0"/>
        <w:tabs>
          <w:tab w:leader="none" w:pos="1600" w:val="left"/>
          <w:tab w:leader="dot" w:pos="822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22"/>
          <w:szCs w:val="22"/>
          <w:u w:val="single" w:color="auto"/>
          <w:color w:val="auto"/>
        </w:rPr>
        <w:t>Notice of Material Events</w:t>
      </w:r>
      <w:r>
        <w:rPr>
          <w:sz w:val="20"/>
          <w:szCs w:val="20"/>
          <w:color w:val="auto"/>
        </w:rPr>
        <w:tab/>
      </w:r>
      <w:r>
        <w:rPr>
          <w:rFonts w:ascii="Arial" w:cs="Arial" w:eastAsia="Arial" w:hAnsi="Arial"/>
          <w:sz w:val="17"/>
          <w:szCs w:val="17"/>
          <w:color w:val="auto"/>
        </w:rPr>
        <w:t>58</w:t>
      </w:r>
    </w:p>
    <w:p>
      <w:pPr>
        <w:spacing w:after="0" w:line="4" w:lineRule="exact"/>
        <w:rPr>
          <w:sz w:val="20"/>
          <w:szCs w:val="20"/>
          <w:color w:val="auto"/>
        </w:rPr>
      </w:pPr>
    </w:p>
    <w:p>
      <w:pPr>
        <w:ind w:left="660"/>
        <w:spacing w:after="0"/>
        <w:tabs>
          <w:tab w:leader="none" w:pos="1600" w:val="left"/>
          <w:tab w:leader="dot" w:pos="820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22"/>
          <w:szCs w:val="22"/>
          <w:u w:val="single" w:color="auto"/>
          <w:color w:val="auto"/>
        </w:rPr>
        <w:t>Conduct of Business</w:t>
      </w:r>
      <w:r>
        <w:rPr>
          <w:sz w:val="20"/>
          <w:szCs w:val="20"/>
          <w:color w:val="auto"/>
        </w:rPr>
        <w:tab/>
      </w:r>
      <w:r>
        <w:rPr>
          <w:rFonts w:ascii="Arial" w:cs="Arial" w:eastAsia="Arial" w:hAnsi="Arial"/>
          <w:sz w:val="17"/>
          <w:szCs w:val="17"/>
          <w:color w:val="auto"/>
        </w:rPr>
        <w:t>58</w:t>
      </w:r>
    </w:p>
    <w:p>
      <w:pPr>
        <w:spacing w:after="0" w:line="4" w:lineRule="exact"/>
        <w:rPr>
          <w:sz w:val="20"/>
          <w:szCs w:val="20"/>
          <w:color w:val="auto"/>
        </w:rPr>
      </w:pPr>
    </w:p>
    <w:p>
      <w:pPr>
        <w:ind w:left="660"/>
        <w:spacing w:after="0"/>
        <w:tabs>
          <w:tab w:leader="none" w:pos="1600" w:val="left"/>
          <w:tab w:leader="dot" w:pos="814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22"/>
          <w:szCs w:val="22"/>
          <w:u w:val="single" w:color="auto"/>
          <w:color w:val="auto"/>
        </w:rPr>
        <w:t>Taxes</w:t>
      </w:r>
      <w:r>
        <w:rPr>
          <w:sz w:val="20"/>
          <w:szCs w:val="20"/>
          <w:color w:val="auto"/>
        </w:rPr>
        <w:tab/>
      </w:r>
      <w:r>
        <w:rPr>
          <w:rFonts w:ascii="Arial" w:cs="Arial" w:eastAsia="Arial" w:hAnsi="Arial"/>
          <w:sz w:val="19"/>
          <w:szCs w:val="19"/>
          <w:color w:val="auto"/>
        </w:rPr>
        <w:t>59</w:t>
      </w:r>
    </w:p>
    <w:p>
      <w:pPr>
        <w:spacing w:after="0" w:line="4" w:lineRule="exact"/>
        <w:rPr>
          <w:sz w:val="20"/>
          <w:szCs w:val="20"/>
          <w:color w:val="auto"/>
        </w:rPr>
      </w:pPr>
    </w:p>
    <w:p>
      <w:pPr>
        <w:ind w:left="660"/>
        <w:spacing w:after="0"/>
        <w:tabs>
          <w:tab w:leader="none" w:pos="1600" w:val="left"/>
          <w:tab w:leader="dot" w:pos="8160" w:val="left"/>
        </w:tabs>
        <w:rPr>
          <w:sz w:val="20"/>
          <w:szCs w:val="20"/>
          <w:color w:val="auto"/>
        </w:rPr>
      </w:pPr>
      <w:r>
        <w:rPr>
          <w:rFonts w:ascii="Arial" w:cs="Arial" w:eastAsia="Arial" w:hAnsi="Arial"/>
          <w:sz w:val="22"/>
          <w:szCs w:val="22"/>
          <w:color w:val="auto"/>
        </w:rPr>
        <w:t>6.6.</w:t>
      </w:r>
      <w:r>
        <w:rPr>
          <w:sz w:val="20"/>
          <w:szCs w:val="20"/>
          <w:color w:val="auto"/>
        </w:rPr>
        <w:tab/>
      </w:r>
      <w:r>
        <w:rPr>
          <w:rFonts w:ascii="Arial" w:cs="Arial" w:eastAsia="Arial" w:hAnsi="Arial"/>
          <w:sz w:val="22"/>
          <w:szCs w:val="22"/>
          <w:u w:val="single" w:color="auto"/>
          <w:color w:val="auto"/>
        </w:rPr>
        <w:t>Insurance</w:t>
      </w:r>
      <w:r>
        <w:rPr>
          <w:sz w:val="20"/>
          <w:szCs w:val="20"/>
          <w:color w:val="auto"/>
        </w:rPr>
        <w:tab/>
      </w:r>
      <w:r>
        <w:rPr>
          <w:rFonts w:ascii="Arial" w:cs="Arial" w:eastAsia="Arial" w:hAnsi="Arial"/>
          <w:sz w:val="19"/>
          <w:szCs w:val="19"/>
          <w:color w:val="auto"/>
        </w:rPr>
        <w:t>59</w:t>
      </w:r>
    </w:p>
    <w:p>
      <w:pPr>
        <w:spacing w:after="0" w:line="4" w:lineRule="exact"/>
        <w:rPr>
          <w:sz w:val="20"/>
          <w:szCs w:val="20"/>
          <w:color w:val="auto"/>
        </w:rPr>
      </w:pPr>
    </w:p>
    <w:p>
      <w:pPr>
        <w:ind w:left="660"/>
        <w:spacing w:after="0"/>
        <w:tabs>
          <w:tab w:leader="none" w:pos="1600" w:val="left"/>
          <w:tab w:leader="dot" w:pos="818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22"/>
          <w:szCs w:val="22"/>
          <w:u w:val="single" w:color="auto"/>
          <w:color w:val="auto"/>
        </w:rPr>
        <w:t>Compliance with Laws and Material Contractual Obligations</w:t>
      </w:r>
      <w:r>
        <w:rPr>
          <w:sz w:val="20"/>
          <w:szCs w:val="20"/>
          <w:color w:val="auto"/>
        </w:rPr>
        <w:tab/>
      </w:r>
      <w:r>
        <w:rPr>
          <w:rFonts w:ascii="Arial" w:cs="Arial" w:eastAsia="Arial" w:hAnsi="Arial"/>
          <w:sz w:val="17"/>
          <w:szCs w:val="17"/>
          <w:color w:val="auto"/>
        </w:rPr>
        <w:t>59</w:t>
      </w:r>
    </w:p>
    <w:p>
      <w:pPr>
        <w:spacing w:after="0" w:line="4" w:lineRule="exact"/>
        <w:rPr>
          <w:sz w:val="20"/>
          <w:szCs w:val="20"/>
          <w:color w:val="auto"/>
        </w:rPr>
      </w:pPr>
    </w:p>
    <w:p>
      <w:pPr>
        <w:ind w:left="660"/>
        <w:spacing w:after="0"/>
        <w:tabs>
          <w:tab w:leader="none" w:pos="1600" w:val="left"/>
          <w:tab w:leader="dot" w:pos="8200" w:val="left"/>
        </w:tabs>
        <w:rPr>
          <w:sz w:val="20"/>
          <w:szCs w:val="20"/>
          <w:color w:val="auto"/>
        </w:rPr>
      </w:pPr>
      <w:r>
        <w:rPr>
          <w:rFonts w:ascii="Arial" w:cs="Arial" w:eastAsia="Arial" w:hAnsi="Arial"/>
          <w:sz w:val="22"/>
          <w:szCs w:val="22"/>
          <w:color w:val="auto"/>
        </w:rPr>
        <w:t>6.8.</w:t>
      </w:r>
      <w:r>
        <w:rPr>
          <w:sz w:val="20"/>
          <w:szCs w:val="20"/>
          <w:color w:val="auto"/>
        </w:rPr>
        <w:tab/>
      </w:r>
      <w:r>
        <w:rPr>
          <w:rFonts w:ascii="Arial" w:cs="Arial" w:eastAsia="Arial" w:hAnsi="Arial"/>
          <w:sz w:val="22"/>
          <w:szCs w:val="22"/>
          <w:u w:val="single" w:color="auto"/>
          <w:color w:val="auto"/>
        </w:rPr>
        <w:t>Maintenance of Properties</w:t>
      </w:r>
      <w:r>
        <w:rPr>
          <w:sz w:val="20"/>
          <w:szCs w:val="20"/>
          <w:color w:val="auto"/>
        </w:rPr>
        <w:tab/>
      </w:r>
      <w:r>
        <w:rPr>
          <w:rFonts w:ascii="Arial" w:cs="Arial" w:eastAsia="Arial" w:hAnsi="Arial"/>
          <w:sz w:val="19"/>
          <w:szCs w:val="19"/>
          <w:color w:val="auto"/>
        </w:rPr>
        <w:t>59</w:t>
      </w:r>
    </w:p>
    <w:p>
      <w:pPr>
        <w:spacing w:after="0" w:line="4" w:lineRule="exact"/>
        <w:rPr>
          <w:sz w:val="20"/>
          <w:szCs w:val="20"/>
          <w:color w:val="auto"/>
        </w:rPr>
      </w:pPr>
    </w:p>
    <w:p>
      <w:pPr>
        <w:ind w:left="660"/>
        <w:spacing w:after="0"/>
        <w:tabs>
          <w:tab w:leader="none" w:pos="1600" w:val="left"/>
          <w:tab w:leader="dot" w:pos="8180" w:val="left"/>
        </w:tabs>
        <w:rPr>
          <w:sz w:val="20"/>
          <w:szCs w:val="20"/>
          <w:color w:val="auto"/>
        </w:rPr>
      </w:pPr>
      <w:r>
        <w:rPr>
          <w:rFonts w:ascii="Arial" w:cs="Arial" w:eastAsia="Arial" w:hAnsi="Arial"/>
          <w:sz w:val="22"/>
          <w:szCs w:val="22"/>
          <w:color w:val="auto"/>
        </w:rPr>
        <w:t>6.9.</w:t>
      </w:r>
      <w:r>
        <w:rPr>
          <w:sz w:val="20"/>
          <w:szCs w:val="20"/>
          <w:color w:val="auto"/>
        </w:rPr>
        <w:tab/>
      </w:r>
      <w:r>
        <w:rPr>
          <w:rFonts w:ascii="Arial" w:cs="Arial" w:eastAsia="Arial" w:hAnsi="Arial"/>
          <w:sz w:val="22"/>
          <w:szCs w:val="22"/>
          <w:u w:val="single" w:color="auto"/>
          <w:color w:val="auto"/>
        </w:rPr>
        <w:t>Books and Records; Inspection</w:t>
      </w:r>
      <w:r>
        <w:rPr>
          <w:sz w:val="20"/>
          <w:szCs w:val="20"/>
          <w:color w:val="auto"/>
        </w:rPr>
        <w:tab/>
      </w:r>
      <w:r>
        <w:rPr>
          <w:rFonts w:ascii="Arial" w:cs="Arial" w:eastAsia="Arial" w:hAnsi="Arial"/>
          <w:sz w:val="19"/>
          <w:szCs w:val="19"/>
          <w:color w:val="auto"/>
        </w:rPr>
        <w:t>60</w:t>
      </w:r>
    </w:p>
    <w:p>
      <w:pPr>
        <w:sectPr>
          <w:pgSz w:w="11900" w:h="16838" w:orient="portrait"/>
          <w:cols w:equalWidth="0" w:num="1">
            <w:col w:w="10139"/>
          </w:cols>
          <w:pgMar w:left="320" w:top="712" w:right="1440"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53"/>
        </w:trPr>
        <w:tc>
          <w:tcPr>
            <w:tcW w:w="1620" w:type="dxa"/>
            <w:vAlign w:val="bottom"/>
            <w:gridSpan w:val="2"/>
          </w:tcPr>
          <w:p>
            <w:pPr>
              <w:ind w:left="660"/>
              <w:spacing w:after="0"/>
              <w:rPr>
                <w:sz w:val="20"/>
                <w:szCs w:val="20"/>
                <w:color w:val="auto"/>
              </w:rPr>
            </w:pPr>
            <w:r>
              <w:rPr>
                <w:rFonts w:ascii="Arial" w:cs="Arial" w:eastAsia="Arial" w:hAnsi="Arial"/>
                <w:sz w:val="22"/>
                <w:szCs w:val="22"/>
                <w:color w:val="auto"/>
              </w:rPr>
              <w:t>6.10.</w:t>
            </w:r>
          </w:p>
        </w:tc>
        <w:tc>
          <w:tcPr>
            <w:tcW w:w="6400" w:type="dxa"/>
            <w:vAlign w:val="bottom"/>
            <w:gridSpan w:val="32"/>
          </w:tcPr>
          <w:p>
            <w:pPr>
              <w:spacing w:after="0"/>
              <w:rPr>
                <w:sz w:val="20"/>
                <w:szCs w:val="20"/>
                <w:color w:val="auto"/>
              </w:rPr>
            </w:pPr>
            <w:r>
              <w:rPr>
                <w:rFonts w:ascii="Arial" w:cs="Arial" w:eastAsia="Arial" w:hAnsi="Arial"/>
                <w:sz w:val="22"/>
                <w:szCs w:val="22"/>
                <w:color w:val="auto"/>
                <w:w w:val="86"/>
              </w:rPr>
              <w:t>Payment of Obligations....................................................................................</w:t>
            </w:r>
          </w:p>
        </w:tc>
        <w:tc>
          <w:tcPr>
            <w:tcW w:w="46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0"/>
        </w:trPr>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62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6.11.</w:t>
            </w:r>
          </w:p>
        </w:tc>
        <w:tc>
          <w:tcPr>
            <w:tcW w:w="6400" w:type="dxa"/>
            <w:vAlign w:val="bottom"/>
            <w:gridSpan w:val="32"/>
          </w:tcPr>
          <w:p>
            <w:pPr>
              <w:spacing w:after="0" w:line="237" w:lineRule="exact"/>
              <w:rPr>
                <w:sz w:val="20"/>
                <w:szCs w:val="20"/>
                <w:color w:val="auto"/>
              </w:rPr>
            </w:pPr>
            <w:r>
              <w:rPr>
                <w:rFonts w:ascii="Arial" w:cs="Arial" w:eastAsia="Arial" w:hAnsi="Arial"/>
                <w:sz w:val="22"/>
                <w:szCs w:val="22"/>
                <w:color w:val="auto"/>
                <w:w w:val="85"/>
              </w:rPr>
              <w:t>Indebtedness.....................................................................................................</w:t>
            </w:r>
          </w:p>
        </w:tc>
        <w:tc>
          <w:tcPr>
            <w:tcW w:w="460" w:type="dxa"/>
            <w:vAlign w:val="bottom"/>
          </w:tcPr>
          <w:p>
            <w:pPr>
              <w:jc w:val="right"/>
              <w:spacing w:after="0" w:line="237" w:lineRule="exact"/>
              <w:rPr>
                <w:sz w:val="20"/>
                <w:szCs w:val="20"/>
                <w:color w:val="auto"/>
              </w:rPr>
            </w:pPr>
            <w:r>
              <w:rPr>
                <w:rFonts w:ascii="Arial" w:cs="Arial" w:eastAsia="Arial" w:hAnsi="Arial"/>
                <w:sz w:val="22"/>
                <w:szCs w:val="22"/>
                <w:color w:val="auto"/>
              </w:rPr>
              <w:t>60</w:t>
            </w:r>
          </w:p>
        </w:tc>
      </w:tr>
      <w:tr>
        <w:trPr>
          <w:trHeight w:val="20"/>
        </w:trPr>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62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6.12.</w:t>
            </w:r>
          </w:p>
        </w:tc>
        <w:tc>
          <w:tcPr>
            <w:tcW w:w="6400" w:type="dxa"/>
            <w:vAlign w:val="bottom"/>
            <w:gridSpan w:val="32"/>
          </w:tcPr>
          <w:p>
            <w:pPr>
              <w:spacing w:after="0" w:line="237" w:lineRule="exact"/>
              <w:rPr>
                <w:sz w:val="20"/>
                <w:szCs w:val="20"/>
                <w:color w:val="auto"/>
              </w:rPr>
            </w:pPr>
            <w:r>
              <w:rPr>
                <w:rFonts w:ascii="Arial" w:cs="Arial" w:eastAsia="Arial" w:hAnsi="Arial"/>
                <w:sz w:val="22"/>
                <w:szCs w:val="22"/>
                <w:color w:val="auto"/>
                <w:w w:val="85"/>
              </w:rPr>
              <w:t>Merger...............................................................................................................</w:t>
            </w:r>
          </w:p>
        </w:tc>
        <w:tc>
          <w:tcPr>
            <w:tcW w:w="460" w:type="dxa"/>
            <w:vAlign w:val="bottom"/>
          </w:tcPr>
          <w:p>
            <w:pPr>
              <w:jc w:val="right"/>
              <w:spacing w:after="0" w:line="237" w:lineRule="exact"/>
              <w:rPr>
                <w:sz w:val="20"/>
                <w:szCs w:val="20"/>
                <w:color w:val="auto"/>
              </w:rPr>
            </w:pPr>
            <w:r>
              <w:rPr>
                <w:rFonts w:ascii="Arial" w:cs="Arial" w:eastAsia="Arial" w:hAnsi="Arial"/>
                <w:sz w:val="22"/>
                <w:szCs w:val="22"/>
                <w:color w:val="auto"/>
              </w:rPr>
              <w:t>61</w:t>
            </w:r>
          </w:p>
        </w:tc>
      </w:tr>
      <w:tr>
        <w:trPr>
          <w:trHeight w:val="20"/>
        </w:trPr>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62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6.13.</w:t>
            </w:r>
          </w:p>
        </w:tc>
        <w:tc>
          <w:tcPr>
            <w:tcW w:w="6400" w:type="dxa"/>
            <w:vAlign w:val="bottom"/>
            <w:gridSpan w:val="32"/>
          </w:tcPr>
          <w:p>
            <w:pPr>
              <w:spacing w:after="0" w:line="237" w:lineRule="exact"/>
              <w:rPr>
                <w:sz w:val="20"/>
                <w:szCs w:val="20"/>
                <w:color w:val="auto"/>
              </w:rPr>
            </w:pPr>
            <w:r>
              <w:rPr>
                <w:rFonts w:ascii="Arial" w:cs="Arial" w:eastAsia="Arial" w:hAnsi="Arial"/>
                <w:sz w:val="22"/>
                <w:szCs w:val="22"/>
                <w:color w:val="auto"/>
                <w:w w:val="84"/>
              </w:rPr>
              <w:t>Sale of Assets ...................................................................................................</w:t>
            </w:r>
          </w:p>
        </w:tc>
        <w:tc>
          <w:tcPr>
            <w:tcW w:w="460" w:type="dxa"/>
            <w:vAlign w:val="bottom"/>
          </w:tcPr>
          <w:p>
            <w:pPr>
              <w:jc w:val="right"/>
              <w:spacing w:after="0" w:line="237" w:lineRule="exact"/>
              <w:rPr>
                <w:sz w:val="20"/>
                <w:szCs w:val="20"/>
                <w:color w:val="auto"/>
              </w:rPr>
            </w:pPr>
            <w:r>
              <w:rPr>
                <w:rFonts w:ascii="Arial" w:cs="Arial" w:eastAsia="Arial" w:hAnsi="Arial"/>
                <w:sz w:val="22"/>
                <w:szCs w:val="22"/>
                <w:color w:val="auto"/>
              </w:rPr>
              <w:t>61</w:t>
            </w:r>
          </w:p>
        </w:tc>
      </w:tr>
      <w:tr>
        <w:trPr>
          <w:trHeight w:val="20"/>
        </w:trPr>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62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6.14.</w:t>
            </w:r>
          </w:p>
        </w:tc>
        <w:tc>
          <w:tcPr>
            <w:tcW w:w="6400" w:type="dxa"/>
            <w:vAlign w:val="bottom"/>
            <w:gridSpan w:val="32"/>
          </w:tcPr>
          <w:p>
            <w:pPr>
              <w:spacing w:after="0" w:line="237" w:lineRule="exact"/>
              <w:rPr>
                <w:sz w:val="20"/>
                <w:szCs w:val="20"/>
                <w:color w:val="auto"/>
              </w:rPr>
            </w:pPr>
            <w:r>
              <w:rPr>
                <w:rFonts w:ascii="Arial" w:cs="Arial" w:eastAsia="Arial" w:hAnsi="Arial"/>
                <w:sz w:val="22"/>
                <w:szCs w:val="22"/>
                <w:color w:val="auto"/>
                <w:w w:val="85"/>
              </w:rPr>
              <w:t>Investments ......................................................................................................</w:t>
            </w:r>
          </w:p>
        </w:tc>
        <w:tc>
          <w:tcPr>
            <w:tcW w:w="460" w:type="dxa"/>
            <w:vAlign w:val="bottom"/>
          </w:tcPr>
          <w:p>
            <w:pPr>
              <w:jc w:val="right"/>
              <w:spacing w:after="0" w:line="237" w:lineRule="exact"/>
              <w:rPr>
                <w:sz w:val="20"/>
                <w:szCs w:val="20"/>
                <w:color w:val="auto"/>
              </w:rPr>
            </w:pPr>
            <w:r>
              <w:rPr>
                <w:rFonts w:ascii="Arial" w:cs="Arial" w:eastAsia="Arial" w:hAnsi="Arial"/>
                <w:sz w:val="22"/>
                <w:szCs w:val="22"/>
                <w:color w:val="auto"/>
              </w:rPr>
              <w:t>61</w:t>
            </w:r>
          </w:p>
        </w:tc>
      </w:tr>
      <w:tr>
        <w:trPr>
          <w:trHeight w:val="20"/>
        </w:trPr>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62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6.15.</w:t>
            </w:r>
          </w:p>
        </w:tc>
        <w:tc>
          <w:tcPr>
            <w:tcW w:w="6400" w:type="dxa"/>
            <w:vAlign w:val="bottom"/>
            <w:gridSpan w:val="32"/>
          </w:tcPr>
          <w:p>
            <w:pPr>
              <w:spacing w:after="0" w:line="237" w:lineRule="exact"/>
              <w:rPr>
                <w:sz w:val="20"/>
                <w:szCs w:val="20"/>
                <w:color w:val="auto"/>
              </w:rPr>
            </w:pPr>
            <w:r>
              <w:rPr>
                <w:rFonts w:ascii="Arial" w:cs="Arial" w:eastAsia="Arial" w:hAnsi="Arial"/>
                <w:sz w:val="22"/>
                <w:szCs w:val="22"/>
                <w:color w:val="auto"/>
                <w:w w:val="86"/>
              </w:rPr>
              <w:t>Acquisitions .....................................................................................................</w:t>
            </w:r>
          </w:p>
        </w:tc>
        <w:tc>
          <w:tcPr>
            <w:tcW w:w="460" w:type="dxa"/>
            <w:vAlign w:val="bottom"/>
          </w:tcPr>
          <w:p>
            <w:pPr>
              <w:jc w:val="right"/>
              <w:spacing w:after="0" w:line="237" w:lineRule="exact"/>
              <w:rPr>
                <w:sz w:val="20"/>
                <w:szCs w:val="20"/>
                <w:color w:val="auto"/>
              </w:rPr>
            </w:pPr>
            <w:r>
              <w:rPr>
                <w:rFonts w:ascii="Arial" w:cs="Arial" w:eastAsia="Arial" w:hAnsi="Arial"/>
                <w:sz w:val="22"/>
                <w:szCs w:val="22"/>
                <w:color w:val="auto"/>
              </w:rPr>
              <w:t>62</w:t>
            </w:r>
          </w:p>
        </w:tc>
      </w:tr>
      <w:tr>
        <w:trPr>
          <w:trHeight w:val="20"/>
        </w:trPr>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62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6.16.</w:t>
            </w:r>
          </w:p>
        </w:tc>
        <w:tc>
          <w:tcPr>
            <w:tcW w:w="6400" w:type="dxa"/>
            <w:vAlign w:val="bottom"/>
            <w:gridSpan w:val="32"/>
          </w:tcPr>
          <w:p>
            <w:pPr>
              <w:spacing w:after="0" w:line="237" w:lineRule="exact"/>
              <w:rPr>
                <w:sz w:val="20"/>
                <w:szCs w:val="20"/>
                <w:color w:val="auto"/>
              </w:rPr>
            </w:pPr>
            <w:r>
              <w:rPr>
                <w:rFonts w:ascii="Arial" w:cs="Arial" w:eastAsia="Arial" w:hAnsi="Arial"/>
                <w:sz w:val="22"/>
                <w:szCs w:val="22"/>
                <w:color w:val="auto"/>
                <w:w w:val="85"/>
              </w:rPr>
              <w:t>Liens ................................................................................................................</w:t>
            </w:r>
          </w:p>
        </w:tc>
        <w:tc>
          <w:tcPr>
            <w:tcW w:w="460" w:type="dxa"/>
            <w:vAlign w:val="bottom"/>
          </w:tcPr>
          <w:p>
            <w:pPr>
              <w:jc w:val="right"/>
              <w:spacing w:after="0" w:line="237" w:lineRule="exact"/>
              <w:rPr>
                <w:sz w:val="20"/>
                <w:szCs w:val="20"/>
                <w:color w:val="auto"/>
              </w:rPr>
            </w:pPr>
            <w:r>
              <w:rPr>
                <w:rFonts w:ascii="Arial" w:cs="Arial" w:eastAsia="Arial" w:hAnsi="Arial"/>
                <w:sz w:val="22"/>
                <w:szCs w:val="22"/>
                <w:color w:val="auto"/>
              </w:rPr>
              <w:t>62</w:t>
            </w:r>
          </w:p>
        </w:tc>
      </w:tr>
      <w:tr>
        <w:trPr>
          <w:trHeight w:val="20"/>
        </w:trPr>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62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6.17.</w:t>
            </w:r>
          </w:p>
        </w:tc>
        <w:tc>
          <w:tcPr>
            <w:tcW w:w="6400" w:type="dxa"/>
            <w:vAlign w:val="bottom"/>
            <w:gridSpan w:val="32"/>
          </w:tcPr>
          <w:p>
            <w:pPr>
              <w:spacing w:after="0" w:line="237" w:lineRule="exact"/>
              <w:rPr>
                <w:sz w:val="20"/>
                <w:szCs w:val="20"/>
                <w:color w:val="auto"/>
              </w:rPr>
            </w:pPr>
            <w:r>
              <w:rPr>
                <w:rFonts w:ascii="Arial" w:cs="Arial" w:eastAsia="Arial" w:hAnsi="Arial"/>
                <w:sz w:val="22"/>
                <w:szCs w:val="22"/>
                <w:color w:val="auto"/>
                <w:w w:val="86"/>
              </w:rPr>
              <w:t>Transactions with Affiliates .............................................................................</w:t>
            </w:r>
          </w:p>
        </w:tc>
        <w:tc>
          <w:tcPr>
            <w:tcW w:w="460" w:type="dxa"/>
            <w:vAlign w:val="bottom"/>
          </w:tcPr>
          <w:p>
            <w:pPr>
              <w:jc w:val="right"/>
              <w:spacing w:after="0" w:line="237" w:lineRule="exact"/>
              <w:rPr>
                <w:sz w:val="20"/>
                <w:szCs w:val="20"/>
                <w:color w:val="auto"/>
              </w:rPr>
            </w:pPr>
            <w:r>
              <w:rPr>
                <w:rFonts w:ascii="Arial" w:cs="Arial" w:eastAsia="Arial" w:hAnsi="Arial"/>
                <w:sz w:val="22"/>
                <w:szCs w:val="22"/>
                <w:color w:val="auto"/>
              </w:rPr>
              <w:t>63</w:t>
            </w:r>
          </w:p>
        </w:tc>
      </w:tr>
      <w:tr>
        <w:trPr>
          <w:trHeight w:val="20"/>
        </w:trPr>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62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6.18.</w:t>
            </w:r>
          </w:p>
        </w:tc>
        <w:tc>
          <w:tcPr>
            <w:tcW w:w="6400" w:type="dxa"/>
            <w:vAlign w:val="bottom"/>
            <w:gridSpan w:val="32"/>
          </w:tcPr>
          <w:p>
            <w:pPr>
              <w:spacing w:after="0" w:line="237" w:lineRule="exact"/>
              <w:rPr>
                <w:sz w:val="20"/>
                <w:szCs w:val="20"/>
                <w:color w:val="auto"/>
              </w:rPr>
            </w:pPr>
            <w:r>
              <w:rPr>
                <w:rFonts w:ascii="Arial" w:cs="Arial" w:eastAsia="Arial" w:hAnsi="Arial"/>
                <w:sz w:val="22"/>
                <w:szCs w:val="22"/>
                <w:color w:val="auto"/>
                <w:w w:val="85"/>
              </w:rPr>
              <w:t>Rate Protection and Foreign Currency Hedging Agreements .........................</w:t>
            </w:r>
          </w:p>
        </w:tc>
        <w:tc>
          <w:tcPr>
            <w:tcW w:w="460" w:type="dxa"/>
            <w:vAlign w:val="bottom"/>
          </w:tcPr>
          <w:p>
            <w:pPr>
              <w:jc w:val="right"/>
              <w:spacing w:after="0" w:line="237" w:lineRule="exact"/>
              <w:rPr>
                <w:sz w:val="20"/>
                <w:szCs w:val="20"/>
                <w:color w:val="auto"/>
              </w:rPr>
            </w:pPr>
            <w:r>
              <w:rPr>
                <w:rFonts w:ascii="Arial" w:cs="Arial" w:eastAsia="Arial" w:hAnsi="Arial"/>
                <w:sz w:val="22"/>
                <w:szCs w:val="22"/>
                <w:color w:val="auto"/>
              </w:rPr>
              <w:t>63</w:t>
            </w:r>
          </w:p>
        </w:tc>
      </w:tr>
      <w:tr>
        <w:trPr>
          <w:trHeight w:val="20"/>
        </w:trPr>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62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6.19.</w:t>
            </w:r>
          </w:p>
        </w:tc>
        <w:tc>
          <w:tcPr>
            <w:tcW w:w="6400" w:type="dxa"/>
            <w:vAlign w:val="bottom"/>
            <w:gridSpan w:val="32"/>
          </w:tcPr>
          <w:p>
            <w:pPr>
              <w:spacing w:after="0" w:line="237" w:lineRule="exact"/>
              <w:rPr>
                <w:sz w:val="20"/>
                <w:szCs w:val="20"/>
                <w:color w:val="auto"/>
              </w:rPr>
            </w:pPr>
            <w:r>
              <w:rPr>
                <w:rFonts w:ascii="Arial" w:cs="Arial" w:eastAsia="Arial" w:hAnsi="Arial"/>
                <w:sz w:val="22"/>
                <w:szCs w:val="22"/>
                <w:color w:val="auto"/>
                <w:w w:val="85"/>
              </w:rPr>
              <w:t>Restricted Payments ........................................................................................</w:t>
            </w:r>
          </w:p>
        </w:tc>
        <w:tc>
          <w:tcPr>
            <w:tcW w:w="460" w:type="dxa"/>
            <w:vAlign w:val="bottom"/>
          </w:tcPr>
          <w:p>
            <w:pPr>
              <w:jc w:val="right"/>
              <w:spacing w:after="0" w:line="237" w:lineRule="exact"/>
              <w:rPr>
                <w:sz w:val="20"/>
                <w:szCs w:val="20"/>
                <w:color w:val="auto"/>
              </w:rPr>
            </w:pPr>
            <w:r>
              <w:rPr>
                <w:rFonts w:ascii="Arial" w:cs="Arial" w:eastAsia="Arial" w:hAnsi="Arial"/>
                <w:sz w:val="22"/>
                <w:szCs w:val="22"/>
                <w:color w:val="auto"/>
              </w:rPr>
              <w:t>63</w:t>
            </w:r>
          </w:p>
        </w:tc>
      </w:tr>
      <w:tr>
        <w:trPr>
          <w:trHeight w:val="20"/>
        </w:trPr>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62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6.20.</w:t>
            </w:r>
          </w:p>
        </w:tc>
        <w:tc>
          <w:tcPr>
            <w:tcW w:w="6400" w:type="dxa"/>
            <w:vAlign w:val="bottom"/>
            <w:gridSpan w:val="32"/>
          </w:tcPr>
          <w:p>
            <w:pPr>
              <w:spacing w:after="0" w:line="237" w:lineRule="exact"/>
              <w:rPr>
                <w:sz w:val="20"/>
                <w:szCs w:val="20"/>
                <w:color w:val="auto"/>
              </w:rPr>
            </w:pPr>
            <w:r>
              <w:rPr>
                <w:rFonts w:ascii="Arial" w:cs="Arial" w:eastAsia="Arial" w:hAnsi="Arial"/>
                <w:sz w:val="22"/>
                <w:szCs w:val="22"/>
                <w:color w:val="auto"/>
                <w:w w:val="86"/>
              </w:rPr>
              <w:t>Restrictive Agreements ...................................................................................</w:t>
            </w:r>
          </w:p>
        </w:tc>
        <w:tc>
          <w:tcPr>
            <w:tcW w:w="460" w:type="dxa"/>
            <w:vAlign w:val="bottom"/>
          </w:tcPr>
          <w:p>
            <w:pPr>
              <w:jc w:val="right"/>
              <w:spacing w:after="0" w:line="237" w:lineRule="exact"/>
              <w:rPr>
                <w:sz w:val="20"/>
                <w:szCs w:val="20"/>
                <w:color w:val="auto"/>
              </w:rPr>
            </w:pPr>
            <w:r>
              <w:rPr>
                <w:rFonts w:ascii="Arial" w:cs="Arial" w:eastAsia="Arial" w:hAnsi="Arial"/>
                <w:sz w:val="22"/>
                <w:szCs w:val="22"/>
                <w:color w:val="auto"/>
              </w:rPr>
              <w:t>63</w:t>
            </w:r>
          </w:p>
        </w:tc>
      </w:tr>
      <w:tr>
        <w:trPr>
          <w:trHeight w:val="20"/>
        </w:trPr>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62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6.21.</w:t>
            </w:r>
          </w:p>
        </w:tc>
        <w:tc>
          <w:tcPr>
            <w:tcW w:w="6400" w:type="dxa"/>
            <w:vAlign w:val="bottom"/>
            <w:gridSpan w:val="32"/>
          </w:tcPr>
          <w:p>
            <w:pPr>
              <w:spacing w:after="0" w:line="237" w:lineRule="exact"/>
              <w:rPr>
                <w:sz w:val="20"/>
                <w:szCs w:val="20"/>
                <w:color w:val="auto"/>
              </w:rPr>
            </w:pPr>
            <w:r>
              <w:rPr>
                <w:rFonts w:ascii="Arial" w:cs="Arial" w:eastAsia="Arial" w:hAnsi="Arial"/>
                <w:sz w:val="22"/>
                <w:szCs w:val="22"/>
                <w:color w:val="auto"/>
                <w:w w:val="85"/>
              </w:rPr>
              <w:t>Financial Covenants ........................................................................................</w:t>
            </w:r>
          </w:p>
        </w:tc>
        <w:tc>
          <w:tcPr>
            <w:tcW w:w="460" w:type="dxa"/>
            <w:vAlign w:val="bottom"/>
          </w:tcPr>
          <w:p>
            <w:pPr>
              <w:jc w:val="right"/>
              <w:spacing w:after="0" w:line="237" w:lineRule="exact"/>
              <w:rPr>
                <w:sz w:val="20"/>
                <w:szCs w:val="20"/>
                <w:color w:val="auto"/>
              </w:rPr>
            </w:pPr>
            <w:r>
              <w:rPr>
                <w:rFonts w:ascii="Arial" w:cs="Arial" w:eastAsia="Arial" w:hAnsi="Arial"/>
                <w:sz w:val="22"/>
                <w:szCs w:val="22"/>
                <w:color w:val="auto"/>
              </w:rPr>
              <w:t>64</w:t>
            </w:r>
          </w:p>
        </w:tc>
      </w:tr>
      <w:tr>
        <w:trPr>
          <w:trHeight w:val="20"/>
        </w:trPr>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62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6.22.</w:t>
            </w:r>
          </w:p>
        </w:tc>
        <w:tc>
          <w:tcPr>
            <w:tcW w:w="6400" w:type="dxa"/>
            <w:vAlign w:val="bottom"/>
            <w:gridSpan w:val="32"/>
          </w:tcPr>
          <w:p>
            <w:pPr>
              <w:spacing w:after="0" w:line="237" w:lineRule="exact"/>
              <w:rPr>
                <w:sz w:val="20"/>
                <w:szCs w:val="20"/>
                <w:color w:val="auto"/>
              </w:rPr>
            </w:pPr>
            <w:r>
              <w:rPr>
                <w:rFonts w:ascii="Arial" w:cs="Arial" w:eastAsia="Arial" w:hAnsi="Arial"/>
                <w:sz w:val="22"/>
                <w:szCs w:val="22"/>
                <w:color w:val="auto"/>
                <w:w w:val="86"/>
              </w:rPr>
              <w:t>Material Domestic Subsidiaries ......................................................................</w:t>
            </w:r>
          </w:p>
        </w:tc>
        <w:tc>
          <w:tcPr>
            <w:tcW w:w="460" w:type="dxa"/>
            <w:vAlign w:val="bottom"/>
          </w:tcPr>
          <w:p>
            <w:pPr>
              <w:jc w:val="right"/>
              <w:spacing w:after="0" w:line="237" w:lineRule="exact"/>
              <w:rPr>
                <w:sz w:val="20"/>
                <w:szCs w:val="20"/>
                <w:color w:val="auto"/>
              </w:rPr>
            </w:pPr>
            <w:r>
              <w:rPr>
                <w:rFonts w:ascii="Arial" w:cs="Arial" w:eastAsia="Arial" w:hAnsi="Arial"/>
                <w:sz w:val="22"/>
                <w:szCs w:val="22"/>
                <w:color w:val="auto"/>
              </w:rPr>
              <w:t>64</w:t>
            </w:r>
          </w:p>
        </w:tc>
      </w:tr>
      <w:tr>
        <w:trPr>
          <w:trHeight w:val="20"/>
        </w:trPr>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62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6.23.</w:t>
            </w:r>
          </w:p>
        </w:tc>
        <w:tc>
          <w:tcPr>
            <w:tcW w:w="6400" w:type="dxa"/>
            <w:vAlign w:val="bottom"/>
            <w:gridSpan w:val="32"/>
          </w:tcPr>
          <w:p>
            <w:pPr>
              <w:spacing w:after="0" w:line="237" w:lineRule="exact"/>
              <w:rPr>
                <w:sz w:val="20"/>
                <w:szCs w:val="20"/>
                <w:color w:val="auto"/>
              </w:rPr>
            </w:pPr>
            <w:r>
              <w:rPr>
                <w:rFonts w:ascii="Arial" w:cs="Arial" w:eastAsia="Arial" w:hAnsi="Arial"/>
                <w:sz w:val="22"/>
                <w:szCs w:val="22"/>
                <w:color w:val="auto"/>
                <w:w w:val="85"/>
              </w:rPr>
              <w:t>Further Assurances ..........................................................................................</w:t>
            </w:r>
          </w:p>
        </w:tc>
        <w:tc>
          <w:tcPr>
            <w:tcW w:w="460" w:type="dxa"/>
            <w:vAlign w:val="bottom"/>
          </w:tcPr>
          <w:p>
            <w:pPr>
              <w:jc w:val="right"/>
              <w:spacing w:after="0" w:line="237" w:lineRule="exact"/>
              <w:rPr>
                <w:sz w:val="20"/>
                <w:szCs w:val="20"/>
                <w:color w:val="auto"/>
              </w:rPr>
            </w:pPr>
            <w:r>
              <w:rPr>
                <w:rFonts w:ascii="Arial" w:cs="Arial" w:eastAsia="Arial" w:hAnsi="Arial"/>
                <w:sz w:val="22"/>
                <w:szCs w:val="22"/>
                <w:color w:val="auto"/>
              </w:rPr>
              <w:t>64</w:t>
            </w:r>
          </w:p>
        </w:tc>
      </w:tr>
      <w:tr>
        <w:trPr>
          <w:trHeight w:val="20"/>
        </w:trPr>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62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6.24.</w:t>
            </w:r>
          </w:p>
        </w:tc>
        <w:tc>
          <w:tcPr>
            <w:tcW w:w="6400" w:type="dxa"/>
            <w:vAlign w:val="bottom"/>
            <w:gridSpan w:val="32"/>
          </w:tcPr>
          <w:p>
            <w:pPr>
              <w:spacing w:after="0" w:line="237" w:lineRule="exact"/>
              <w:rPr>
                <w:sz w:val="20"/>
                <w:szCs w:val="20"/>
                <w:color w:val="auto"/>
              </w:rPr>
            </w:pPr>
            <w:r>
              <w:rPr>
                <w:rFonts w:ascii="Arial" w:cs="Arial" w:eastAsia="Arial" w:hAnsi="Arial"/>
                <w:sz w:val="22"/>
                <w:szCs w:val="22"/>
                <w:color w:val="auto"/>
                <w:w w:val="87"/>
              </w:rPr>
              <w:t>Anti-Money Laundering Compliance .............................................................</w:t>
            </w:r>
          </w:p>
        </w:tc>
        <w:tc>
          <w:tcPr>
            <w:tcW w:w="460" w:type="dxa"/>
            <w:vAlign w:val="bottom"/>
          </w:tcPr>
          <w:p>
            <w:pPr>
              <w:jc w:val="right"/>
              <w:spacing w:after="0" w:line="237" w:lineRule="exact"/>
              <w:rPr>
                <w:sz w:val="20"/>
                <w:szCs w:val="20"/>
                <w:color w:val="auto"/>
              </w:rPr>
            </w:pPr>
            <w:r>
              <w:rPr>
                <w:rFonts w:ascii="Arial" w:cs="Arial" w:eastAsia="Arial" w:hAnsi="Arial"/>
                <w:sz w:val="22"/>
                <w:szCs w:val="22"/>
                <w:color w:val="auto"/>
              </w:rPr>
              <w:t>64</w:t>
            </w:r>
          </w:p>
        </w:tc>
      </w:tr>
      <w:tr>
        <w:trPr>
          <w:trHeight w:val="20"/>
        </w:trPr>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62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6.25.</w:t>
            </w:r>
          </w:p>
        </w:tc>
        <w:tc>
          <w:tcPr>
            <w:tcW w:w="6400" w:type="dxa"/>
            <w:vAlign w:val="bottom"/>
            <w:gridSpan w:val="32"/>
          </w:tcPr>
          <w:p>
            <w:pPr>
              <w:spacing w:after="0" w:line="237" w:lineRule="exact"/>
              <w:rPr>
                <w:sz w:val="20"/>
                <w:szCs w:val="20"/>
                <w:color w:val="auto"/>
              </w:rPr>
            </w:pPr>
            <w:r>
              <w:rPr>
                <w:rFonts w:ascii="Arial" w:cs="Arial" w:eastAsia="Arial" w:hAnsi="Arial"/>
                <w:sz w:val="22"/>
                <w:szCs w:val="22"/>
                <w:color w:val="auto"/>
                <w:w w:val="86"/>
              </w:rPr>
              <w:t>Deposit Accounts ............................................................................................</w:t>
            </w:r>
          </w:p>
        </w:tc>
        <w:tc>
          <w:tcPr>
            <w:tcW w:w="460" w:type="dxa"/>
            <w:vAlign w:val="bottom"/>
          </w:tcPr>
          <w:p>
            <w:pPr>
              <w:jc w:val="right"/>
              <w:spacing w:after="0" w:line="237" w:lineRule="exact"/>
              <w:rPr>
                <w:sz w:val="20"/>
                <w:szCs w:val="20"/>
                <w:color w:val="auto"/>
              </w:rPr>
            </w:pPr>
            <w:r>
              <w:rPr>
                <w:rFonts w:ascii="Arial" w:cs="Arial" w:eastAsia="Arial" w:hAnsi="Arial"/>
                <w:sz w:val="22"/>
                <w:szCs w:val="22"/>
                <w:color w:val="auto"/>
              </w:rPr>
              <w:t>65</w:t>
            </w:r>
          </w:p>
        </w:tc>
      </w:tr>
      <w:tr>
        <w:trPr>
          <w:trHeight w:val="20"/>
        </w:trPr>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62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6.26.</w:t>
            </w:r>
          </w:p>
        </w:tc>
        <w:tc>
          <w:tcPr>
            <w:tcW w:w="6400" w:type="dxa"/>
            <w:vAlign w:val="bottom"/>
            <w:gridSpan w:val="32"/>
          </w:tcPr>
          <w:p>
            <w:pPr>
              <w:spacing w:after="0" w:line="237" w:lineRule="exact"/>
              <w:rPr>
                <w:sz w:val="20"/>
                <w:szCs w:val="20"/>
                <w:color w:val="auto"/>
              </w:rPr>
            </w:pPr>
            <w:r>
              <w:rPr>
                <w:rFonts w:ascii="Arial" w:cs="Arial" w:eastAsia="Arial" w:hAnsi="Arial"/>
                <w:sz w:val="22"/>
                <w:szCs w:val="22"/>
                <w:color w:val="auto"/>
                <w:w w:val="85"/>
              </w:rPr>
              <w:t>Existence .........................................................................................................</w:t>
            </w:r>
          </w:p>
        </w:tc>
        <w:tc>
          <w:tcPr>
            <w:tcW w:w="460" w:type="dxa"/>
            <w:vAlign w:val="bottom"/>
          </w:tcPr>
          <w:p>
            <w:pPr>
              <w:jc w:val="right"/>
              <w:spacing w:after="0" w:line="237" w:lineRule="exact"/>
              <w:rPr>
                <w:sz w:val="20"/>
                <w:szCs w:val="20"/>
                <w:color w:val="auto"/>
              </w:rPr>
            </w:pPr>
            <w:r>
              <w:rPr>
                <w:rFonts w:ascii="Arial" w:cs="Arial" w:eastAsia="Arial" w:hAnsi="Arial"/>
                <w:sz w:val="22"/>
                <w:szCs w:val="22"/>
                <w:color w:val="auto"/>
              </w:rPr>
              <w:t>65</w:t>
            </w:r>
          </w:p>
        </w:tc>
      </w:tr>
      <w:tr>
        <w:trPr>
          <w:trHeight w:val="20"/>
        </w:trPr>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62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6.27.</w:t>
            </w:r>
          </w:p>
        </w:tc>
        <w:tc>
          <w:tcPr>
            <w:tcW w:w="6400" w:type="dxa"/>
            <w:vAlign w:val="bottom"/>
            <w:gridSpan w:val="32"/>
          </w:tcPr>
          <w:p>
            <w:pPr>
              <w:spacing w:after="0" w:line="237" w:lineRule="exact"/>
              <w:rPr>
                <w:sz w:val="20"/>
                <w:szCs w:val="20"/>
                <w:color w:val="auto"/>
              </w:rPr>
            </w:pPr>
            <w:r>
              <w:rPr>
                <w:rFonts w:ascii="Arial" w:cs="Arial" w:eastAsia="Arial" w:hAnsi="Arial"/>
                <w:sz w:val="22"/>
                <w:szCs w:val="22"/>
                <w:color w:val="auto"/>
                <w:w w:val="86"/>
              </w:rPr>
              <w:t>Additional Restricted Subsidiaries ..................................................................</w:t>
            </w:r>
          </w:p>
        </w:tc>
        <w:tc>
          <w:tcPr>
            <w:tcW w:w="460" w:type="dxa"/>
            <w:vAlign w:val="bottom"/>
          </w:tcPr>
          <w:p>
            <w:pPr>
              <w:jc w:val="right"/>
              <w:spacing w:after="0" w:line="237" w:lineRule="exact"/>
              <w:rPr>
                <w:sz w:val="20"/>
                <w:szCs w:val="20"/>
                <w:color w:val="auto"/>
              </w:rPr>
            </w:pPr>
            <w:r>
              <w:rPr>
                <w:rFonts w:ascii="Arial" w:cs="Arial" w:eastAsia="Arial" w:hAnsi="Arial"/>
                <w:sz w:val="22"/>
                <w:szCs w:val="22"/>
                <w:color w:val="auto"/>
              </w:rPr>
              <w:t>65</w:t>
            </w:r>
          </w:p>
        </w:tc>
      </w:tr>
      <w:tr>
        <w:trPr>
          <w:trHeight w:val="20"/>
        </w:trPr>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99"/>
        </w:trPr>
        <w:tc>
          <w:tcPr>
            <w:tcW w:w="8020" w:type="dxa"/>
            <w:vAlign w:val="bottom"/>
            <w:gridSpan w:val="34"/>
          </w:tcPr>
          <w:p>
            <w:pPr>
              <w:spacing w:after="0"/>
              <w:rPr>
                <w:sz w:val="20"/>
                <w:szCs w:val="20"/>
                <w:color w:val="auto"/>
              </w:rPr>
            </w:pPr>
            <w:r>
              <w:rPr>
                <w:rFonts w:ascii="Arial" w:cs="Arial" w:eastAsia="Arial" w:hAnsi="Arial"/>
                <w:sz w:val="22"/>
                <w:szCs w:val="22"/>
                <w:b w:val="1"/>
                <w:bCs w:val="1"/>
                <w:color w:val="auto"/>
              </w:rPr>
              <w:t>ARTICLE VII DEFAULTS   65</w:t>
            </w:r>
          </w:p>
        </w:tc>
        <w:tc>
          <w:tcPr>
            <w:tcW w:w="460" w:type="dxa"/>
            <w:vAlign w:val="bottom"/>
          </w:tcPr>
          <w:p>
            <w:pPr>
              <w:spacing w:after="0"/>
              <w:rPr>
                <w:sz w:val="24"/>
                <w:szCs w:val="24"/>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640" w:type="dxa"/>
            <w:vAlign w:val="bottom"/>
            <w:gridSpan w:val="4"/>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99"/>
        </w:trPr>
        <w:tc>
          <w:tcPr>
            <w:tcW w:w="8020" w:type="dxa"/>
            <w:vAlign w:val="bottom"/>
            <w:gridSpan w:val="34"/>
          </w:tcPr>
          <w:p>
            <w:pPr>
              <w:spacing w:after="0"/>
              <w:rPr>
                <w:sz w:val="20"/>
                <w:szCs w:val="20"/>
                <w:color w:val="auto"/>
              </w:rPr>
            </w:pPr>
            <w:r>
              <w:rPr>
                <w:rFonts w:ascii="Arial" w:cs="Arial" w:eastAsia="Arial" w:hAnsi="Arial"/>
                <w:sz w:val="22"/>
                <w:szCs w:val="22"/>
                <w:b w:val="1"/>
                <w:bCs w:val="1"/>
                <w:color w:val="auto"/>
              </w:rPr>
              <w:t>ARTICLE VIII ACCELERATION, WAIVERS, AMENDMENTS AND</w:t>
            </w:r>
          </w:p>
        </w:tc>
        <w:tc>
          <w:tcPr>
            <w:tcW w:w="460" w:type="dxa"/>
            <w:vAlign w:val="bottom"/>
          </w:tcPr>
          <w:p>
            <w:pPr>
              <w:spacing w:after="0"/>
              <w:rPr>
                <w:sz w:val="24"/>
                <w:szCs w:val="24"/>
                <w:color w:val="auto"/>
              </w:rPr>
            </w:pPr>
          </w:p>
        </w:tc>
      </w:tr>
      <w:tr>
        <w:trPr>
          <w:trHeight w:val="237"/>
        </w:trPr>
        <w:tc>
          <w:tcPr>
            <w:tcW w:w="660" w:type="dxa"/>
            <w:vAlign w:val="bottom"/>
            <w:tcBorders>
              <w:top w:val="single" w:sz="8" w:color="auto"/>
            </w:tcBorders>
          </w:tcPr>
          <w:p>
            <w:pPr>
              <w:spacing w:after="0"/>
              <w:rPr>
                <w:sz w:val="20"/>
                <w:szCs w:val="20"/>
                <w:color w:val="auto"/>
              </w:rPr>
            </w:pPr>
          </w:p>
        </w:tc>
        <w:tc>
          <w:tcPr>
            <w:tcW w:w="1640" w:type="dxa"/>
            <w:vAlign w:val="bottom"/>
            <w:tcBorders>
              <w:top w:val="single" w:sz="8" w:color="auto"/>
              <w:bottom w:val="single" w:sz="8" w:color="auto"/>
            </w:tcBorders>
            <w:gridSpan w:val="4"/>
          </w:tcPr>
          <w:p>
            <w:pPr>
              <w:spacing w:after="0" w:line="237" w:lineRule="exact"/>
              <w:rPr>
                <w:sz w:val="20"/>
                <w:szCs w:val="20"/>
                <w:color w:val="auto"/>
              </w:rPr>
            </w:pPr>
            <w:r>
              <w:rPr>
                <w:rFonts w:ascii="Arial" w:cs="Arial" w:eastAsia="Arial" w:hAnsi="Arial"/>
                <w:sz w:val="22"/>
                <w:szCs w:val="22"/>
                <w:b w:val="1"/>
                <w:bCs w:val="1"/>
                <w:color w:val="auto"/>
              </w:rPr>
              <w:t>REMEDIES   68</w:t>
            </w:r>
          </w:p>
        </w:tc>
        <w:tc>
          <w:tcPr>
            <w:tcW w:w="4280" w:type="dxa"/>
            <w:vAlign w:val="bottom"/>
            <w:tcBorders>
              <w:top w:val="single" w:sz="8" w:color="auto"/>
            </w:tcBorders>
            <w:gridSpan w:val="24"/>
          </w:tcPr>
          <w:p>
            <w:pPr>
              <w:spacing w:after="0"/>
              <w:rPr>
                <w:sz w:val="20"/>
                <w:szCs w:val="20"/>
                <w:color w:val="auto"/>
              </w:rPr>
            </w:pPr>
          </w:p>
        </w:tc>
        <w:tc>
          <w:tcPr>
            <w:tcW w:w="1440" w:type="dxa"/>
            <w:vAlign w:val="bottom"/>
            <w:gridSpan w:val="5"/>
          </w:tcPr>
          <w:p>
            <w:pPr>
              <w:spacing w:after="0"/>
              <w:rPr>
                <w:sz w:val="20"/>
                <w:szCs w:val="20"/>
                <w:color w:val="auto"/>
              </w:rPr>
            </w:pPr>
          </w:p>
        </w:tc>
        <w:tc>
          <w:tcPr>
            <w:tcW w:w="460" w:type="dxa"/>
            <w:vAlign w:val="bottom"/>
          </w:tcPr>
          <w:p>
            <w:pPr>
              <w:spacing w:after="0"/>
              <w:rPr>
                <w:sz w:val="20"/>
                <w:szCs w:val="20"/>
                <w:color w:val="auto"/>
              </w:rPr>
            </w:pPr>
          </w:p>
        </w:tc>
      </w:tr>
      <w:tr>
        <w:trPr>
          <w:trHeight w:val="399"/>
        </w:trPr>
        <w:tc>
          <w:tcPr>
            <w:tcW w:w="1620" w:type="dxa"/>
            <w:vAlign w:val="bottom"/>
            <w:gridSpan w:val="2"/>
          </w:tcPr>
          <w:p>
            <w:pPr>
              <w:ind w:left="660"/>
              <w:spacing w:after="0"/>
              <w:rPr>
                <w:sz w:val="20"/>
                <w:szCs w:val="20"/>
                <w:color w:val="auto"/>
              </w:rPr>
            </w:pPr>
            <w:r>
              <w:rPr>
                <w:rFonts w:ascii="Arial" w:cs="Arial" w:eastAsia="Arial" w:hAnsi="Arial"/>
                <w:sz w:val="22"/>
                <w:szCs w:val="22"/>
                <w:color w:val="auto"/>
              </w:rPr>
              <w:t>8.1.</w:t>
            </w:r>
          </w:p>
        </w:tc>
        <w:tc>
          <w:tcPr>
            <w:tcW w:w="6400" w:type="dxa"/>
            <w:vAlign w:val="bottom"/>
            <w:gridSpan w:val="32"/>
          </w:tcPr>
          <w:p>
            <w:pPr>
              <w:spacing w:after="0"/>
              <w:rPr>
                <w:sz w:val="20"/>
                <w:szCs w:val="20"/>
                <w:color w:val="auto"/>
              </w:rPr>
            </w:pPr>
            <w:r>
              <w:rPr>
                <w:rFonts w:ascii="Arial" w:cs="Arial" w:eastAsia="Arial" w:hAnsi="Arial"/>
                <w:sz w:val="22"/>
                <w:szCs w:val="22"/>
                <w:color w:val="auto"/>
                <w:w w:val="85"/>
              </w:rPr>
              <w:t>Acceleration; Remedies ...................................................................................</w:t>
            </w:r>
          </w:p>
        </w:tc>
        <w:tc>
          <w:tcPr>
            <w:tcW w:w="46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20"/>
        </w:trPr>
        <w:tc>
          <w:tcPr>
            <w:tcW w:w="1620" w:type="dxa"/>
            <w:vAlign w:val="bottom"/>
            <w:gridSpan w:val="2"/>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62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8.2.</w:t>
            </w:r>
          </w:p>
        </w:tc>
        <w:tc>
          <w:tcPr>
            <w:tcW w:w="6400" w:type="dxa"/>
            <w:vAlign w:val="bottom"/>
            <w:gridSpan w:val="32"/>
          </w:tcPr>
          <w:p>
            <w:pPr>
              <w:spacing w:after="0" w:line="237" w:lineRule="exact"/>
              <w:rPr>
                <w:sz w:val="20"/>
                <w:szCs w:val="20"/>
                <w:color w:val="auto"/>
              </w:rPr>
            </w:pPr>
            <w:r>
              <w:rPr>
                <w:rFonts w:ascii="Arial" w:cs="Arial" w:eastAsia="Arial" w:hAnsi="Arial"/>
                <w:sz w:val="22"/>
                <w:szCs w:val="22"/>
                <w:color w:val="auto"/>
                <w:w w:val="86"/>
              </w:rPr>
              <w:t>Application of Funds .......................................................................................</w:t>
            </w:r>
          </w:p>
        </w:tc>
        <w:tc>
          <w:tcPr>
            <w:tcW w:w="460" w:type="dxa"/>
            <w:vAlign w:val="bottom"/>
          </w:tcPr>
          <w:p>
            <w:pPr>
              <w:jc w:val="right"/>
              <w:spacing w:after="0" w:line="237" w:lineRule="exact"/>
              <w:rPr>
                <w:sz w:val="20"/>
                <w:szCs w:val="20"/>
                <w:color w:val="auto"/>
              </w:rPr>
            </w:pPr>
            <w:r>
              <w:rPr>
                <w:rFonts w:ascii="Arial" w:cs="Arial" w:eastAsia="Arial" w:hAnsi="Arial"/>
                <w:sz w:val="22"/>
                <w:szCs w:val="22"/>
                <w:color w:val="auto"/>
              </w:rPr>
              <w:t>69</w:t>
            </w:r>
          </w:p>
        </w:tc>
      </w:tr>
      <w:tr>
        <w:trPr>
          <w:trHeight w:val="20"/>
        </w:trPr>
        <w:tc>
          <w:tcPr>
            <w:tcW w:w="1620" w:type="dxa"/>
            <w:vAlign w:val="bottom"/>
            <w:gridSpan w:val="2"/>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62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8.3.</w:t>
            </w:r>
          </w:p>
        </w:tc>
        <w:tc>
          <w:tcPr>
            <w:tcW w:w="6400" w:type="dxa"/>
            <w:vAlign w:val="bottom"/>
            <w:gridSpan w:val="32"/>
          </w:tcPr>
          <w:p>
            <w:pPr>
              <w:spacing w:after="0" w:line="237" w:lineRule="exact"/>
              <w:rPr>
                <w:sz w:val="20"/>
                <w:szCs w:val="20"/>
                <w:color w:val="auto"/>
              </w:rPr>
            </w:pPr>
            <w:r>
              <w:rPr>
                <w:rFonts w:ascii="Arial" w:cs="Arial" w:eastAsia="Arial" w:hAnsi="Arial"/>
                <w:sz w:val="22"/>
                <w:szCs w:val="22"/>
                <w:color w:val="auto"/>
                <w:w w:val="85"/>
              </w:rPr>
              <w:t>Amendments ....................................................................................................</w:t>
            </w:r>
          </w:p>
        </w:tc>
        <w:tc>
          <w:tcPr>
            <w:tcW w:w="460" w:type="dxa"/>
            <w:vAlign w:val="bottom"/>
          </w:tcPr>
          <w:p>
            <w:pPr>
              <w:jc w:val="right"/>
              <w:spacing w:after="0" w:line="237" w:lineRule="exact"/>
              <w:rPr>
                <w:sz w:val="20"/>
                <w:szCs w:val="20"/>
                <w:color w:val="auto"/>
              </w:rPr>
            </w:pPr>
            <w:r>
              <w:rPr>
                <w:rFonts w:ascii="Arial" w:cs="Arial" w:eastAsia="Arial" w:hAnsi="Arial"/>
                <w:sz w:val="22"/>
                <w:szCs w:val="22"/>
                <w:color w:val="auto"/>
              </w:rPr>
              <w:t>70</w:t>
            </w:r>
          </w:p>
        </w:tc>
      </w:tr>
      <w:tr>
        <w:trPr>
          <w:trHeight w:val="20"/>
        </w:trPr>
        <w:tc>
          <w:tcPr>
            <w:tcW w:w="1620" w:type="dxa"/>
            <w:vAlign w:val="bottom"/>
            <w:gridSpan w:val="2"/>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62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8.4.</w:t>
            </w:r>
          </w:p>
        </w:tc>
        <w:tc>
          <w:tcPr>
            <w:tcW w:w="6400" w:type="dxa"/>
            <w:vAlign w:val="bottom"/>
            <w:gridSpan w:val="32"/>
          </w:tcPr>
          <w:p>
            <w:pPr>
              <w:spacing w:after="0" w:line="237" w:lineRule="exact"/>
              <w:rPr>
                <w:sz w:val="20"/>
                <w:szCs w:val="20"/>
                <w:color w:val="auto"/>
              </w:rPr>
            </w:pPr>
            <w:r>
              <w:rPr>
                <w:rFonts w:ascii="Arial" w:cs="Arial" w:eastAsia="Arial" w:hAnsi="Arial"/>
                <w:sz w:val="22"/>
                <w:szCs w:val="22"/>
                <w:color w:val="auto"/>
                <w:w w:val="85"/>
              </w:rPr>
              <w:t>Preservation of Rights ......................................................................................</w:t>
            </w:r>
          </w:p>
        </w:tc>
        <w:tc>
          <w:tcPr>
            <w:tcW w:w="460" w:type="dxa"/>
            <w:vAlign w:val="bottom"/>
          </w:tcPr>
          <w:p>
            <w:pPr>
              <w:jc w:val="right"/>
              <w:spacing w:after="0" w:line="237" w:lineRule="exact"/>
              <w:rPr>
                <w:sz w:val="20"/>
                <w:szCs w:val="20"/>
                <w:color w:val="auto"/>
              </w:rPr>
            </w:pPr>
            <w:r>
              <w:rPr>
                <w:rFonts w:ascii="Arial" w:cs="Arial" w:eastAsia="Arial" w:hAnsi="Arial"/>
                <w:sz w:val="22"/>
                <w:szCs w:val="22"/>
                <w:color w:val="auto"/>
              </w:rPr>
              <w:t>71</w:t>
            </w:r>
          </w:p>
        </w:tc>
      </w:tr>
      <w:tr>
        <w:trPr>
          <w:trHeight w:val="20"/>
        </w:trPr>
        <w:tc>
          <w:tcPr>
            <w:tcW w:w="1620" w:type="dxa"/>
            <w:vAlign w:val="bottom"/>
            <w:gridSpan w:val="2"/>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99"/>
        </w:trPr>
        <w:tc>
          <w:tcPr>
            <w:tcW w:w="8020" w:type="dxa"/>
            <w:vAlign w:val="bottom"/>
            <w:gridSpan w:val="34"/>
          </w:tcPr>
          <w:p>
            <w:pPr>
              <w:spacing w:after="0"/>
              <w:rPr>
                <w:sz w:val="20"/>
                <w:szCs w:val="20"/>
                <w:color w:val="auto"/>
              </w:rPr>
            </w:pPr>
            <w:r>
              <w:rPr>
                <w:rFonts w:ascii="Arial" w:cs="Arial" w:eastAsia="Arial" w:hAnsi="Arial"/>
                <w:sz w:val="22"/>
                <w:szCs w:val="22"/>
                <w:b w:val="1"/>
                <w:bCs w:val="1"/>
                <w:color w:val="auto"/>
              </w:rPr>
              <w:t>ARTICLE IX GENERAL PROVISIONS   71</w:t>
            </w:r>
          </w:p>
        </w:tc>
        <w:tc>
          <w:tcPr>
            <w:tcW w:w="460" w:type="dxa"/>
            <w:vAlign w:val="bottom"/>
          </w:tcPr>
          <w:p>
            <w:pPr>
              <w:spacing w:after="0"/>
              <w:rPr>
                <w:sz w:val="24"/>
                <w:szCs w:val="24"/>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99"/>
        </w:trPr>
        <w:tc>
          <w:tcPr>
            <w:tcW w:w="1620" w:type="dxa"/>
            <w:vAlign w:val="bottom"/>
            <w:gridSpan w:val="2"/>
          </w:tcPr>
          <w:p>
            <w:pPr>
              <w:ind w:left="660"/>
              <w:spacing w:after="0"/>
              <w:rPr>
                <w:sz w:val="20"/>
                <w:szCs w:val="20"/>
                <w:color w:val="auto"/>
              </w:rPr>
            </w:pPr>
            <w:r>
              <w:rPr>
                <w:rFonts w:ascii="Arial" w:cs="Arial" w:eastAsia="Arial" w:hAnsi="Arial"/>
                <w:sz w:val="22"/>
                <w:szCs w:val="22"/>
                <w:color w:val="auto"/>
              </w:rPr>
              <w:t>9.1.</w:t>
            </w:r>
          </w:p>
        </w:tc>
        <w:tc>
          <w:tcPr>
            <w:tcW w:w="6400" w:type="dxa"/>
            <w:vAlign w:val="bottom"/>
            <w:gridSpan w:val="32"/>
          </w:tcPr>
          <w:p>
            <w:pPr>
              <w:spacing w:after="0"/>
              <w:rPr>
                <w:sz w:val="20"/>
                <w:szCs w:val="20"/>
                <w:color w:val="auto"/>
              </w:rPr>
            </w:pPr>
            <w:r>
              <w:rPr>
                <w:rFonts w:ascii="Arial" w:cs="Arial" w:eastAsia="Arial" w:hAnsi="Arial"/>
                <w:sz w:val="22"/>
                <w:szCs w:val="22"/>
                <w:color w:val="auto"/>
                <w:w w:val="85"/>
              </w:rPr>
              <w:t>Survival of Representations .............................................................................</w:t>
            </w:r>
          </w:p>
        </w:tc>
        <w:tc>
          <w:tcPr>
            <w:tcW w:w="46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20"/>
        </w:trPr>
        <w:tc>
          <w:tcPr>
            <w:tcW w:w="1620" w:type="dxa"/>
            <w:vAlign w:val="bottom"/>
            <w:gridSpan w:val="2"/>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62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9.2.</w:t>
            </w:r>
          </w:p>
        </w:tc>
        <w:tc>
          <w:tcPr>
            <w:tcW w:w="6400" w:type="dxa"/>
            <w:vAlign w:val="bottom"/>
            <w:gridSpan w:val="32"/>
          </w:tcPr>
          <w:p>
            <w:pPr>
              <w:spacing w:after="0" w:line="237" w:lineRule="exact"/>
              <w:rPr>
                <w:sz w:val="20"/>
                <w:szCs w:val="20"/>
                <w:color w:val="auto"/>
              </w:rPr>
            </w:pPr>
            <w:r>
              <w:rPr>
                <w:rFonts w:ascii="Arial" w:cs="Arial" w:eastAsia="Arial" w:hAnsi="Arial"/>
                <w:sz w:val="22"/>
                <w:szCs w:val="22"/>
                <w:color w:val="auto"/>
                <w:w w:val="85"/>
              </w:rPr>
              <w:t>Governmental Regulation.................................................................................</w:t>
            </w:r>
          </w:p>
        </w:tc>
        <w:tc>
          <w:tcPr>
            <w:tcW w:w="460" w:type="dxa"/>
            <w:vAlign w:val="bottom"/>
          </w:tcPr>
          <w:p>
            <w:pPr>
              <w:jc w:val="right"/>
              <w:spacing w:after="0" w:line="237" w:lineRule="exact"/>
              <w:rPr>
                <w:sz w:val="20"/>
                <w:szCs w:val="20"/>
                <w:color w:val="auto"/>
              </w:rPr>
            </w:pPr>
            <w:r>
              <w:rPr>
                <w:rFonts w:ascii="Arial" w:cs="Arial" w:eastAsia="Arial" w:hAnsi="Arial"/>
                <w:sz w:val="22"/>
                <w:szCs w:val="22"/>
                <w:color w:val="auto"/>
              </w:rPr>
              <w:t>71</w:t>
            </w:r>
          </w:p>
        </w:tc>
      </w:tr>
      <w:tr>
        <w:trPr>
          <w:trHeight w:val="20"/>
        </w:trPr>
        <w:tc>
          <w:tcPr>
            <w:tcW w:w="1620" w:type="dxa"/>
            <w:vAlign w:val="bottom"/>
            <w:gridSpan w:val="2"/>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62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9.3.</w:t>
            </w:r>
          </w:p>
        </w:tc>
        <w:tc>
          <w:tcPr>
            <w:tcW w:w="6400" w:type="dxa"/>
            <w:vAlign w:val="bottom"/>
            <w:gridSpan w:val="32"/>
          </w:tcPr>
          <w:p>
            <w:pPr>
              <w:spacing w:after="0" w:line="237" w:lineRule="exact"/>
              <w:rPr>
                <w:sz w:val="20"/>
                <w:szCs w:val="20"/>
                <w:color w:val="auto"/>
              </w:rPr>
            </w:pPr>
            <w:r>
              <w:rPr>
                <w:rFonts w:ascii="Arial" w:cs="Arial" w:eastAsia="Arial" w:hAnsi="Arial"/>
                <w:sz w:val="22"/>
                <w:szCs w:val="22"/>
                <w:color w:val="auto"/>
                <w:w w:val="85"/>
              </w:rPr>
              <w:t>Headings ..........................................................................................................</w:t>
            </w:r>
          </w:p>
        </w:tc>
        <w:tc>
          <w:tcPr>
            <w:tcW w:w="460" w:type="dxa"/>
            <w:vAlign w:val="bottom"/>
          </w:tcPr>
          <w:p>
            <w:pPr>
              <w:jc w:val="right"/>
              <w:spacing w:after="0" w:line="237" w:lineRule="exact"/>
              <w:rPr>
                <w:sz w:val="20"/>
                <w:szCs w:val="20"/>
                <w:color w:val="auto"/>
              </w:rPr>
            </w:pPr>
            <w:r>
              <w:rPr>
                <w:rFonts w:ascii="Arial" w:cs="Arial" w:eastAsia="Arial" w:hAnsi="Arial"/>
                <w:sz w:val="22"/>
                <w:szCs w:val="22"/>
                <w:color w:val="auto"/>
              </w:rPr>
              <w:t>72</w:t>
            </w:r>
          </w:p>
        </w:tc>
      </w:tr>
      <w:tr>
        <w:trPr>
          <w:trHeight w:val="20"/>
        </w:trPr>
        <w:tc>
          <w:tcPr>
            <w:tcW w:w="1620" w:type="dxa"/>
            <w:vAlign w:val="bottom"/>
            <w:gridSpan w:val="2"/>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62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9.4.</w:t>
            </w:r>
          </w:p>
        </w:tc>
        <w:tc>
          <w:tcPr>
            <w:tcW w:w="6400" w:type="dxa"/>
            <w:vAlign w:val="bottom"/>
            <w:gridSpan w:val="32"/>
          </w:tcPr>
          <w:p>
            <w:pPr>
              <w:spacing w:after="0" w:line="237" w:lineRule="exact"/>
              <w:rPr>
                <w:sz w:val="20"/>
                <w:szCs w:val="20"/>
                <w:color w:val="auto"/>
              </w:rPr>
            </w:pPr>
            <w:r>
              <w:rPr>
                <w:rFonts w:ascii="Arial" w:cs="Arial" w:eastAsia="Arial" w:hAnsi="Arial"/>
                <w:sz w:val="22"/>
                <w:szCs w:val="22"/>
                <w:color w:val="auto"/>
                <w:w w:val="85"/>
              </w:rPr>
              <w:t>Entire Agreement..............................................................................................</w:t>
            </w:r>
          </w:p>
        </w:tc>
        <w:tc>
          <w:tcPr>
            <w:tcW w:w="460" w:type="dxa"/>
            <w:vAlign w:val="bottom"/>
          </w:tcPr>
          <w:p>
            <w:pPr>
              <w:jc w:val="right"/>
              <w:spacing w:after="0" w:line="237" w:lineRule="exact"/>
              <w:rPr>
                <w:sz w:val="20"/>
                <w:szCs w:val="20"/>
                <w:color w:val="auto"/>
              </w:rPr>
            </w:pPr>
            <w:r>
              <w:rPr>
                <w:rFonts w:ascii="Arial" w:cs="Arial" w:eastAsia="Arial" w:hAnsi="Arial"/>
                <w:sz w:val="22"/>
                <w:szCs w:val="22"/>
                <w:color w:val="auto"/>
              </w:rPr>
              <w:t>72</w:t>
            </w:r>
          </w:p>
        </w:tc>
      </w:tr>
      <w:tr>
        <w:trPr>
          <w:trHeight w:val="20"/>
        </w:trPr>
        <w:tc>
          <w:tcPr>
            <w:tcW w:w="1620" w:type="dxa"/>
            <w:vAlign w:val="bottom"/>
            <w:gridSpan w:val="2"/>
          </w:tcPr>
          <w:p>
            <w:pPr>
              <w:spacing w:after="0" w:line="20" w:lineRule="exact"/>
              <w:rPr>
                <w:sz w:val="1"/>
                <w:szCs w:val="1"/>
                <w:color w:val="auto"/>
              </w:rPr>
            </w:pPr>
          </w:p>
        </w:tc>
        <w:tc>
          <w:tcPr>
            <w:tcW w:w="92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62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9.5.</w:t>
            </w:r>
          </w:p>
        </w:tc>
        <w:tc>
          <w:tcPr>
            <w:tcW w:w="6400" w:type="dxa"/>
            <w:vAlign w:val="bottom"/>
            <w:gridSpan w:val="32"/>
          </w:tcPr>
          <w:p>
            <w:pPr>
              <w:spacing w:after="0" w:line="237" w:lineRule="exact"/>
              <w:rPr>
                <w:sz w:val="20"/>
                <w:szCs w:val="20"/>
                <w:color w:val="auto"/>
              </w:rPr>
            </w:pPr>
            <w:r>
              <w:rPr>
                <w:rFonts w:ascii="Arial" w:cs="Arial" w:eastAsia="Arial" w:hAnsi="Arial"/>
                <w:sz w:val="22"/>
                <w:szCs w:val="22"/>
                <w:color w:val="auto"/>
                <w:w w:val="85"/>
              </w:rPr>
              <w:t>Several Obligations; Benefits of this Agreement .............................................</w:t>
            </w:r>
          </w:p>
        </w:tc>
        <w:tc>
          <w:tcPr>
            <w:tcW w:w="460" w:type="dxa"/>
            <w:vAlign w:val="bottom"/>
          </w:tcPr>
          <w:p>
            <w:pPr>
              <w:jc w:val="right"/>
              <w:spacing w:after="0" w:line="237" w:lineRule="exact"/>
              <w:rPr>
                <w:sz w:val="20"/>
                <w:szCs w:val="20"/>
                <w:color w:val="auto"/>
              </w:rPr>
            </w:pPr>
            <w:r>
              <w:rPr>
                <w:rFonts w:ascii="Arial" w:cs="Arial" w:eastAsia="Arial" w:hAnsi="Arial"/>
                <w:sz w:val="22"/>
                <w:szCs w:val="22"/>
                <w:color w:val="auto"/>
              </w:rPr>
              <w:t>72</w:t>
            </w:r>
          </w:p>
        </w:tc>
      </w:tr>
      <w:tr>
        <w:trPr>
          <w:trHeight w:val="20"/>
        </w:trPr>
        <w:tc>
          <w:tcPr>
            <w:tcW w:w="1620" w:type="dxa"/>
            <w:vAlign w:val="bottom"/>
            <w:gridSpan w:val="2"/>
          </w:tcPr>
          <w:p>
            <w:pPr>
              <w:spacing w:after="0" w:line="20" w:lineRule="exact"/>
              <w:rPr>
                <w:sz w:val="1"/>
                <w:szCs w:val="1"/>
                <w:color w:val="auto"/>
              </w:rPr>
            </w:pPr>
          </w:p>
        </w:tc>
        <w:tc>
          <w:tcPr>
            <w:tcW w:w="92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gridSpan w:val="8"/>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tcBorders>
              <w:left w:val="single" w:sz="8" w:color="auto"/>
            </w:tcBorders>
            <w:gridSpan w:val="5"/>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62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9.6.</w:t>
            </w:r>
          </w:p>
        </w:tc>
        <w:tc>
          <w:tcPr>
            <w:tcW w:w="6400" w:type="dxa"/>
            <w:vAlign w:val="bottom"/>
            <w:gridSpan w:val="32"/>
          </w:tcPr>
          <w:p>
            <w:pPr>
              <w:spacing w:after="0" w:line="237" w:lineRule="exact"/>
              <w:rPr>
                <w:sz w:val="20"/>
                <w:szCs w:val="20"/>
                <w:color w:val="auto"/>
              </w:rPr>
            </w:pPr>
            <w:r>
              <w:rPr>
                <w:rFonts w:ascii="Arial" w:cs="Arial" w:eastAsia="Arial" w:hAnsi="Arial"/>
                <w:sz w:val="22"/>
                <w:szCs w:val="22"/>
                <w:color w:val="auto"/>
                <w:w w:val="85"/>
              </w:rPr>
              <w:t>Expenses; Indemnification ...............................................................................</w:t>
            </w:r>
          </w:p>
        </w:tc>
        <w:tc>
          <w:tcPr>
            <w:tcW w:w="460" w:type="dxa"/>
            <w:vAlign w:val="bottom"/>
          </w:tcPr>
          <w:p>
            <w:pPr>
              <w:jc w:val="right"/>
              <w:spacing w:after="0" w:line="237" w:lineRule="exact"/>
              <w:rPr>
                <w:sz w:val="20"/>
                <w:szCs w:val="20"/>
                <w:color w:val="auto"/>
              </w:rPr>
            </w:pPr>
            <w:r>
              <w:rPr>
                <w:rFonts w:ascii="Arial" w:cs="Arial" w:eastAsia="Arial" w:hAnsi="Arial"/>
                <w:sz w:val="22"/>
                <w:szCs w:val="22"/>
                <w:color w:val="auto"/>
              </w:rPr>
              <w:t>72</w:t>
            </w:r>
          </w:p>
        </w:tc>
      </w:tr>
      <w:tr>
        <w:trPr>
          <w:trHeight w:val="20"/>
        </w:trPr>
        <w:tc>
          <w:tcPr>
            <w:tcW w:w="1620" w:type="dxa"/>
            <w:vAlign w:val="bottom"/>
            <w:gridSpan w:val="2"/>
          </w:tcPr>
          <w:p>
            <w:pPr>
              <w:spacing w:after="0" w:line="20" w:lineRule="exact"/>
              <w:rPr>
                <w:sz w:val="1"/>
                <w:szCs w:val="1"/>
                <w:color w:val="auto"/>
              </w:rPr>
            </w:pPr>
          </w:p>
        </w:tc>
        <w:tc>
          <w:tcPr>
            <w:tcW w:w="92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gridSpan w:val="8"/>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tcBorders>
              <w:left w:val="single" w:sz="8" w:color="auto"/>
            </w:tcBorders>
            <w:gridSpan w:val="5"/>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62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9.7.</w:t>
            </w:r>
          </w:p>
        </w:tc>
        <w:tc>
          <w:tcPr>
            <w:tcW w:w="6400" w:type="dxa"/>
            <w:vAlign w:val="bottom"/>
            <w:gridSpan w:val="32"/>
          </w:tcPr>
          <w:p>
            <w:pPr>
              <w:spacing w:after="0" w:line="237" w:lineRule="exact"/>
              <w:rPr>
                <w:sz w:val="20"/>
                <w:szCs w:val="20"/>
                <w:color w:val="auto"/>
              </w:rPr>
            </w:pPr>
            <w:r>
              <w:rPr>
                <w:rFonts w:ascii="Arial" w:cs="Arial" w:eastAsia="Arial" w:hAnsi="Arial"/>
                <w:sz w:val="22"/>
                <w:szCs w:val="22"/>
                <w:color w:val="auto"/>
                <w:w w:val="84"/>
              </w:rPr>
              <w:t>Numbers of Documents.....................................................................................</w:t>
            </w:r>
          </w:p>
        </w:tc>
        <w:tc>
          <w:tcPr>
            <w:tcW w:w="460" w:type="dxa"/>
            <w:vAlign w:val="bottom"/>
          </w:tcPr>
          <w:p>
            <w:pPr>
              <w:jc w:val="right"/>
              <w:spacing w:after="0" w:line="237" w:lineRule="exact"/>
              <w:rPr>
                <w:sz w:val="20"/>
                <w:szCs w:val="20"/>
                <w:color w:val="auto"/>
              </w:rPr>
            </w:pPr>
            <w:r>
              <w:rPr>
                <w:rFonts w:ascii="Arial" w:cs="Arial" w:eastAsia="Arial" w:hAnsi="Arial"/>
                <w:sz w:val="22"/>
                <w:szCs w:val="22"/>
                <w:color w:val="auto"/>
              </w:rPr>
              <w:t>73</w:t>
            </w:r>
          </w:p>
        </w:tc>
      </w:tr>
      <w:tr>
        <w:trPr>
          <w:trHeight w:val="20"/>
        </w:trPr>
        <w:tc>
          <w:tcPr>
            <w:tcW w:w="1620" w:type="dxa"/>
            <w:vAlign w:val="bottom"/>
            <w:gridSpan w:val="2"/>
          </w:tcPr>
          <w:p>
            <w:pPr>
              <w:spacing w:after="0" w:line="20" w:lineRule="exact"/>
              <w:rPr>
                <w:sz w:val="1"/>
                <w:szCs w:val="1"/>
                <w:color w:val="auto"/>
              </w:rPr>
            </w:pPr>
          </w:p>
        </w:tc>
        <w:tc>
          <w:tcPr>
            <w:tcW w:w="92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gridSpan w:val="8"/>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62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9.8.</w:t>
            </w:r>
          </w:p>
        </w:tc>
        <w:tc>
          <w:tcPr>
            <w:tcW w:w="6400" w:type="dxa"/>
            <w:vAlign w:val="bottom"/>
            <w:gridSpan w:val="32"/>
          </w:tcPr>
          <w:p>
            <w:pPr>
              <w:spacing w:after="0" w:line="237" w:lineRule="exact"/>
              <w:rPr>
                <w:sz w:val="20"/>
                <w:szCs w:val="20"/>
                <w:color w:val="auto"/>
              </w:rPr>
            </w:pPr>
            <w:r>
              <w:rPr>
                <w:rFonts w:ascii="Arial" w:cs="Arial" w:eastAsia="Arial" w:hAnsi="Arial"/>
                <w:sz w:val="22"/>
                <w:szCs w:val="22"/>
                <w:color w:val="auto"/>
                <w:w w:val="85"/>
              </w:rPr>
              <w:t>Accounting........................................................................................................</w:t>
            </w:r>
          </w:p>
        </w:tc>
        <w:tc>
          <w:tcPr>
            <w:tcW w:w="460" w:type="dxa"/>
            <w:vAlign w:val="bottom"/>
          </w:tcPr>
          <w:p>
            <w:pPr>
              <w:jc w:val="right"/>
              <w:spacing w:after="0" w:line="237" w:lineRule="exact"/>
              <w:rPr>
                <w:sz w:val="20"/>
                <w:szCs w:val="20"/>
                <w:color w:val="auto"/>
              </w:rPr>
            </w:pPr>
            <w:r>
              <w:rPr>
                <w:rFonts w:ascii="Arial" w:cs="Arial" w:eastAsia="Arial" w:hAnsi="Arial"/>
                <w:sz w:val="22"/>
                <w:szCs w:val="22"/>
                <w:color w:val="auto"/>
              </w:rPr>
              <w:t>73</w:t>
            </w:r>
          </w:p>
        </w:tc>
      </w:tr>
      <w:tr>
        <w:trPr>
          <w:trHeight w:val="20"/>
        </w:trPr>
        <w:tc>
          <w:tcPr>
            <w:tcW w:w="1620" w:type="dxa"/>
            <w:vAlign w:val="bottom"/>
            <w:gridSpan w:val="2"/>
          </w:tcPr>
          <w:p>
            <w:pPr>
              <w:spacing w:after="0" w:line="20" w:lineRule="exact"/>
              <w:rPr>
                <w:sz w:val="1"/>
                <w:szCs w:val="1"/>
                <w:color w:val="auto"/>
              </w:rPr>
            </w:pPr>
          </w:p>
        </w:tc>
        <w:tc>
          <w:tcPr>
            <w:tcW w:w="92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62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9.9.</w:t>
            </w:r>
          </w:p>
        </w:tc>
        <w:tc>
          <w:tcPr>
            <w:tcW w:w="6400" w:type="dxa"/>
            <w:vAlign w:val="bottom"/>
            <w:gridSpan w:val="32"/>
          </w:tcPr>
          <w:p>
            <w:pPr>
              <w:spacing w:after="0" w:line="237" w:lineRule="exact"/>
              <w:rPr>
                <w:sz w:val="20"/>
                <w:szCs w:val="20"/>
                <w:color w:val="auto"/>
              </w:rPr>
            </w:pPr>
            <w:r>
              <w:rPr>
                <w:rFonts w:ascii="Arial" w:cs="Arial" w:eastAsia="Arial" w:hAnsi="Arial"/>
                <w:sz w:val="22"/>
                <w:szCs w:val="22"/>
                <w:color w:val="auto"/>
                <w:w w:val="86"/>
              </w:rPr>
              <w:t>Severability of Provisions ................................................................................</w:t>
            </w:r>
          </w:p>
        </w:tc>
        <w:tc>
          <w:tcPr>
            <w:tcW w:w="460" w:type="dxa"/>
            <w:vAlign w:val="bottom"/>
          </w:tcPr>
          <w:p>
            <w:pPr>
              <w:jc w:val="right"/>
              <w:spacing w:after="0" w:line="237" w:lineRule="exact"/>
              <w:rPr>
                <w:sz w:val="20"/>
                <w:szCs w:val="20"/>
                <w:color w:val="auto"/>
              </w:rPr>
            </w:pPr>
            <w:r>
              <w:rPr>
                <w:rFonts w:ascii="Arial" w:cs="Arial" w:eastAsia="Arial" w:hAnsi="Arial"/>
                <w:sz w:val="22"/>
                <w:szCs w:val="22"/>
                <w:color w:val="auto"/>
              </w:rPr>
              <w:t>74</w:t>
            </w:r>
          </w:p>
        </w:tc>
      </w:tr>
      <w:tr>
        <w:trPr>
          <w:trHeight w:val="20"/>
        </w:trPr>
        <w:tc>
          <w:tcPr>
            <w:tcW w:w="1620" w:type="dxa"/>
            <w:vAlign w:val="bottom"/>
            <w:gridSpan w:val="2"/>
          </w:tcPr>
          <w:p>
            <w:pPr>
              <w:spacing w:after="0" w:line="20" w:lineRule="exact"/>
              <w:rPr>
                <w:sz w:val="1"/>
                <w:szCs w:val="1"/>
                <w:color w:val="auto"/>
              </w:rPr>
            </w:pPr>
          </w:p>
        </w:tc>
        <w:tc>
          <w:tcPr>
            <w:tcW w:w="920" w:type="dxa"/>
            <w:vAlign w:val="bottom"/>
            <w:gridSpan w:val="5"/>
            <w:shd w:val="clear" w:color="auto" w:fill="000000"/>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gridSpan w:val="8"/>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62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9.10.</w:t>
            </w:r>
          </w:p>
        </w:tc>
        <w:tc>
          <w:tcPr>
            <w:tcW w:w="6400" w:type="dxa"/>
            <w:vAlign w:val="bottom"/>
            <w:gridSpan w:val="32"/>
          </w:tcPr>
          <w:p>
            <w:pPr>
              <w:spacing w:after="0" w:line="237" w:lineRule="exact"/>
              <w:rPr>
                <w:sz w:val="20"/>
                <w:szCs w:val="20"/>
                <w:color w:val="auto"/>
              </w:rPr>
            </w:pPr>
            <w:r>
              <w:rPr>
                <w:rFonts w:ascii="Arial" w:cs="Arial" w:eastAsia="Arial" w:hAnsi="Arial"/>
                <w:sz w:val="22"/>
                <w:szCs w:val="22"/>
                <w:color w:val="auto"/>
                <w:w w:val="86"/>
              </w:rPr>
              <w:t>Nonliability of Lenders ....................................................................................</w:t>
            </w:r>
          </w:p>
        </w:tc>
        <w:tc>
          <w:tcPr>
            <w:tcW w:w="460" w:type="dxa"/>
            <w:vAlign w:val="bottom"/>
          </w:tcPr>
          <w:p>
            <w:pPr>
              <w:jc w:val="right"/>
              <w:spacing w:after="0" w:line="237" w:lineRule="exact"/>
              <w:rPr>
                <w:sz w:val="20"/>
                <w:szCs w:val="20"/>
                <w:color w:val="auto"/>
              </w:rPr>
            </w:pPr>
            <w:r>
              <w:rPr>
                <w:rFonts w:ascii="Arial" w:cs="Arial" w:eastAsia="Arial" w:hAnsi="Arial"/>
                <w:sz w:val="22"/>
                <w:szCs w:val="22"/>
                <w:color w:val="auto"/>
              </w:rPr>
              <w:t>74</w:t>
            </w:r>
          </w:p>
        </w:tc>
      </w:tr>
      <w:tr>
        <w:trPr>
          <w:trHeight w:val="20"/>
        </w:trPr>
        <w:tc>
          <w:tcPr>
            <w:tcW w:w="1620" w:type="dxa"/>
            <w:vAlign w:val="bottom"/>
            <w:gridSpan w:val="2"/>
          </w:tcPr>
          <w:p>
            <w:pPr>
              <w:spacing w:after="0" w:line="20" w:lineRule="exact"/>
              <w:rPr>
                <w:sz w:val="1"/>
                <w:szCs w:val="1"/>
                <w:color w:val="auto"/>
              </w:rPr>
            </w:pPr>
          </w:p>
        </w:tc>
        <w:tc>
          <w:tcPr>
            <w:tcW w:w="920" w:type="dxa"/>
            <w:vAlign w:val="bottom"/>
            <w:gridSpan w:val="5"/>
            <w:shd w:val="clear" w:color="auto" w:fill="000000"/>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gridSpan w:val="8"/>
            <w:shd w:val="clear" w:color="auto" w:fill="000000"/>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62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9.11.</w:t>
            </w:r>
          </w:p>
        </w:tc>
        <w:tc>
          <w:tcPr>
            <w:tcW w:w="6400" w:type="dxa"/>
            <w:vAlign w:val="bottom"/>
            <w:gridSpan w:val="32"/>
          </w:tcPr>
          <w:p>
            <w:pPr>
              <w:spacing w:after="0" w:line="237" w:lineRule="exact"/>
              <w:rPr>
                <w:sz w:val="20"/>
                <w:szCs w:val="20"/>
                <w:color w:val="auto"/>
              </w:rPr>
            </w:pPr>
            <w:r>
              <w:rPr>
                <w:rFonts w:ascii="Arial" w:cs="Arial" w:eastAsia="Arial" w:hAnsi="Arial"/>
                <w:sz w:val="22"/>
                <w:szCs w:val="22"/>
                <w:color w:val="auto"/>
                <w:w w:val="86"/>
              </w:rPr>
              <w:t>Confidentiality .................................................................................................</w:t>
            </w:r>
          </w:p>
        </w:tc>
        <w:tc>
          <w:tcPr>
            <w:tcW w:w="460" w:type="dxa"/>
            <w:vAlign w:val="bottom"/>
          </w:tcPr>
          <w:p>
            <w:pPr>
              <w:jc w:val="right"/>
              <w:spacing w:after="0" w:line="237" w:lineRule="exact"/>
              <w:rPr>
                <w:sz w:val="20"/>
                <w:szCs w:val="20"/>
                <w:color w:val="auto"/>
              </w:rPr>
            </w:pPr>
            <w:r>
              <w:rPr>
                <w:rFonts w:ascii="Arial" w:cs="Arial" w:eastAsia="Arial" w:hAnsi="Arial"/>
                <w:sz w:val="22"/>
                <w:szCs w:val="22"/>
                <w:color w:val="auto"/>
              </w:rPr>
              <w:t>74</w:t>
            </w:r>
          </w:p>
        </w:tc>
      </w:tr>
      <w:tr>
        <w:trPr>
          <w:trHeight w:val="20"/>
        </w:trPr>
        <w:tc>
          <w:tcPr>
            <w:tcW w:w="1620" w:type="dxa"/>
            <w:vAlign w:val="bottom"/>
            <w:gridSpan w:val="2"/>
          </w:tcPr>
          <w:p>
            <w:pPr>
              <w:spacing w:after="0" w:line="20" w:lineRule="exact"/>
              <w:rPr>
                <w:sz w:val="1"/>
                <w:szCs w:val="1"/>
                <w:color w:val="auto"/>
              </w:rPr>
            </w:pPr>
          </w:p>
        </w:tc>
        <w:tc>
          <w:tcPr>
            <w:tcW w:w="920" w:type="dxa"/>
            <w:vAlign w:val="bottom"/>
            <w:gridSpan w:val="5"/>
            <w:shd w:val="clear" w:color="auto" w:fill="000000"/>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100" w:type="dxa"/>
            <w:vAlign w:val="bottom"/>
            <w:gridSpan w:val="15"/>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62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9.12.</w:t>
            </w:r>
          </w:p>
        </w:tc>
        <w:tc>
          <w:tcPr>
            <w:tcW w:w="6400" w:type="dxa"/>
            <w:vAlign w:val="bottom"/>
            <w:gridSpan w:val="32"/>
          </w:tcPr>
          <w:p>
            <w:pPr>
              <w:spacing w:after="0" w:line="237" w:lineRule="exact"/>
              <w:rPr>
                <w:sz w:val="20"/>
                <w:szCs w:val="20"/>
                <w:color w:val="auto"/>
              </w:rPr>
            </w:pPr>
            <w:r>
              <w:rPr>
                <w:rFonts w:ascii="Arial" w:cs="Arial" w:eastAsia="Arial" w:hAnsi="Arial"/>
                <w:sz w:val="22"/>
                <w:szCs w:val="22"/>
                <w:color w:val="auto"/>
                <w:w w:val="85"/>
              </w:rPr>
              <w:t>Non-reliance.....................................................................................................</w:t>
            </w:r>
          </w:p>
        </w:tc>
        <w:tc>
          <w:tcPr>
            <w:tcW w:w="460" w:type="dxa"/>
            <w:vAlign w:val="bottom"/>
          </w:tcPr>
          <w:p>
            <w:pPr>
              <w:jc w:val="right"/>
              <w:spacing w:after="0" w:line="237" w:lineRule="exact"/>
              <w:rPr>
                <w:sz w:val="20"/>
                <w:szCs w:val="20"/>
                <w:color w:val="auto"/>
              </w:rPr>
            </w:pPr>
            <w:r>
              <w:rPr>
                <w:rFonts w:ascii="Arial" w:cs="Arial" w:eastAsia="Arial" w:hAnsi="Arial"/>
                <w:sz w:val="22"/>
                <w:szCs w:val="22"/>
                <w:color w:val="auto"/>
              </w:rPr>
              <w:t>75</w:t>
            </w:r>
          </w:p>
        </w:tc>
      </w:tr>
      <w:tr>
        <w:trPr>
          <w:trHeight w:val="20"/>
        </w:trPr>
        <w:tc>
          <w:tcPr>
            <w:tcW w:w="1620" w:type="dxa"/>
            <w:vAlign w:val="bottom"/>
            <w:gridSpan w:val="2"/>
          </w:tcPr>
          <w:p>
            <w:pPr>
              <w:spacing w:after="0" w:line="20" w:lineRule="exact"/>
              <w:rPr>
                <w:sz w:val="1"/>
                <w:szCs w:val="1"/>
                <w:color w:val="auto"/>
              </w:rPr>
            </w:pPr>
          </w:p>
        </w:tc>
        <w:tc>
          <w:tcPr>
            <w:tcW w:w="920" w:type="dxa"/>
            <w:vAlign w:val="bottom"/>
            <w:gridSpan w:val="5"/>
            <w:shd w:val="clear" w:color="auto" w:fill="000000"/>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c>
          <w:tcPr>
            <w:tcW w:w="2220" w:type="dxa"/>
            <w:vAlign w:val="bottom"/>
            <w:gridSpan w:val="16"/>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62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9.13.</w:t>
            </w:r>
          </w:p>
        </w:tc>
        <w:tc>
          <w:tcPr>
            <w:tcW w:w="6400" w:type="dxa"/>
            <w:vAlign w:val="bottom"/>
            <w:gridSpan w:val="32"/>
          </w:tcPr>
          <w:p>
            <w:pPr>
              <w:spacing w:after="0" w:line="237" w:lineRule="exact"/>
              <w:rPr>
                <w:sz w:val="20"/>
                <w:szCs w:val="20"/>
                <w:color w:val="auto"/>
              </w:rPr>
            </w:pPr>
            <w:r>
              <w:rPr>
                <w:rFonts w:ascii="Arial" w:cs="Arial" w:eastAsia="Arial" w:hAnsi="Arial"/>
                <w:sz w:val="22"/>
                <w:szCs w:val="22"/>
                <w:color w:val="auto"/>
                <w:w w:val="85"/>
              </w:rPr>
              <w:t>Disclosure ........................................................................................................</w:t>
            </w:r>
          </w:p>
        </w:tc>
        <w:tc>
          <w:tcPr>
            <w:tcW w:w="460" w:type="dxa"/>
            <w:vAlign w:val="bottom"/>
          </w:tcPr>
          <w:p>
            <w:pPr>
              <w:jc w:val="right"/>
              <w:spacing w:after="0" w:line="237" w:lineRule="exact"/>
              <w:rPr>
                <w:sz w:val="20"/>
                <w:szCs w:val="20"/>
                <w:color w:val="auto"/>
              </w:rPr>
            </w:pPr>
            <w:r>
              <w:rPr>
                <w:rFonts w:ascii="Arial" w:cs="Arial" w:eastAsia="Arial" w:hAnsi="Arial"/>
                <w:sz w:val="22"/>
                <w:szCs w:val="22"/>
                <w:color w:val="auto"/>
              </w:rPr>
              <w:t>75</w:t>
            </w:r>
          </w:p>
        </w:tc>
      </w:tr>
      <w:tr>
        <w:trPr>
          <w:trHeight w:val="20"/>
        </w:trPr>
        <w:tc>
          <w:tcPr>
            <w:tcW w:w="1620" w:type="dxa"/>
            <w:vAlign w:val="bottom"/>
            <w:gridSpan w:val="2"/>
          </w:tcPr>
          <w:p>
            <w:pPr>
              <w:spacing w:after="0" w:line="20" w:lineRule="exact"/>
              <w:rPr>
                <w:sz w:val="1"/>
                <w:szCs w:val="1"/>
                <w:color w:val="auto"/>
              </w:rPr>
            </w:pPr>
          </w:p>
        </w:tc>
        <w:tc>
          <w:tcPr>
            <w:tcW w:w="920" w:type="dxa"/>
            <w:vAlign w:val="bottom"/>
            <w:gridSpan w:val="5"/>
            <w:shd w:val="clear" w:color="auto" w:fill="000000"/>
          </w:tcPr>
          <w:p>
            <w:pPr>
              <w:spacing w:after="0" w:line="20" w:lineRule="exact"/>
              <w:rPr>
                <w:sz w:val="1"/>
                <w:szCs w:val="1"/>
                <w:color w:val="auto"/>
              </w:rPr>
            </w:pPr>
          </w:p>
        </w:tc>
        <w:tc>
          <w:tcPr>
            <w:tcW w:w="2480" w:type="dxa"/>
            <w:vAlign w:val="bottom"/>
            <w:gridSpan w:val="20"/>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62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9.14.</w:t>
            </w:r>
          </w:p>
        </w:tc>
        <w:tc>
          <w:tcPr>
            <w:tcW w:w="6400" w:type="dxa"/>
            <w:vAlign w:val="bottom"/>
            <w:gridSpan w:val="32"/>
          </w:tcPr>
          <w:p>
            <w:pPr>
              <w:spacing w:after="0" w:line="237" w:lineRule="exact"/>
              <w:rPr>
                <w:sz w:val="20"/>
                <w:szCs w:val="20"/>
                <w:color w:val="auto"/>
              </w:rPr>
            </w:pPr>
            <w:r>
              <w:rPr>
                <w:rFonts w:ascii="Arial" w:cs="Arial" w:eastAsia="Arial" w:hAnsi="Arial"/>
                <w:sz w:val="22"/>
                <w:szCs w:val="22"/>
                <w:color w:val="auto"/>
                <w:w w:val="87"/>
              </w:rPr>
              <w:t>USA PATRIOT ACT NOTIFICATION ...........................................................</w:t>
            </w:r>
          </w:p>
        </w:tc>
        <w:tc>
          <w:tcPr>
            <w:tcW w:w="460" w:type="dxa"/>
            <w:vAlign w:val="bottom"/>
          </w:tcPr>
          <w:p>
            <w:pPr>
              <w:jc w:val="right"/>
              <w:spacing w:after="0" w:line="237" w:lineRule="exact"/>
              <w:rPr>
                <w:sz w:val="20"/>
                <w:szCs w:val="20"/>
                <w:color w:val="auto"/>
              </w:rPr>
            </w:pPr>
            <w:r>
              <w:rPr>
                <w:rFonts w:ascii="Arial" w:cs="Arial" w:eastAsia="Arial" w:hAnsi="Arial"/>
                <w:sz w:val="22"/>
                <w:szCs w:val="22"/>
                <w:color w:val="auto"/>
              </w:rPr>
              <w:t>75</w:t>
            </w:r>
          </w:p>
        </w:tc>
      </w:tr>
      <w:tr>
        <w:trPr>
          <w:trHeight w:val="20"/>
        </w:trPr>
        <w:tc>
          <w:tcPr>
            <w:tcW w:w="1620" w:type="dxa"/>
            <w:vAlign w:val="bottom"/>
            <w:gridSpan w:val="2"/>
          </w:tcPr>
          <w:p>
            <w:pPr>
              <w:spacing w:after="0" w:line="20" w:lineRule="exact"/>
              <w:rPr>
                <w:sz w:val="1"/>
                <w:szCs w:val="1"/>
                <w:color w:val="auto"/>
              </w:rPr>
            </w:pPr>
          </w:p>
        </w:tc>
        <w:tc>
          <w:tcPr>
            <w:tcW w:w="3400" w:type="dxa"/>
            <w:vAlign w:val="bottom"/>
            <w:gridSpan w:val="25"/>
            <w:shd w:val="clear" w:color="auto" w:fill="000000"/>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62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9.15.</w:t>
            </w:r>
          </w:p>
        </w:tc>
        <w:tc>
          <w:tcPr>
            <w:tcW w:w="6400" w:type="dxa"/>
            <w:vAlign w:val="bottom"/>
            <w:gridSpan w:val="32"/>
          </w:tcPr>
          <w:p>
            <w:pPr>
              <w:spacing w:after="0" w:line="237" w:lineRule="exact"/>
              <w:rPr>
                <w:sz w:val="20"/>
                <w:szCs w:val="20"/>
                <w:color w:val="auto"/>
              </w:rPr>
            </w:pPr>
            <w:r>
              <w:rPr>
                <w:rFonts w:ascii="Arial" w:cs="Arial" w:eastAsia="Arial" w:hAnsi="Arial"/>
                <w:sz w:val="22"/>
                <w:szCs w:val="22"/>
                <w:color w:val="auto"/>
                <w:w w:val="93"/>
              </w:rPr>
              <w:t>Acknowledgement and Consent to Bail-In of EEA Financial Institutions</w:t>
            </w:r>
          </w:p>
        </w:tc>
        <w:tc>
          <w:tcPr>
            <w:tcW w:w="4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20" w:type="dxa"/>
            <w:vAlign w:val="bottom"/>
            <w:gridSpan w:val="29"/>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87"/>
        </w:trPr>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0" w:type="dxa"/>
            <w:vAlign w:val="bottom"/>
            <w:gridSpan w:val="32"/>
          </w:tcPr>
          <w:p>
            <w:pPr>
              <w:ind w:left="20"/>
              <w:spacing w:after="0"/>
              <w:rPr>
                <w:sz w:val="20"/>
                <w:szCs w:val="20"/>
                <w:color w:val="auto"/>
              </w:rPr>
            </w:pPr>
            <w:r>
              <w:rPr>
                <w:rFonts w:ascii="Arial" w:cs="Arial" w:eastAsia="Arial" w:hAnsi="Arial"/>
                <w:sz w:val="22"/>
                <w:szCs w:val="22"/>
                <w:color w:val="auto"/>
                <w:w w:val="98"/>
              </w:rPr>
              <w:t>......................................................................................................75</w:t>
            </w:r>
          </w:p>
        </w:tc>
        <w:tc>
          <w:tcPr>
            <w:tcW w:w="460" w:type="dxa"/>
            <w:vAlign w:val="bottom"/>
          </w:tcPr>
          <w:p>
            <w:pPr>
              <w:spacing w:after="0"/>
              <w:rPr>
                <w:sz w:val="24"/>
                <w:szCs w:val="24"/>
                <w:color w:val="auto"/>
              </w:rPr>
            </w:pPr>
          </w:p>
        </w:tc>
      </w:tr>
    </w:tbl>
    <w:p>
      <w:pPr>
        <w:spacing w:after="0" w:line="138" w:lineRule="exact"/>
        <w:rPr>
          <w:sz w:val="20"/>
          <w:szCs w:val="20"/>
          <w:color w:val="auto"/>
        </w:rPr>
      </w:pPr>
    </w:p>
    <w:p>
      <w:pPr>
        <w:spacing w:after="0"/>
        <w:tabs>
          <w:tab w:leader="none" w:pos="4760" w:val="left"/>
        </w:tabs>
        <w:rPr>
          <w:sz w:val="20"/>
          <w:szCs w:val="20"/>
          <w:color w:val="auto"/>
        </w:rPr>
      </w:pPr>
      <w:r>
        <w:rPr>
          <w:rFonts w:ascii="Arial" w:cs="Arial" w:eastAsia="Arial" w:hAnsi="Arial"/>
          <w:sz w:val="22"/>
          <w:szCs w:val="22"/>
          <w:b w:val="1"/>
          <w:bCs w:val="1"/>
          <w:u w:val="single" w:color="auto"/>
          <w:color w:val="auto"/>
        </w:rPr>
        <w:t>ARTICLE X THE ADMINISTRATIVE AGENT</w:t>
      </w:r>
      <w:r>
        <w:rPr>
          <w:sz w:val="20"/>
          <w:szCs w:val="20"/>
          <w:color w:val="auto"/>
        </w:rPr>
        <w:tab/>
      </w:r>
      <w:r>
        <w:rPr>
          <w:rFonts w:ascii="Arial" w:cs="Arial" w:eastAsia="Arial" w:hAnsi="Arial"/>
          <w:sz w:val="19"/>
          <w:szCs w:val="19"/>
          <w:b w:val="1"/>
          <w:bCs w:val="1"/>
          <w:u w:val="single" w:color="auto"/>
          <w:color w:val="auto"/>
        </w:rPr>
        <w:t>76</w:t>
      </w:r>
    </w:p>
    <w:p>
      <w:pPr>
        <w:sectPr>
          <w:pgSz w:w="11900" w:h="16838" w:orient="portrait"/>
          <w:cols w:equalWidth="0" w:num="1">
            <w:col w:w="10139"/>
          </w:cols>
          <w:pgMar w:left="320" w:top="346" w:right="1440"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53"/>
        </w:trPr>
        <w:tc>
          <w:tcPr>
            <w:tcW w:w="1300" w:type="dxa"/>
            <w:vAlign w:val="bottom"/>
            <w:gridSpan w:val="2"/>
          </w:tcPr>
          <w:p>
            <w:pPr>
              <w:ind w:left="660"/>
              <w:spacing w:after="0"/>
              <w:rPr>
                <w:sz w:val="20"/>
                <w:szCs w:val="20"/>
                <w:color w:val="auto"/>
              </w:rPr>
            </w:pPr>
            <w:r>
              <w:rPr>
                <w:rFonts w:ascii="Arial" w:cs="Arial" w:eastAsia="Arial" w:hAnsi="Arial"/>
                <w:sz w:val="22"/>
                <w:szCs w:val="22"/>
                <w:color w:val="auto"/>
              </w:rPr>
              <w:t>10.1.</w:t>
            </w:r>
          </w:p>
        </w:tc>
        <w:tc>
          <w:tcPr>
            <w:tcW w:w="320" w:type="dxa"/>
            <w:vAlign w:val="bottom"/>
          </w:tcPr>
          <w:p>
            <w:pPr>
              <w:spacing w:after="0"/>
              <w:rPr>
                <w:sz w:val="21"/>
                <w:szCs w:val="21"/>
                <w:color w:val="auto"/>
              </w:rPr>
            </w:pPr>
          </w:p>
        </w:tc>
        <w:tc>
          <w:tcPr>
            <w:tcW w:w="6080" w:type="dxa"/>
            <w:vAlign w:val="bottom"/>
            <w:gridSpan w:val="31"/>
          </w:tcPr>
          <w:p>
            <w:pPr>
              <w:spacing w:after="0"/>
              <w:rPr>
                <w:sz w:val="20"/>
                <w:szCs w:val="20"/>
                <w:color w:val="auto"/>
              </w:rPr>
            </w:pPr>
            <w:r>
              <w:rPr>
                <w:rFonts w:ascii="Arial" w:cs="Arial" w:eastAsia="Arial" w:hAnsi="Arial"/>
                <w:sz w:val="22"/>
                <w:szCs w:val="22"/>
                <w:color w:val="auto"/>
                <w:w w:val="82"/>
              </w:rPr>
              <w:t>Appointment; Nature of Relationship .............................................................</w:t>
            </w:r>
          </w:p>
        </w:tc>
        <w:tc>
          <w:tcPr>
            <w:tcW w:w="2140" w:type="dxa"/>
            <w:vAlign w:val="bottom"/>
          </w:tcPr>
          <w:p>
            <w:pPr>
              <w:jc w:val="right"/>
              <w:ind w:right="1332"/>
              <w:spacing w:after="0"/>
              <w:rPr>
                <w:sz w:val="20"/>
                <w:szCs w:val="20"/>
                <w:color w:val="auto"/>
              </w:rPr>
            </w:pPr>
            <w:r>
              <w:rPr>
                <w:rFonts w:ascii="Arial" w:cs="Arial" w:eastAsia="Arial" w:hAnsi="Arial"/>
                <w:sz w:val="22"/>
                <w:szCs w:val="22"/>
                <w:color w:val="auto"/>
              </w:rPr>
              <w:t>76</w:t>
            </w: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10.2.</w:t>
            </w:r>
          </w:p>
        </w:tc>
        <w:tc>
          <w:tcPr>
            <w:tcW w:w="320" w:type="dxa"/>
            <w:vAlign w:val="bottom"/>
          </w:tcPr>
          <w:p>
            <w:pPr>
              <w:spacing w:after="0"/>
              <w:rPr>
                <w:sz w:val="20"/>
                <w:szCs w:val="20"/>
                <w:color w:val="auto"/>
              </w:rPr>
            </w:pPr>
          </w:p>
        </w:tc>
        <w:tc>
          <w:tcPr>
            <w:tcW w:w="1180" w:type="dxa"/>
            <w:vAlign w:val="bottom"/>
            <w:tcBorders>
              <w:top w:val="single" w:sz="8" w:color="auto"/>
            </w:tcBorders>
            <w:gridSpan w:val="5"/>
          </w:tcPr>
          <w:p>
            <w:pPr>
              <w:spacing w:after="0"/>
              <w:rPr>
                <w:sz w:val="20"/>
                <w:szCs w:val="20"/>
                <w:color w:val="auto"/>
              </w:rPr>
            </w:pPr>
            <w:r>
              <w:rPr>
                <w:rFonts w:ascii="Arial" w:cs="Arial" w:eastAsia="Arial" w:hAnsi="Arial"/>
                <w:sz w:val="4"/>
                <w:szCs w:val="4"/>
                <w:color w:val="auto"/>
                <w:w w:val="84"/>
              </w:rPr>
              <w:t>Powers .............................................................................................................</w:t>
            </w:r>
          </w:p>
        </w:tc>
        <w:tc>
          <w:tcPr>
            <w:tcW w:w="1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40" w:type="dxa"/>
            <w:vAlign w:val="bottom"/>
          </w:tcPr>
          <w:p>
            <w:pPr>
              <w:jc w:val="right"/>
              <w:ind w:right="1312"/>
              <w:spacing w:after="0" w:line="237" w:lineRule="exact"/>
              <w:rPr>
                <w:sz w:val="20"/>
                <w:szCs w:val="20"/>
                <w:color w:val="auto"/>
              </w:rPr>
            </w:pPr>
            <w:r>
              <w:rPr>
                <w:rFonts w:ascii="Arial" w:cs="Arial" w:eastAsia="Arial" w:hAnsi="Arial"/>
                <w:sz w:val="22"/>
                <w:szCs w:val="22"/>
                <w:color w:val="auto"/>
              </w:rPr>
              <w:t>77</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04"/>
        </w:trPr>
        <w:tc>
          <w:tcPr>
            <w:tcW w:w="1300" w:type="dxa"/>
            <w:vAlign w:val="bottom"/>
            <w:gridSpan w:val="2"/>
          </w:tcPr>
          <w:p>
            <w:pPr>
              <w:ind w:left="660"/>
              <w:spacing w:after="0"/>
              <w:rPr>
                <w:sz w:val="20"/>
                <w:szCs w:val="20"/>
                <w:color w:val="auto"/>
              </w:rPr>
            </w:pPr>
            <w:r>
              <w:rPr>
                <w:rFonts w:ascii="Arial" w:cs="Arial" w:eastAsia="Arial" w:hAnsi="Arial"/>
                <w:sz w:val="22"/>
                <w:szCs w:val="22"/>
                <w:color w:val="auto"/>
              </w:rPr>
              <w:t>10.3.</w:t>
            </w:r>
          </w:p>
        </w:tc>
        <w:tc>
          <w:tcPr>
            <w:tcW w:w="320" w:type="dxa"/>
            <w:vAlign w:val="bottom"/>
          </w:tcPr>
          <w:p>
            <w:pPr>
              <w:spacing w:after="0"/>
              <w:rPr>
                <w:sz w:val="24"/>
                <w:szCs w:val="24"/>
                <w:color w:val="auto"/>
              </w:rPr>
            </w:pPr>
          </w:p>
        </w:tc>
        <w:tc>
          <w:tcPr>
            <w:tcW w:w="6080" w:type="dxa"/>
            <w:vAlign w:val="bottom"/>
            <w:gridSpan w:val="31"/>
          </w:tcPr>
          <w:p>
            <w:pPr>
              <w:spacing w:after="0"/>
              <w:rPr>
                <w:sz w:val="20"/>
                <w:szCs w:val="20"/>
                <w:color w:val="auto"/>
              </w:rPr>
            </w:pPr>
            <w:r>
              <w:rPr>
                <w:rFonts w:ascii="Arial" w:cs="Arial" w:eastAsia="Arial" w:hAnsi="Arial"/>
                <w:sz w:val="22"/>
                <w:szCs w:val="22"/>
                <w:color w:val="auto"/>
                <w:w w:val="81"/>
              </w:rPr>
              <w:t>General Immunity.............................................................................................</w:t>
            </w:r>
          </w:p>
        </w:tc>
        <w:tc>
          <w:tcPr>
            <w:tcW w:w="2140" w:type="dxa"/>
            <w:vAlign w:val="bottom"/>
          </w:tcPr>
          <w:p>
            <w:pPr>
              <w:jc w:val="right"/>
              <w:ind w:right="1292"/>
              <w:spacing w:after="0"/>
              <w:rPr>
                <w:sz w:val="20"/>
                <w:szCs w:val="20"/>
                <w:color w:val="auto"/>
              </w:rPr>
            </w:pPr>
            <w:r>
              <w:rPr>
                <w:rFonts w:ascii="Arial" w:cs="Arial" w:eastAsia="Arial" w:hAnsi="Arial"/>
                <w:sz w:val="22"/>
                <w:szCs w:val="22"/>
                <w:color w:val="auto"/>
              </w:rPr>
              <w:t>77</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10.4.</w:t>
            </w:r>
          </w:p>
        </w:tc>
        <w:tc>
          <w:tcPr>
            <w:tcW w:w="320" w:type="dxa"/>
            <w:vAlign w:val="bottom"/>
          </w:tcPr>
          <w:p>
            <w:pPr>
              <w:spacing w:after="0"/>
              <w:rPr>
                <w:sz w:val="20"/>
                <w:szCs w:val="20"/>
                <w:color w:val="auto"/>
              </w:rPr>
            </w:pPr>
          </w:p>
        </w:tc>
        <w:tc>
          <w:tcPr>
            <w:tcW w:w="6080" w:type="dxa"/>
            <w:vAlign w:val="bottom"/>
            <w:gridSpan w:val="31"/>
          </w:tcPr>
          <w:p>
            <w:pPr>
              <w:spacing w:after="0" w:line="237" w:lineRule="exact"/>
              <w:rPr>
                <w:sz w:val="20"/>
                <w:szCs w:val="20"/>
                <w:color w:val="auto"/>
              </w:rPr>
            </w:pPr>
            <w:r>
              <w:rPr>
                <w:rFonts w:ascii="Arial" w:cs="Arial" w:eastAsia="Arial" w:hAnsi="Arial"/>
                <w:sz w:val="22"/>
                <w:szCs w:val="22"/>
                <w:color w:val="auto"/>
                <w:w w:val="82"/>
              </w:rPr>
              <w:t>No Responsibility for Loans, Recitals, etc ......................................................</w:t>
            </w:r>
          </w:p>
        </w:tc>
        <w:tc>
          <w:tcPr>
            <w:tcW w:w="2140" w:type="dxa"/>
            <w:vAlign w:val="bottom"/>
          </w:tcPr>
          <w:p>
            <w:pPr>
              <w:jc w:val="right"/>
              <w:ind w:right="1312"/>
              <w:spacing w:after="0" w:line="237" w:lineRule="exact"/>
              <w:rPr>
                <w:sz w:val="20"/>
                <w:szCs w:val="20"/>
                <w:color w:val="auto"/>
              </w:rPr>
            </w:pPr>
            <w:r>
              <w:rPr>
                <w:rFonts w:ascii="Arial" w:cs="Arial" w:eastAsia="Arial" w:hAnsi="Arial"/>
                <w:sz w:val="22"/>
                <w:szCs w:val="22"/>
                <w:color w:val="auto"/>
              </w:rPr>
              <w:t>77</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10.5.</w:t>
            </w:r>
          </w:p>
        </w:tc>
        <w:tc>
          <w:tcPr>
            <w:tcW w:w="320" w:type="dxa"/>
            <w:vAlign w:val="bottom"/>
          </w:tcPr>
          <w:p>
            <w:pPr>
              <w:spacing w:after="0"/>
              <w:rPr>
                <w:sz w:val="20"/>
                <w:szCs w:val="20"/>
                <w:color w:val="auto"/>
              </w:rPr>
            </w:pPr>
          </w:p>
        </w:tc>
        <w:tc>
          <w:tcPr>
            <w:tcW w:w="6080" w:type="dxa"/>
            <w:vAlign w:val="bottom"/>
            <w:gridSpan w:val="31"/>
          </w:tcPr>
          <w:p>
            <w:pPr>
              <w:spacing w:after="0" w:line="237" w:lineRule="exact"/>
              <w:rPr>
                <w:sz w:val="20"/>
                <w:szCs w:val="20"/>
                <w:color w:val="auto"/>
              </w:rPr>
            </w:pPr>
            <w:r>
              <w:rPr>
                <w:rFonts w:ascii="Arial" w:cs="Arial" w:eastAsia="Arial" w:hAnsi="Arial"/>
                <w:sz w:val="22"/>
                <w:szCs w:val="22"/>
                <w:color w:val="auto"/>
                <w:w w:val="82"/>
              </w:rPr>
              <w:t>Action on Instructions of Lenders ...................................................................</w:t>
            </w:r>
          </w:p>
        </w:tc>
        <w:tc>
          <w:tcPr>
            <w:tcW w:w="2140" w:type="dxa"/>
            <w:vAlign w:val="bottom"/>
          </w:tcPr>
          <w:p>
            <w:pPr>
              <w:jc w:val="right"/>
              <w:ind w:right="1312"/>
              <w:spacing w:after="0" w:line="237" w:lineRule="exact"/>
              <w:rPr>
                <w:sz w:val="20"/>
                <w:szCs w:val="20"/>
                <w:color w:val="auto"/>
              </w:rPr>
            </w:pPr>
            <w:r>
              <w:rPr>
                <w:rFonts w:ascii="Arial" w:cs="Arial" w:eastAsia="Arial" w:hAnsi="Arial"/>
                <w:sz w:val="22"/>
                <w:szCs w:val="22"/>
                <w:color w:val="auto"/>
              </w:rPr>
              <w:t>77</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10.6.</w:t>
            </w:r>
          </w:p>
        </w:tc>
        <w:tc>
          <w:tcPr>
            <w:tcW w:w="320" w:type="dxa"/>
            <w:vAlign w:val="bottom"/>
          </w:tcPr>
          <w:p>
            <w:pPr>
              <w:spacing w:after="0"/>
              <w:rPr>
                <w:sz w:val="20"/>
                <w:szCs w:val="20"/>
                <w:color w:val="auto"/>
              </w:rPr>
            </w:pPr>
          </w:p>
        </w:tc>
        <w:tc>
          <w:tcPr>
            <w:tcW w:w="6080" w:type="dxa"/>
            <w:vAlign w:val="bottom"/>
            <w:gridSpan w:val="31"/>
          </w:tcPr>
          <w:p>
            <w:pPr>
              <w:spacing w:after="0" w:line="237" w:lineRule="exact"/>
              <w:rPr>
                <w:sz w:val="20"/>
                <w:szCs w:val="20"/>
                <w:color w:val="auto"/>
              </w:rPr>
            </w:pPr>
            <w:r>
              <w:rPr>
                <w:rFonts w:ascii="Arial" w:cs="Arial" w:eastAsia="Arial" w:hAnsi="Arial"/>
                <w:sz w:val="22"/>
                <w:szCs w:val="22"/>
                <w:color w:val="auto"/>
                <w:w w:val="82"/>
              </w:rPr>
              <w:t>Employment of Administrative Agents and Counsel ......................................</w:t>
            </w:r>
          </w:p>
        </w:tc>
        <w:tc>
          <w:tcPr>
            <w:tcW w:w="2140" w:type="dxa"/>
            <w:vAlign w:val="bottom"/>
          </w:tcPr>
          <w:p>
            <w:pPr>
              <w:jc w:val="right"/>
              <w:ind w:right="1292"/>
              <w:spacing w:after="0" w:line="237" w:lineRule="exact"/>
              <w:rPr>
                <w:sz w:val="20"/>
                <w:szCs w:val="20"/>
                <w:color w:val="auto"/>
              </w:rPr>
            </w:pPr>
            <w:r>
              <w:rPr>
                <w:rFonts w:ascii="Arial" w:cs="Arial" w:eastAsia="Arial" w:hAnsi="Arial"/>
                <w:sz w:val="22"/>
                <w:szCs w:val="22"/>
                <w:color w:val="auto"/>
              </w:rPr>
              <w:t>77</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10.7.</w:t>
            </w:r>
          </w:p>
        </w:tc>
        <w:tc>
          <w:tcPr>
            <w:tcW w:w="320" w:type="dxa"/>
            <w:vAlign w:val="bottom"/>
          </w:tcPr>
          <w:p>
            <w:pPr>
              <w:spacing w:after="0"/>
              <w:rPr>
                <w:sz w:val="20"/>
                <w:szCs w:val="20"/>
                <w:color w:val="auto"/>
              </w:rPr>
            </w:pPr>
          </w:p>
        </w:tc>
        <w:tc>
          <w:tcPr>
            <w:tcW w:w="6080" w:type="dxa"/>
            <w:vAlign w:val="bottom"/>
            <w:gridSpan w:val="31"/>
          </w:tcPr>
          <w:p>
            <w:pPr>
              <w:spacing w:after="0" w:line="237" w:lineRule="exact"/>
              <w:rPr>
                <w:sz w:val="20"/>
                <w:szCs w:val="20"/>
                <w:color w:val="auto"/>
              </w:rPr>
            </w:pPr>
            <w:r>
              <w:rPr>
                <w:rFonts w:ascii="Arial" w:cs="Arial" w:eastAsia="Arial" w:hAnsi="Arial"/>
                <w:sz w:val="22"/>
                <w:szCs w:val="22"/>
                <w:color w:val="auto"/>
                <w:w w:val="81"/>
              </w:rPr>
              <w:t>Reliance on Documents; Counsel....................................................................</w:t>
            </w:r>
          </w:p>
        </w:tc>
        <w:tc>
          <w:tcPr>
            <w:tcW w:w="2140" w:type="dxa"/>
            <w:vAlign w:val="bottom"/>
          </w:tcPr>
          <w:p>
            <w:pPr>
              <w:jc w:val="right"/>
              <w:ind w:right="1332"/>
              <w:spacing w:after="0" w:line="237" w:lineRule="exact"/>
              <w:rPr>
                <w:sz w:val="20"/>
                <w:szCs w:val="20"/>
                <w:color w:val="auto"/>
              </w:rPr>
            </w:pPr>
            <w:r>
              <w:rPr>
                <w:rFonts w:ascii="Arial" w:cs="Arial" w:eastAsia="Arial" w:hAnsi="Arial"/>
                <w:sz w:val="22"/>
                <w:szCs w:val="22"/>
                <w:color w:val="auto"/>
              </w:rPr>
              <w:t>78</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10.8.</w:t>
            </w:r>
          </w:p>
        </w:tc>
        <w:tc>
          <w:tcPr>
            <w:tcW w:w="320" w:type="dxa"/>
            <w:vAlign w:val="bottom"/>
          </w:tcPr>
          <w:p>
            <w:pPr>
              <w:spacing w:after="0"/>
              <w:rPr>
                <w:sz w:val="20"/>
                <w:szCs w:val="20"/>
                <w:color w:val="auto"/>
              </w:rPr>
            </w:pPr>
          </w:p>
        </w:tc>
        <w:tc>
          <w:tcPr>
            <w:tcW w:w="6080" w:type="dxa"/>
            <w:vAlign w:val="bottom"/>
            <w:gridSpan w:val="31"/>
          </w:tcPr>
          <w:p>
            <w:pPr>
              <w:spacing w:after="0" w:line="237" w:lineRule="exact"/>
              <w:rPr>
                <w:sz w:val="20"/>
                <w:szCs w:val="20"/>
                <w:color w:val="auto"/>
              </w:rPr>
            </w:pPr>
            <w:r>
              <w:rPr>
                <w:rFonts w:ascii="Arial" w:cs="Arial" w:eastAsia="Arial" w:hAnsi="Arial"/>
                <w:sz w:val="22"/>
                <w:szCs w:val="22"/>
                <w:color w:val="auto"/>
                <w:w w:val="83"/>
              </w:rPr>
              <w:t>Administrative Agent’s Reimbursement and Indemnification ........................</w:t>
            </w:r>
          </w:p>
        </w:tc>
        <w:tc>
          <w:tcPr>
            <w:tcW w:w="2140" w:type="dxa"/>
            <w:vAlign w:val="bottom"/>
          </w:tcPr>
          <w:p>
            <w:pPr>
              <w:jc w:val="right"/>
              <w:ind w:right="1312"/>
              <w:spacing w:after="0" w:line="237" w:lineRule="exact"/>
              <w:rPr>
                <w:sz w:val="20"/>
                <w:szCs w:val="20"/>
                <w:color w:val="auto"/>
              </w:rPr>
            </w:pPr>
            <w:r>
              <w:rPr>
                <w:rFonts w:ascii="Arial" w:cs="Arial" w:eastAsia="Arial" w:hAnsi="Arial"/>
                <w:sz w:val="22"/>
                <w:szCs w:val="22"/>
                <w:color w:val="auto"/>
              </w:rPr>
              <w:t>78</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10.9.</w:t>
            </w:r>
          </w:p>
        </w:tc>
        <w:tc>
          <w:tcPr>
            <w:tcW w:w="320" w:type="dxa"/>
            <w:vAlign w:val="bottom"/>
          </w:tcPr>
          <w:p>
            <w:pPr>
              <w:spacing w:after="0"/>
              <w:rPr>
                <w:sz w:val="20"/>
                <w:szCs w:val="20"/>
                <w:color w:val="auto"/>
              </w:rPr>
            </w:pPr>
          </w:p>
        </w:tc>
        <w:tc>
          <w:tcPr>
            <w:tcW w:w="6080" w:type="dxa"/>
            <w:vAlign w:val="bottom"/>
            <w:gridSpan w:val="31"/>
          </w:tcPr>
          <w:p>
            <w:pPr>
              <w:spacing w:after="0" w:line="237" w:lineRule="exact"/>
              <w:rPr>
                <w:sz w:val="20"/>
                <w:szCs w:val="20"/>
                <w:color w:val="auto"/>
              </w:rPr>
            </w:pPr>
            <w:r>
              <w:rPr>
                <w:rFonts w:ascii="Arial" w:cs="Arial" w:eastAsia="Arial" w:hAnsi="Arial"/>
                <w:sz w:val="22"/>
                <w:szCs w:val="22"/>
                <w:color w:val="auto"/>
                <w:w w:val="82"/>
              </w:rPr>
              <w:t>Notice of Event of Default ..............................................................................</w:t>
            </w:r>
          </w:p>
        </w:tc>
        <w:tc>
          <w:tcPr>
            <w:tcW w:w="2140" w:type="dxa"/>
            <w:vAlign w:val="bottom"/>
          </w:tcPr>
          <w:p>
            <w:pPr>
              <w:jc w:val="right"/>
              <w:ind w:right="1332"/>
              <w:spacing w:after="0" w:line="237" w:lineRule="exact"/>
              <w:rPr>
                <w:sz w:val="20"/>
                <w:szCs w:val="20"/>
                <w:color w:val="auto"/>
              </w:rPr>
            </w:pPr>
            <w:r>
              <w:rPr>
                <w:rFonts w:ascii="Arial" w:cs="Arial" w:eastAsia="Arial" w:hAnsi="Arial"/>
                <w:sz w:val="22"/>
                <w:szCs w:val="22"/>
                <w:color w:val="auto"/>
              </w:rPr>
              <w:t>78</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7040" w:type="dxa"/>
            <w:vAlign w:val="bottom"/>
            <w:gridSpan w:val="33"/>
          </w:tcPr>
          <w:p>
            <w:pPr>
              <w:spacing w:after="0" w:line="237" w:lineRule="exact"/>
              <w:rPr>
                <w:sz w:val="20"/>
                <w:szCs w:val="20"/>
                <w:color w:val="auto"/>
              </w:rPr>
            </w:pPr>
            <w:r>
              <w:rPr>
                <w:rFonts w:ascii="Arial" w:cs="Arial" w:eastAsia="Arial" w:hAnsi="Arial"/>
                <w:sz w:val="22"/>
                <w:szCs w:val="22"/>
                <w:color w:val="auto"/>
                <w:w w:val="81"/>
              </w:rPr>
              <w:t>10.10.Rights as a Lender............................................................................................</w:t>
            </w:r>
          </w:p>
        </w:tc>
        <w:tc>
          <w:tcPr>
            <w:tcW w:w="2140" w:type="dxa"/>
            <w:vAlign w:val="bottom"/>
          </w:tcPr>
          <w:p>
            <w:pPr>
              <w:jc w:val="right"/>
              <w:ind w:right="1332"/>
              <w:spacing w:after="0" w:line="237" w:lineRule="exact"/>
              <w:rPr>
                <w:sz w:val="20"/>
                <w:szCs w:val="20"/>
                <w:color w:val="auto"/>
              </w:rPr>
            </w:pPr>
            <w:r>
              <w:rPr>
                <w:rFonts w:ascii="Arial" w:cs="Arial" w:eastAsia="Arial" w:hAnsi="Arial"/>
                <w:sz w:val="22"/>
                <w:szCs w:val="22"/>
                <w:color w:val="auto"/>
              </w:rPr>
              <w:t>79</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10.11.</w:t>
            </w:r>
          </w:p>
        </w:tc>
        <w:tc>
          <w:tcPr>
            <w:tcW w:w="320" w:type="dxa"/>
            <w:vAlign w:val="bottom"/>
          </w:tcPr>
          <w:p>
            <w:pPr>
              <w:spacing w:after="0"/>
              <w:rPr>
                <w:sz w:val="20"/>
                <w:szCs w:val="20"/>
                <w:color w:val="auto"/>
              </w:rPr>
            </w:pPr>
          </w:p>
        </w:tc>
        <w:tc>
          <w:tcPr>
            <w:tcW w:w="6080" w:type="dxa"/>
            <w:vAlign w:val="bottom"/>
            <w:gridSpan w:val="31"/>
          </w:tcPr>
          <w:p>
            <w:pPr>
              <w:spacing w:after="0" w:line="237" w:lineRule="exact"/>
              <w:rPr>
                <w:sz w:val="20"/>
                <w:szCs w:val="20"/>
                <w:color w:val="auto"/>
              </w:rPr>
            </w:pPr>
            <w:r>
              <w:rPr>
                <w:rFonts w:ascii="Arial" w:cs="Arial" w:eastAsia="Arial" w:hAnsi="Arial"/>
                <w:sz w:val="22"/>
                <w:szCs w:val="22"/>
                <w:color w:val="auto"/>
                <w:w w:val="82"/>
              </w:rPr>
              <w:t>Lender Credit Decision, Legal Representation ...............................................</w:t>
            </w:r>
          </w:p>
        </w:tc>
        <w:tc>
          <w:tcPr>
            <w:tcW w:w="2140" w:type="dxa"/>
            <w:vAlign w:val="bottom"/>
          </w:tcPr>
          <w:p>
            <w:pPr>
              <w:jc w:val="right"/>
              <w:ind w:right="1332"/>
              <w:spacing w:after="0" w:line="237" w:lineRule="exact"/>
              <w:rPr>
                <w:sz w:val="20"/>
                <w:szCs w:val="20"/>
                <w:color w:val="auto"/>
              </w:rPr>
            </w:pPr>
            <w:r>
              <w:rPr>
                <w:rFonts w:ascii="Arial" w:cs="Arial" w:eastAsia="Arial" w:hAnsi="Arial"/>
                <w:sz w:val="22"/>
                <w:szCs w:val="22"/>
                <w:color w:val="auto"/>
              </w:rPr>
              <w:t>79</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10.12.</w:t>
            </w:r>
          </w:p>
        </w:tc>
        <w:tc>
          <w:tcPr>
            <w:tcW w:w="320" w:type="dxa"/>
            <w:vAlign w:val="bottom"/>
          </w:tcPr>
          <w:p>
            <w:pPr>
              <w:spacing w:after="0"/>
              <w:rPr>
                <w:sz w:val="20"/>
                <w:szCs w:val="20"/>
                <w:color w:val="auto"/>
              </w:rPr>
            </w:pPr>
          </w:p>
        </w:tc>
        <w:tc>
          <w:tcPr>
            <w:tcW w:w="6080" w:type="dxa"/>
            <w:vAlign w:val="bottom"/>
            <w:gridSpan w:val="31"/>
          </w:tcPr>
          <w:p>
            <w:pPr>
              <w:spacing w:after="0" w:line="237" w:lineRule="exact"/>
              <w:rPr>
                <w:sz w:val="20"/>
                <w:szCs w:val="20"/>
                <w:color w:val="auto"/>
              </w:rPr>
            </w:pPr>
            <w:r>
              <w:rPr>
                <w:rFonts w:ascii="Arial" w:cs="Arial" w:eastAsia="Arial" w:hAnsi="Arial"/>
                <w:sz w:val="22"/>
                <w:szCs w:val="22"/>
                <w:color w:val="auto"/>
                <w:w w:val="82"/>
              </w:rPr>
              <w:t>Successor Administrative Agent......................................................................</w:t>
            </w:r>
          </w:p>
        </w:tc>
        <w:tc>
          <w:tcPr>
            <w:tcW w:w="2140" w:type="dxa"/>
            <w:vAlign w:val="bottom"/>
          </w:tcPr>
          <w:p>
            <w:pPr>
              <w:jc w:val="right"/>
              <w:ind w:right="1312"/>
              <w:spacing w:after="0" w:line="237" w:lineRule="exact"/>
              <w:rPr>
                <w:sz w:val="20"/>
                <w:szCs w:val="20"/>
                <w:color w:val="auto"/>
              </w:rPr>
            </w:pPr>
            <w:r>
              <w:rPr>
                <w:rFonts w:ascii="Arial" w:cs="Arial" w:eastAsia="Arial" w:hAnsi="Arial"/>
                <w:sz w:val="22"/>
                <w:szCs w:val="22"/>
                <w:color w:val="auto"/>
              </w:rPr>
              <w:t>79</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10.13.</w:t>
            </w:r>
          </w:p>
        </w:tc>
        <w:tc>
          <w:tcPr>
            <w:tcW w:w="320" w:type="dxa"/>
            <w:vAlign w:val="bottom"/>
          </w:tcPr>
          <w:p>
            <w:pPr>
              <w:spacing w:after="0"/>
              <w:rPr>
                <w:sz w:val="20"/>
                <w:szCs w:val="20"/>
                <w:color w:val="auto"/>
              </w:rPr>
            </w:pPr>
          </w:p>
        </w:tc>
        <w:tc>
          <w:tcPr>
            <w:tcW w:w="6080" w:type="dxa"/>
            <w:vAlign w:val="bottom"/>
            <w:gridSpan w:val="31"/>
          </w:tcPr>
          <w:p>
            <w:pPr>
              <w:spacing w:after="0" w:line="237" w:lineRule="exact"/>
              <w:rPr>
                <w:sz w:val="20"/>
                <w:szCs w:val="20"/>
                <w:color w:val="auto"/>
              </w:rPr>
            </w:pPr>
            <w:r>
              <w:rPr>
                <w:rFonts w:ascii="Arial" w:cs="Arial" w:eastAsia="Arial" w:hAnsi="Arial"/>
                <w:sz w:val="22"/>
                <w:szCs w:val="22"/>
                <w:color w:val="auto"/>
                <w:w w:val="81"/>
              </w:rPr>
              <w:t>Administrative Agent Fees...............................................................................</w:t>
            </w:r>
          </w:p>
        </w:tc>
        <w:tc>
          <w:tcPr>
            <w:tcW w:w="2140" w:type="dxa"/>
            <w:vAlign w:val="bottom"/>
          </w:tcPr>
          <w:p>
            <w:pPr>
              <w:jc w:val="right"/>
              <w:ind w:right="1312"/>
              <w:spacing w:after="0" w:line="237" w:lineRule="exact"/>
              <w:rPr>
                <w:sz w:val="20"/>
                <w:szCs w:val="20"/>
                <w:color w:val="auto"/>
              </w:rPr>
            </w:pPr>
            <w:r>
              <w:rPr>
                <w:rFonts w:ascii="Arial" w:cs="Arial" w:eastAsia="Arial" w:hAnsi="Arial"/>
                <w:sz w:val="22"/>
                <w:szCs w:val="22"/>
                <w:color w:val="auto"/>
              </w:rPr>
              <w:t>79</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10.14.</w:t>
            </w:r>
          </w:p>
        </w:tc>
        <w:tc>
          <w:tcPr>
            <w:tcW w:w="320" w:type="dxa"/>
            <w:vAlign w:val="bottom"/>
          </w:tcPr>
          <w:p>
            <w:pPr>
              <w:spacing w:after="0"/>
              <w:rPr>
                <w:sz w:val="20"/>
                <w:szCs w:val="20"/>
                <w:color w:val="auto"/>
              </w:rPr>
            </w:pPr>
          </w:p>
        </w:tc>
        <w:tc>
          <w:tcPr>
            <w:tcW w:w="6080" w:type="dxa"/>
            <w:vAlign w:val="bottom"/>
            <w:gridSpan w:val="31"/>
          </w:tcPr>
          <w:p>
            <w:pPr>
              <w:spacing w:after="0" w:line="237" w:lineRule="exact"/>
              <w:rPr>
                <w:sz w:val="20"/>
                <w:szCs w:val="20"/>
                <w:color w:val="auto"/>
              </w:rPr>
            </w:pPr>
            <w:r>
              <w:rPr>
                <w:rFonts w:ascii="Arial" w:cs="Arial" w:eastAsia="Arial" w:hAnsi="Arial"/>
                <w:sz w:val="22"/>
                <w:szCs w:val="22"/>
                <w:color w:val="auto"/>
                <w:w w:val="82"/>
              </w:rPr>
              <w:t>Delegation to Affiliates ...................................................................................</w:t>
            </w:r>
          </w:p>
        </w:tc>
        <w:tc>
          <w:tcPr>
            <w:tcW w:w="2140" w:type="dxa"/>
            <w:vAlign w:val="bottom"/>
          </w:tcPr>
          <w:p>
            <w:pPr>
              <w:jc w:val="right"/>
              <w:ind w:right="1332"/>
              <w:spacing w:after="0" w:line="237" w:lineRule="exact"/>
              <w:rPr>
                <w:sz w:val="20"/>
                <w:szCs w:val="20"/>
                <w:color w:val="auto"/>
              </w:rPr>
            </w:pPr>
            <w:r>
              <w:rPr>
                <w:rFonts w:ascii="Arial" w:cs="Arial" w:eastAsia="Arial" w:hAnsi="Arial"/>
                <w:sz w:val="22"/>
                <w:szCs w:val="22"/>
                <w:color w:val="auto"/>
              </w:rPr>
              <w:t>80</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10.15.</w:t>
            </w:r>
          </w:p>
        </w:tc>
        <w:tc>
          <w:tcPr>
            <w:tcW w:w="320" w:type="dxa"/>
            <w:vAlign w:val="bottom"/>
          </w:tcPr>
          <w:p>
            <w:pPr>
              <w:spacing w:after="0"/>
              <w:rPr>
                <w:sz w:val="20"/>
                <w:szCs w:val="20"/>
                <w:color w:val="auto"/>
              </w:rPr>
            </w:pPr>
          </w:p>
        </w:tc>
        <w:tc>
          <w:tcPr>
            <w:tcW w:w="6080" w:type="dxa"/>
            <w:vAlign w:val="bottom"/>
            <w:gridSpan w:val="31"/>
          </w:tcPr>
          <w:p>
            <w:pPr>
              <w:spacing w:after="0" w:line="237" w:lineRule="exact"/>
              <w:rPr>
                <w:sz w:val="20"/>
                <w:szCs w:val="20"/>
                <w:color w:val="auto"/>
              </w:rPr>
            </w:pPr>
            <w:r>
              <w:rPr>
                <w:rFonts w:ascii="Arial" w:cs="Arial" w:eastAsia="Arial" w:hAnsi="Arial"/>
                <w:sz w:val="22"/>
                <w:szCs w:val="22"/>
                <w:color w:val="auto"/>
                <w:w w:val="82"/>
              </w:rPr>
              <w:t>Execution of Collateral Documents ................................................................</w:t>
            </w:r>
          </w:p>
        </w:tc>
        <w:tc>
          <w:tcPr>
            <w:tcW w:w="2140" w:type="dxa"/>
            <w:vAlign w:val="bottom"/>
          </w:tcPr>
          <w:p>
            <w:pPr>
              <w:jc w:val="right"/>
              <w:ind w:right="1332"/>
              <w:spacing w:after="0" w:line="237" w:lineRule="exact"/>
              <w:rPr>
                <w:sz w:val="20"/>
                <w:szCs w:val="20"/>
                <w:color w:val="auto"/>
              </w:rPr>
            </w:pPr>
            <w:r>
              <w:rPr>
                <w:rFonts w:ascii="Arial" w:cs="Arial" w:eastAsia="Arial" w:hAnsi="Arial"/>
                <w:sz w:val="22"/>
                <w:szCs w:val="22"/>
                <w:color w:val="auto"/>
              </w:rPr>
              <w:t>80</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gridSpan w:val="3"/>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10.16.</w:t>
            </w:r>
          </w:p>
        </w:tc>
        <w:tc>
          <w:tcPr>
            <w:tcW w:w="320" w:type="dxa"/>
            <w:vAlign w:val="bottom"/>
          </w:tcPr>
          <w:p>
            <w:pPr>
              <w:spacing w:after="0"/>
              <w:rPr>
                <w:sz w:val="20"/>
                <w:szCs w:val="20"/>
                <w:color w:val="auto"/>
              </w:rPr>
            </w:pPr>
          </w:p>
        </w:tc>
        <w:tc>
          <w:tcPr>
            <w:tcW w:w="6080" w:type="dxa"/>
            <w:vAlign w:val="bottom"/>
            <w:gridSpan w:val="31"/>
          </w:tcPr>
          <w:p>
            <w:pPr>
              <w:spacing w:after="0" w:line="237" w:lineRule="exact"/>
              <w:rPr>
                <w:sz w:val="20"/>
                <w:szCs w:val="20"/>
                <w:color w:val="auto"/>
              </w:rPr>
            </w:pPr>
            <w:r>
              <w:rPr>
                <w:rFonts w:ascii="Arial" w:cs="Arial" w:eastAsia="Arial" w:hAnsi="Arial"/>
                <w:sz w:val="22"/>
                <w:szCs w:val="22"/>
                <w:color w:val="auto"/>
                <w:w w:val="81"/>
              </w:rPr>
              <w:t>Collateral Releases and Subordination ...........................................................</w:t>
            </w:r>
          </w:p>
        </w:tc>
        <w:tc>
          <w:tcPr>
            <w:tcW w:w="2140" w:type="dxa"/>
            <w:vAlign w:val="bottom"/>
          </w:tcPr>
          <w:p>
            <w:pPr>
              <w:jc w:val="right"/>
              <w:ind w:right="1352"/>
              <w:spacing w:after="0" w:line="237" w:lineRule="exact"/>
              <w:rPr>
                <w:sz w:val="20"/>
                <w:szCs w:val="20"/>
                <w:color w:val="auto"/>
              </w:rPr>
            </w:pPr>
            <w:r>
              <w:rPr>
                <w:rFonts w:ascii="Arial" w:cs="Arial" w:eastAsia="Arial" w:hAnsi="Arial"/>
                <w:sz w:val="22"/>
                <w:szCs w:val="22"/>
                <w:color w:val="auto"/>
              </w:rPr>
              <w:t>80</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gridSpan w:val="3"/>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10.17.</w:t>
            </w:r>
          </w:p>
        </w:tc>
        <w:tc>
          <w:tcPr>
            <w:tcW w:w="320" w:type="dxa"/>
            <w:vAlign w:val="bottom"/>
          </w:tcPr>
          <w:p>
            <w:pPr>
              <w:spacing w:after="0"/>
              <w:rPr>
                <w:sz w:val="20"/>
                <w:szCs w:val="20"/>
                <w:color w:val="auto"/>
              </w:rPr>
            </w:pPr>
          </w:p>
        </w:tc>
        <w:tc>
          <w:tcPr>
            <w:tcW w:w="6080" w:type="dxa"/>
            <w:vAlign w:val="bottom"/>
            <w:gridSpan w:val="31"/>
          </w:tcPr>
          <w:p>
            <w:pPr>
              <w:spacing w:after="0" w:line="237" w:lineRule="exact"/>
              <w:rPr>
                <w:sz w:val="20"/>
                <w:szCs w:val="20"/>
                <w:color w:val="auto"/>
              </w:rPr>
            </w:pPr>
            <w:r>
              <w:rPr>
                <w:rFonts w:ascii="Arial" w:cs="Arial" w:eastAsia="Arial" w:hAnsi="Arial"/>
                <w:sz w:val="22"/>
                <w:szCs w:val="22"/>
                <w:color w:val="auto"/>
                <w:w w:val="83"/>
              </w:rPr>
              <w:t>No Advisory or Fiduciary Responsibility .......................................................</w:t>
            </w:r>
          </w:p>
        </w:tc>
        <w:tc>
          <w:tcPr>
            <w:tcW w:w="2140" w:type="dxa"/>
            <w:vAlign w:val="bottom"/>
          </w:tcPr>
          <w:p>
            <w:pPr>
              <w:jc w:val="right"/>
              <w:ind w:right="1332"/>
              <w:spacing w:after="0" w:line="237" w:lineRule="exact"/>
              <w:rPr>
                <w:sz w:val="20"/>
                <w:szCs w:val="20"/>
                <w:color w:val="auto"/>
              </w:rPr>
            </w:pPr>
            <w:r>
              <w:rPr>
                <w:rFonts w:ascii="Arial" w:cs="Arial" w:eastAsia="Arial" w:hAnsi="Arial"/>
                <w:sz w:val="22"/>
                <w:szCs w:val="22"/>
                <w:color w:val="auto"/>
              </w:rPr>
              <w:t>81</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gridSpan w:val="3"/>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9"/>
        </w:trPr>
        <w:tc>
          <w:tcPr>
            <w:tcW w:w="7700" w:type="dxa"/>
            <w:vAlign w:val="bottom"/>
            <w:gridSpan w:val="34"/>
          </w:tcPr>
          <w:p>
            <w:pPr>
              <w:spacing w:after="0"/>
              <w:rPr>
                <w:sz w:val="20"/>
                <w:szCs w:val="20"/>
                <w:color w:val="auto"/>
              </w:rPr>
            </w:pPr>
            <w:r>
              <w:rPr>
                <w:rFonts w:ascii="Arial" w:cs="Arial" w:eastAsia="Arial" w:hAnsi="Arial"/>
                <w:sz w:val="22"/>
                <w:szCs w:val="22"/>
                <w:b w:val="1"/>
                <w:bCs w:val="1"/>
                <w:color w:val="auto"/>
              </w:rPr>
              <w:t>ARTICLE XI SETOFF; RATABLE PAYMENTS   81</w:t>
            </w: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99"/>
        </w:trPr>
        <w:tc>
          <w:tcPr>
            <w:tcW w:w="1300" w:type="dxa"/>
            <w:vAlign w:val="bottom"/>
            <w:tcBorders>
              <w:top w:val="single" w:sz="8" w:color="auto"/>
            </w:tcBorders>
            <w:gridSpan w:val="2"/>
          </w:tcPr>
          <w:p>
            <w:pPr>
              <w:ind w:left="660"/>
              <w:spacing w:after="0"/>
              <w:rPr>
                <w:sz w:val="20"/>
                <w:szCs w:val="20"/>
                <w:color w:val="auto"/>
              </w:rPr>
            </w:pPr>
            <w:r>
              <w:rPr>
                <w:rFonts w:ascii="Arial" w:cs="Arial" w:eastAsia="Arial" w:hAnsi="Arial"/>
                <w:sz w:val="22"/>
                <w:szCs w:val="22"/>
                <w:color w:val="auto"/>
              </w:rPr>
              <w:t>11.1.</w:t>
            </w: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gridSpan w:val="5"/>
          </w:tcPr>
          <w:p>
            <w:pPr>
              <w:spacing w:after="0"/>
              <w:rPr>
                <w:sz w:val="20"/>
                <w:szCs w:val="20"/>
                <w:color w:val="auto"/>
              </w:rPr>
            </w:pPr>
            <w:r>
              <w:rPr>
                <w:rFonts w:ascii="Arial" w:cs="Arial" w:eastAsia="Arial" w:hAnsi="Arial"/>
                <w:sz w:val="4"/>
                <w:szCs w:val="4"/>
                <w:color w:val="auto"/>
                <w:w w:val="84"/>
              </w:rPr>
              <w:t>Setoff ...............................................................................................................</w:t>
            </w: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40" w:type="dxa"/>
            <w:vAlign w:val="bottom"/>
          </w:tcPr>
          <w:p>
            <w:pPr>
              <w:jc w:val="right"/>
              <w:ind w:right="1332"/>
              <w:spacing w:after="0"/>
              <w:rPr>
                <w:sz w:val="20"/>
                <w:szCs w:val="20"/>
                <w:color w:val="auto"/>
              </w:rPr>
            </w:pPr>
            <w:r>
              <w:rPr>
                <w:rFonts w:ascii="Arial" w:cs="Arial" w:eastAsia="Arial" w:hAnsi="Arial"/>
                <w:sz w:val="22"/>
                <w:szCs w:val="22"/>
                <w:color w:val="auto"/>
              </w:rPr>
              <w:t>81</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11.2.</w:t>
            </w:r>
          </w:p>
        </w:tc>
        <w:tc>
          <w:tcPr>
            <w:tcW w:w="320" w:type="dxa"/>
            <w:vAlign w:val="bottom"/>
          </w:tcPr>
          <w:p>
            <w:pPr>
              <w:spacing w:after="0"/>
              <w:rPr>
                <w:sz w:val="20"/>
                <w:szCs w:val="20"/>
                <w:color w:val="auto"/>
              </w:rPr>
            </w:pPr>
          </w:p>
        </w:tc>
        <w:tc>
          <w:tcPr>
            <w:tcW w:w="6080" w:type="dxa"/>
            <w:vAlign w:val="bottom"/>
            <w:gridSpan w:val="31"/>
          </w:tcPr>
          <w:p>
            <w:pPr>
              <w:spacing w:after="0" w:line="237" w:lineRule="exact"/>
              <w:rPr>
                <w:sz w:val="20"/>
                <w:szCs w:val="20"/>
                <w:color w:val="auto"/>
              </w:rPr>
            </w:pPr>
            <w:r>
              <w:rPr>
                <w:rFonts w:ascii="Arial" w:cs="Arial" w:eastAsia="Arial" w:hAnsi="Arial"/>
                <w:sz w:val="22"/>
                <w:szCs w:val="22"/>
                <w:color w:val="auto"/>
                <w:w w:val="80"/>
              </w:rPr>
              <w:t>Ratable Payments ............................................................................................</w:t>
            </w:r>
          </w:p>
        </w:tc>
        <w:tc>
          <w:tcPr>
            <w:tcW w:w="2140" w:type="dxa"/>
            <w:vAlign w:val="bottom"/>
          </w:tcPr>
          <w:p>
            <w:pPr>
              <w:jc w:val="right"/>
              <w:ind w:right="1312"/>
              <w:spacing w:after="0" w:line="237" w:lineRule="exact"/>
              <w:rPr>
                <w:sz w:val="20"/>
                <w:szCs w:val="20"/>
                <w:color w:val="auto"/>
              </w:rPr>
            </w:pPr>
            <w:r>
              <w:rPr>
                <w:rFonts w:ascii="Arial" w:cs="Arial" w:eastAsia="Arial" w:hAnsi="Arial"/>
                <w:sz w:val="22"/>
                <w:szCs w:val="22"/>
                <w:color w:val="auto"/>
              </w:rPr>
              <w:t>82</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9"/>
        </w:trPr>
        <w:tc>
          <w:tcPr>
            <w:tcW w:w="7700" w:type="dxa"/>
            <w:vAlign w:val="bottom"/>
            <w:gridSpan w:val="34"/>
          </w:tcPr>
          <w:p>
            <w:pPr>
              <w:spacing w:after="0"/>
              <w:rPr>
                <w:sz w:val="20"/>
                <w:szCs w:val="20"/>
                <w:color w:val="auto"/>
              </w:rPr>
            </w:pPr>
            <w:r>
              <w:rPr>
                <w:rFonts w:ascii="Arial" w:cs="Arial" w:eastAsia="Arial" w:hAnsi="Arial"/>
                <w:sz w:val="22"/>
                <w:szCs w:val="22"/>
                <w:b w:val="1"/>
                <w:bCs w:val="1"/>
                <w:color w:val="auto"/>
              </w:rPr>
              <w:t>ARTICLE XII BENEFIT OF AGREEMENT; ASSIGNMENTS;</w:t>
            </w: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7"/>
        </w:trPr>
        <w:tc>
          <w:tcPr>
            <w:tcW w:w="660" w:type="dxa"/>
            <w:vAlign w:val="bottom"/>
            <w:tcBorders>
              <w:top w:val="single" w:sz="8" w:color="auto"/>
            </w:tcBorders>
          </w:tcPr>
          <w:p>
            <w:pPr>
              <w:spacing w:after="0"/>
              <w:rPr>
                <w:sz w:val="20"/>
                <w:szCs w:val="20"/>
                <w:color w:val="auto"/>
              </w:rPr>
            </w:pPr>
          </w:p>
        </w:tc>
        <w:tc>
          <w:tcPr>
            <w:tcW w:w="2140" w:type="dxa"/>
            <w:vAlign w:val="bottom"/>
            <w:tcBorders>
              <w:top w:val="single" w:sz="8" w:color="auto"/>
              <w:bottom w:val="single" w:sz="8" w:color="auto"/>
            </w:tcBorders>
            <w:gridSpan w:val="7"/>
          </w:tcPr>
          <w:p>
            <w:pPr>
              <w:spacing w:after="0" w:line="237" w:lineRule="exact"/>
              <w:rPr>
                <w:sz w:val="20"/>
                <w:szCs w:val="20"/>
                <w:color w:val="auto"/>
              </w:rPr>
            </w:pPr>
            <w:r>
              <w:rPr>
                <w:rFonts w:ascii="Arial" w:cs="Arial" w:eastAsia="Arial" w:hAnsi="Arial"/>
                <w:sz w:val="22"/>
                <w:szCs w:val="22"/>
                <w:b w:val="1"/>
                <w:bCs w:val="1"/>
                <w:color w:val="auto"/>
              </w:rPr>
              <w:t>PARTICIPATIONS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73"/>
              </w:rPr>
              <w:t>82</w:t>
            </w:r>
          </w:p>
        </w:tc>
        <w:tc>
          <w:tcPr>
            <w:tcW w:w="2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99"/>
        </w:trPr>
        <w:tc>
          <w:tcPr>
            <w:tcW w:w="1300" w:type="dxa"/>
            <w:vAlign w:val="bottom"/>
            <w:gridSpan w:val="2"/>
          </w:tcPr>
          <w:p>
            <w:pPr>
              <w:ind w:left="660"/>
              <w:spacing w:after="0"/>
              <w:rPr>
                <w:sz w:val="20"/>
                <w:szCs w:val="20"/>
                <w:color w:val="auto"/>
              </w:rPr>
            </w:pPr>
            <w:r>
              <w:rPr>
                <w:rFonts w:ascii="Arial" w:cs="Arial" w:eastAsia="Arial" w:hAnsi="Arial"/>
                <w:sz w:val="22"/>
                <w:szCs w:val="22"/>
                <w:color w:val="auto"/>
              </w:rPr>
              <w:t>12.1.</w:t>
            </w:r>
          </w:p>
        </w:tc>
        <w:tc>
          <w:tcPr>
            <w:tcW w:w="320" w:type="dxa"/>
            <w:vAlign w:val="bottom"/>
          </w:tcPr>
          <w:p>
            <w:pPr>
              <w:spacing w:after="0"/>
              <w:rPr>
                <w:sz w:val="24"/>
                <w:szCs w:val="24"/>
                <w:color w:val="auto"/>
              </w:rPr>
            </w:pPr>
          </w:p>
        </w:tc>
        <w:tc>
          <w:tcPr>
            <w:tcW w:w="6080" w:type="dxa"/>
            <w:vAlign w:val="bottom"/>
            <w:gridSpan w:val="31"/>
          </w:tcPr>
          <w:p>
            <w:pPr>
              <w:spacing w:after="0"/>
              <w:rPr>
                <w:sz w:val="20"/>
                <w:szCs w:val="20"/>
                <w:color w:val="auto"/>
              </w:rPr>
            </w:pPr>
            <w:r>
              <w:rPr>
                <w:rFonts w:ascii="Arial" w:cs="Arial" w:eastAsia="Arial" w:hAnsi="Arial"/>
                <w:sz w:val="22"/>
                <w:szCs w:val="22"/>
                <w:color w:val="auto"/>
                <w:w w:val="80"/>
              </w:rPr>
              <w:t>Successors and Assigns ...................................................................................</w:t>
            </w:r>
          </w:p>
        </w:tc>
        <w:tc>
          <w:tcPr>
            <w:tcW w:w="2140" w:type="dxa"/>
            <w:vAlign w:val="bottom"/>
          </w:tcPr>
          <w:p>
            <w:pPr>
              <w:jc w:val="right"/>
              <w:ind w:right="1312"/>
              <w:spacing w:after="0"/>
              <w:rPr>
                <w:sz w:val="20"/>
                <w:szCs w:val="20"/>
                <w:color w:val="auto"/>
              </w:rPr>
            </w:pPr>
            <w:r>
              <w:rPr>
                <w:rFonts w:ascii="Arial" w:cs="Arial" w:eastAsia="Arial" w:hAnsi="Arial"/>
                <w:sz w:val="22"/>
                <w:szCs w:val="22"/>
                <w:color w:val="auto"/>
              </w:rPr>
              <w:t>82</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1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12.2.</w:t>
            </w:r>
          </w:p>
        </w:tc>
        <w:tc>
          <w:tcPr>
            <w:tcW w:w="320" w:type="dxa"/>
            <w:vAlign w:val="bottom"/>
          </w:tcPr>
          <w:p>
            <w:pPr>
              <w:spacing w:after="0"/>
              <w:rPr>
                <w:sz w:val="20"/>
                <w:szCs w:val="20"/>
                <w:color w:val="auto"/>
              </w:rPr>
            </w:pPr>
          </w:p>
        </w:tc>
        <w:tc>
          <w:tcPr>
            <w:tcW w:w="6080" w:type="dxa"/>
            <w:vAlign w:val="bottom"/>
            <w:gridSpan w:val="31"/>
          </w:tcPr>
          <w:p>
            <w:pPr>
              <w:spacing w:after="0" w:line="237" w:lineRule="exact"/>
              <w:rPr>
                <w:sz w:val="20"/>
                <w:szCs w:val="20"/>
                <w:color w:val="auto"/>
              </w:rPr>
            </w:pPr>
            <w:r>
              <w:rPr>
                <w:rFonts w:ascii="Arial" w:cs="Arial" w:eastAsia="Arial" w:hAnsi="Arial"/>
                <w:sz w:val="22"/>
                <w:szCs w:val="22"/>
                <w:color w:val="auto"/>
                <w:w w:val="81"/>
              </w:rPr>
              <w:t>Participations ...................................................................................................</w:t>
            </w:r>
          </w:p>
        </w:tc>
        <w:tc>
          <w:tcPr>
            <w:tcW w:w="2140" w:type="dxa"/>
            <w:vAlign w:val="bottom"/>
          </w:tcPr>
          <w:p>
            <w:pPr>
              <w:jc w:val="right"/>
              <w:ind w:right="1312"/>
              <w:spacing w:after="0" w:line="237" w:lineRule="exact"/>
              <w:rPr>
                <w:sz w:val="20"/>
                <w:szCs w:val="20"/>
                <w:color w:val="auto"/>
              </w:rPr>
            </w:pPr>
            <w:r>
              <w:rPr>
                <w:rFonts w:ascii="Arial" w:cs="Arial" w:eastAsia="Arial" w:hAnsi="Arial"/>
                <w:sz w:val="22"/>
                <w:szCs w:val="22"/>
                <w:color w:val="auto"/>
              </w:rPr>
              <w:t>83</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12.3.</w:t>
            </w:r>
          </w:p>
        </w:tc>
        <w:tc>
          <w:tcPr>
            <w:tcW w:w="320" w:type="dxa"/>
            <w:vAlign w:val="bottom"/>
          </w:tcPr>
          <w:p>
            <w:pPr>
              <w:spacing w:after="0"/>
              <w:rPr>
                <w:sz w:val="20"/>
                <w:szCs w:val="20"/>
                <w:color w:val="auto"/>
              </w:rPr>
            </w:pPr>
          </w:p>
        </w:tc>
        <w:tc>
          <w:tcPr>
            <w:tcW w:w="1180" w:type="dxa"/>
            <w:vAlign w:val="bottom"/>
            <w:tcBorders>
              <w:bottom w:val="single" w:sz="8" w:color="auto"/>
            </w:tcBorders>
            <w:gridSpan w:val="5"/>
          </w:tcPr>
          <w:p>
            <w:pPr>
              <w:spacing w:after="0" w:line="237" w:lineRule="exact"/>
              <w:rPr>
                <w:sz w:val="20"/>
                <w:szCs w:val="20"/>
                <w:color w:val="auto"/>
              </w:rPr>
            </w:pPr>
            <w:r>
              <w:rPr>
                <w:rFonts w:ascii="Arial" w:cs="Arial" w:eastAsia="Arial" w:hAnsi="Arial"/>
                <w:sz w:val="22"/>
                <w:szCs w:val="22"/>
                <w:color w:val="auto"/>
                <w:w w:val="90"/>
              </w:rPr>
              <w:t>Assignments</w:t>
            </w:r>
          </w:p>
        </w:tc>
        <w:tc>
          <w:tcPr>
            <w:tcW w:w="160" w:type="dxa"/>
            <w:vAlign w:val="bottom"/>
          </w:tcPr>
          <w:p>
            <w:pPr>
              <w:jc w:val="right"/>
              <w:spacing w:after="0"/>
              <w:rPr>
                <w:sz w:val="20"/>
                <w:szCs w:val="20"/>
                <w:color w:val="auto"/>
              </w:rPr>
            </w:pPr>
            <w:r>
              <w:rPr>
                <w:rFonts w:ascii="Arial" w:cs="Arial" w:eastAsia="Arial" w:hAnsi="Arial"/>
                <w:sz w:val="1"/>
                <w:szCs w:val="1"/>
                <w:color w:val="auto"/>
                <w:w w:val="50"/>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40" w:type="dxa"/>
            <w:vAlign w:val="bottom"/>
          </w:tcPr>
          <w:p>
            <w:pPr>
              <w:jc w:val="right"/>
              <w:ind w:right="1332"/>
              <w:spacing w:after="0" w:line="237" w:lineRule="exact"/>
              <w:rPr>
                <w:sz w:val="20"/>
                <w:szCs w:val="20"/>
                <w:color w:val="auto"/>
              </w:rPr>
            </w:pPr>
            <w:r>
              <w:rPr>
                <w:rFonts w:ascii="Arial" w:cs="Arial" w:eastAsia="Arial" w:hAnsi="Arial"/>
                <w:sz w:val="22"/>
                <w:szCs w:val="22"/>
                <w:color w:val="auto"/>
              </w:rPr>
              <w:t>84</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99"/>
        </w:trPr>
        <w:tc>
          <w:tcPr>
            <w:tcW w:w="2800" w:type="dxa"/>
            <w:vAlign w:val="bottom"/>
            <w:tcBorders>
              <w:bottom w:val="single" w:sz="8" w:color="auto"/>
            </w:tcBorders>
            <w:gridSpan w:val="8"/>
          </w:tcPr>
          <w:p>
            <w:pPr>
              <w:spacing w:after="0"/>
              <w:rPr>
                <w:sz w:val="20"/>
                <w:szCs w:val="20"/>
                <w:color w:val="auto"/>
              </w:rPr>
            </w:pPr>
            <w:r>
              <w:rPr>
                <w:rFonts w:ascii="Arial" w:cs="Arial" w:eastAsia="Arial" w:hAnsi="Arial"/>
                <w:sz w:val="22"/>
                <w:szCs w:val="22"/>
                <w:b w:val="1"/>
                <w:bCs w:val="1"/>
                <w:color w:val="auto"/>
              </w:rPr>
              <w:t>ARTICLE XIII NOTICES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73"/>
              </w:rPr>
              <w:t>86</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99"/>
        </w:trPr>
        <w:tc>
          <w:tcPr>
            <w:tcW w:w="1300" w:type="dxa"/>
            <w:vAlign w:val="bottom"/>
            <w:gridSpan w:val="2"/>
          </w:tcPr>
          <w:p>
            <w:pPr>
              <w:ind w:left="660"/>
              <w:spacing w:after="0"/>
              <w:rPr>
                <w:sz w:val="20"/>
                <w:szCs w:val="20"/>
                <w:color w:val="auto"/>
              </w:rPr>
            </w:pPr>
            <w:r>
              <w:rPr>
                <w:rFonts w:ascii="Arial" w:cs="Arial" w:eastAsia="Arial" w:hAnsi="Arial"/>
                <w:sz w:val="22"/>
                <w:szCs w:val="22"/>
                <w:color w:val="auto"/>
              </w:rPr>
              <w:t>13.1.</w:t>
            </w:r>
          </w:p>
        </w:tc>
        <w:tc>
          <w:tcPr>
            <w:tcW w:w="6400" w:type="dxa"/>
            <w:vAlign w:val="bottom"/>
            <w:gridSpan w:val="32"/>
          </w:tcPr>
          <w:p>
            <w:pPr>
              <w:spacing w:after="0"/>
              <w:rPr>
                <w:sz w:val="20"/>
                <w:szCs w:val="20"/>
                <w:color w:val="auto"/>
              </w:rPr>
            </w:pPr>
            <w:r>
              <w:rPr>
                <w:rFonts w:ascii="Arial" w:cs="Arial" w:eastAsia="Arial" w:hAnsi="Arial"/>
                <w:sz w:val="22"/>
                <w:szCs w:val="22"/>
                <w:color w:val="auto"/>
                <w:w w:val="86"/>
              </w:rPr>
              <w:t>Notices; Effectiveness; Electronic Communication ........................................</w:t>
            </w:r>
          </w:p>
        </w:tc>
        <w:tc>
          <w:tcPr>
            <w:tcW w:w="2140" w:type="dxa"/>
            <w:vAlign w:val="bottom"/>
          </w:tcPr>
          <w:p>
            <w:pPr>
              <w:jc w:val="right"/>
              <w:ind w:right="1612"/>
              <w:spacing w:after="0"/>
              <w:rPr>
                <w:sz w:val="20"/>
                <w:szCs w:val="20"/>
                <w:color w:val="auto"/>
              </w:rPr>
            </w:pPr>
            <w:r>
              <w:rPr>
                <w:rFonts w:ascii="Arial" w:cs="Arial" w:eastAsia="Arial" w:hAnsi="Arial"/>
                <w:sz w:val="22"/>
                <w:szCs w:val="22"/>
                <w:color w:val="auto"/>
              </w:rPr>
              <w:t>86</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1300" w:type="dxa"/>
            <w:vAlign w:val="bottom"/>
            <w:gridSpan w:val="2"/>
          </w:tcPr>
          <w:p>
            <w:pPr>
              <w:spacing w:after="0" w:line="20" w:lineRule="exact"/>
              <w:rPr>
                <w:sz w:val="1"/>
                <w:szCs w:val="1"/>
                <w:color w:val="auto"/>
              </w:rPr>
            </w:pPr>
          </w:p>
        </w:tc>
        <w:tc>
          <w:tcPr>
            <w:tcW w:w="116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gridSpan w:val="3"/>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40" w:type="dxa"/>
            <w:vAlign w:val="bottom"/>
            <w:gridSpan w:val="7"/>
            <w:shd w:val="clear" w:color="auto" w:fill="000000"/>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9"/>
        </w:trPr>
        <w:tc>
          <w:tcPr>
            <w:tcW w:w="9840" w:type="dxa"/>
            <w:vAlign w:val="bottom"/>
            <w:gridSpan w:val="35"/>
          </w:tcPr>
          <w:p>
            <w:pPr>
              <w:spacing w:after="0"/>
              <w:rPr>
                <w:sz w:val="20"/>
                <w:szCs w:val="20"/>
                <w:color w:val="auto"/>
              </w:rPr>
            </w:pPr>
            <w:r>
              <w:rPr>
                <w:rFonts w:ascii="Arial" w:cs="Arial" w:eastAsia="Arial" w:hAnsi="Arial"/>
                <w:sz w:val="22"/>
                <w:szCs w:val="22"/>
                <w:b w:val="1"/>
                <w:bCs w:val="1"/>
                <w:color w:val="auto"/>
                <w:w w:val="99"/>
              </w:rPr>
              <w:t>ARTICLE XIV COUNTERPARTS; INTEGRATION; EFFECTIVENESS; ELECTRONIC EXECUTION;</w:t>
            </w:r>
          </w:p>
        </w:tc>
        <w:tc>
          <w:tcPr>
            <w:tcW w:w="1500" w:type="dxa"/>
            <w:vAlign w:val="bottom"/>
            <w:gridSpan w:val="2"/>
          </w:tcPr>
          <w:p>
            <w:pPr>
              <w:jc w:val="right"/>
              <w:spacing w:after="0"/>
              <w:rPr>
                <w:sz w:val="20"/>
                <w:szCs w:val="20"/>
                <w:color w:val="auto"/>
              </w:rPr>
            </w:pPr>
            <w:r>
              <w:rPr>
                <w:rFonts w:ascii="Arial" w:cs="Arial" w:eastAsia="Arial" w:hAnsi="Arial"/>
                <w:sz w:val="22"/>
                <w:szCs w:val="22"/>
                <w:b w:val="1"/>
                <w:bCs w:val="1"/>
                <w:color w:val="auto"/>
              </w:rPr>
              <w:t>87</w:t>
            </w:r>
          </w:p>
        </w:tc>
      </w:tr>
      <w:tr>
        <w:trPr>
          <w:trHeight w:val="237"/>
        </w:trPr>
        <w:tc>
          <w:tcPr>
            <w:tcW w:w="2580" w:type="dxa"/>
            <w:vAlign w:val="bottom"/>
            <w:tcBorders>
              <w:top w:val="single" w:sz="8" w:color="auto"/>
              <w:bottom w:val="single" w:sz="8" w:color="auto"/>
            </w:tcBorders>
            <w:gridSpan w:val="7"/>
          </w:tcPr>
          <w:p>
            <w:pPr>
              <w:spacing w:after="0" w:line="237" w:lineRule="exact"/>
              <w:rPr>
                <w:sz w:val="20"/>
                <w:szCs w:val="20"/>
                <w:color w:val="auto"/>
              </w:rPr>
            </w:pPr>
            <w:r>
              <w:rPr>
                <w:rFonts w:ascii="Arial" w:cs="Arial" w:eastAsia="Arial" w:hAnsi="Arial"/>
                <w:sz w:val="22"/>
                <w:szCs w:val="22"/>
                <w:b w:val="1"/>
                <w:bCs w:val="1"/>
                <w:color w:val="auto"/>
                <w:w w:val="98"/>
              </w:rPr>
              <w:t>ELECTRONIC RECORDS</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r>
      <w:tr>
        <w:trPr>
          <w:trHeight w:val="399"/>
        </w:trPr>
        <w:tc>
          <w:tcPr>
            <w:tcW w:w="1300" w:type="dxa"/>
            <w:vAlign w:val="bottom"/>
            <w:gridSpan w:val="2"/>
          </w:tcPr>
          <w:p>
            <w:pPr>
              <w:ind w:left="660"/>
              <w:spacing w:after="0"/>
              <w:rPr>
                <w:sz w:val="20"/>
                <w:szCs w:val="20"/>
                <w:color w:val="auto"/>
              </w:rPr>
            </w:pPr>
            <w:r>
              <w:rPr>
                <w:rFonts w:ascii="Arial" w:cs="Arial" w:eastAsia="Arial" w:hAnsi="Arial"/>
                <w:sz w:val="22"/>
                <w:szCs w:val="22"/>
                <w:color w:val="auto"/>
              </w:rPr>
              <w:t>14.1.</w:t>
            </w:r>
          </w:p>
        </w:tc>
        <w:tc>
          <w:tcPr>
            <w:tcW w:w="320" w:type="dxa"/>
            <w:vAlign w:val="bottom"/>
          </w:tcPr>
          <w:p>
            <w:pPr>
              <w:spacing w:after="0"/>
              <w:rPr>
                <w:sz w:val="24"/>
                <w:szCs w:val="24"/>
                <w:color w:val="auto"/>
              </w:rPr>
            </w:pPr>
          </w:p>
        </w:tc>
        <w:tc>
          <w:tcPr>
            <w:tcW w:w="6080" w:type="dxa"/>
            <w:vAlign w:val="bottom"/>
            <w:gridSpan w:val="31"/>
          </w:tcPr>
          <w:p>
            <w:pPr>
              <w:spacing w:after="0"/>
              <w:rPr>
                <w:sz w:val="20"/>
                <w:szCs w:val="20"/>
                <w:color w:val="auto"/>
              </w:rPr>
            </w:pPr>
            <w:r>
              <w:rPr>
                <w:rFonts w:ascii="Arial" w:cs="Arial" w:eastAsia="Arial" w:hAnsi="Arial"/>
                <w:sz w:val="22"/>
                <w:szCs w:val="22"/>
                <w:color w:val="auto"/>
                <w:w w:val="81"/>
              </w:rPr>
              <w:t>Counterparts; Effectiveness .............................................................................</w:t>
            </w:r>
          </w:p>
        </w:tc>
        <w:tc>
          <w:tcPr>
            <w:tcW w:w="2140" w:type="dxa"/>
            <w:vAlign w:val="bottom"/>
          </w:tcPr>
          <w:p>
            <w:pPr>
              <w:jc w:val="right"/>
              <w:ind w:right="1292"/>
              <w:spacing w:after="0"/>
              <w:rPr>
                <w:sz w:val="20"/>
                <w:szCs w:val="20"/>
                <w:color w:val="auto"/>
              </w:rPr>
            </w:pPr>
            <w:r>
              <w:rPr>
                <w:rFonts w:ascii="Arial" w:cs="Arial" w:eastAsia="Arial" w:hAnsi="Arial"/>
                <w:sz w:val="22"/>
                <w:szCs w:val="22"/>
                <w:color w:val="auto"/>
              </w:rPr>
              <w:t>87</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1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800" w:type="dxa"/>
            <w:vAlign w:val="bottom"/>
            <w:gridSpan w:val="5"/>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60" w:type="dxa"/>
            <w:vAlign w:val="bottom"/>
            <w:gridSpan w:val="13"/>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14.2.</w:t>
            </w:r>
          </w:p>
        </w:tc>
        <w:tc>
          <w:tcPr>
            <w:tcW w:w="320" w:type="dxa"/>
            <w:vAlign w:val="bottom"/>
          </w:tcPr>
          <w:p>
            <w:pPr>
              <w:spacing w:after="0"/>
              <w:rPr>
                <w:sz w:val="20"/>
                <w:szCs w:val="20"/>
                <w:color w:val="auto"/>
              </w:rPr>
            </w:pPr>
          </w:p>
        </w:tc>
        <w:tc>
          <w:tcPr>
            <w:tcW w:w="6080" w:type="dxa"/>
            <w:vAlign w:val="bottom"/>
            <w:gridSpan w:val="31"/>
          </w:tcPr>
          <w:p>
            <w:pPr>
              <w:spacing w:after="0" w:line="237" w:lineRule="exact"/>
              <w:rPr>
                <w:sz w:val="20"/>
                <w:szCs w:val="20"/>
                <w:color w:val="auto"/>
              </w:rPr>
            </w:pPr>
            <w:r>
              <w:rPr>
                <w:rFonts w:ascii="Arial" w:cs="Arial" w:eastAsia="Arial" w:hAnsi="Arial"/>
                <w:sz w:val="22"/>
                <w:szCs w:val="22"/>
                <w:color w:val="auto"/>
                <w:w w:val="81"/>
              </w:rPr>
              <w:t>Electronic Execution of Assignments ..............................................................</w:t>
            </w:r>
          </w:p>
        </w:tc>
        <w:tc>
          <w:tcPr>
            <w:tcW w:w="2140" w:type="dxa"/>
            <w:vAlign w:val="bottom"/>
          </w:tcPr>
          <w:p>
            <w:pPr>
              <w:jc w:val="right"/>
              <w:ind w:right="1272"/>
              <w:spacing w:after="0" w:line="237" w:lineRule="exact"/>
              <w:rPr>
                <w:sz w:val="20"/>
                <w:szCs w:val="20"/>
                <w:color w:val="auto"/>
              </w:rPr>
            </w:pPr>
            <w:r>
              <w:rPr>
                <w:rFonts w:ascii="Arial" w:cs="Arial" w:eastAsia="Arial" w:hAnsi="Arial"/>
                <w:sz w:val="22"/>
                <w:szCs w:val="22"/>
                <w:color w:val="auto"/>
              </w:rPr>
              <w:t>88</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800" w:type="dxa"/>
            <w:vAlign w:val="bottom"/>
            <w:gridSpan w:val="5"/>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900" w:type="dxa"/>
            <w:vAlign w:val="bottom"/>
            <w:gridSpan w:val="5"/>
            <w:shd w:val="clear" w:color="auto" w:fill="000000"/>
          </w:tcPr>
          <w:p>
            <w:pPr>
              <w:spacing w:after="0" w:line="20" w:lineRule="exact"/>
              <w:rPr>
                <w:sz w:val="1"/>
                <w:szCs w:val="1"/>
                <w:color w:val="auto"/>
              </w:rPr>
            </w:pPr>
          </w:p>
        </w:tc>
        <w:tc>
          <w:tcPr>
            <w:tcW w:w="440" w:type="dxa"/>
            <w:vAlign w:val="bottom"/>
            <w:tcBorders>
              <w:left w:val="single" w:sz="8" w:color="auto"/>
            </w:tcBorders>
            <w:gridSpan w:val="3"/>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860" w:type="dxa"/>
            <w:vAlign w:val="bottom"/>
            <w:gridSpan w:val="13"/>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14.3.</w:t>
            </w:r>
          </w:p>
        </w:tc>
        <w:tc>
          <w:tcPr>
            <w:tcW w:w="320" w:type="dxa"/>
            <w:vAlign w:val="bottom"/>
          </w:tcPr>
          <w:p>
            <w:pPr>
              <w:spacing w:after="0"/>
              <w:rPr>
                <w:sz w:val="20"/>
                <w:szCs w:val="20"/>
                <w:color w:val="auto"/>
              </w:rPr>
            </w:pPr>
          </w:p>
        </w:tc>
        <w:tc>
          <w:tcPr>
            <w:tcW w:w="6080" w:type="dxa"/>
            <w:vAlign w:val="bottom"/>
            <w:gridSpan w:val="31"/>
          </w:tcPr>
          <w:p>
            <w:pPr>
              <w:spacing w:after="0" w:line="237" w:lineRule="exact"/>
              <w:rPr>
                <w:sz w:val="20"/>
                <w:szCs w:val="20"/>
                <w:color w:val="auto"/>
              </w:rPr>
            </w:pPr>
            <w:r>
              <w:rPr>
                <w:rFonts w:ascii="Arial" w:cs="Arial" w:eastAsia="Arial" w:hAnsi="Arial"/>
                <w:sz w:val="22"/>
                <w:szCs w:val="22"/>
                <w:color w:val="auto"/>
                <w:w w:val="81"/>
              </w:rPr>
              <w:t>Electronic Records ...........................................................................................</w:t>
            </w:r>
          </w:p>
        </w:tc>
        <w:tc>
          <w:tcPr>
            <w:tcW w:w="2140" w:type="dxa"/>
            <w:vAlign w:val="bottom"/>
          </w:tcPr>
          <w:p>
            <w:pPr>
              <w:jc w:val="right"/>
              <w:ind w:right="1272"/>
              <w:spacing w:after="0" w:line="237" w:lineRule="exact"/>
              <w:rPr>
                <w:sz w:val="20"/>
                <w:szCs w:val="20"/>
                <w:color w:val="auto"/>
              </w:rPr>
            </w:pPr>
            <w:r>
              <w:rPr>
                <w:rFonts w:ascii="Arial" w:cs="Arial" w:eastAsia="Arial" w:hAnsi="Arial"/>
                <w:sz w:val="22"/>
                <w:szCs w:val="22"/>
                <w:color w:val="auto"/>
              </w:rPr>
              <w:t>88</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1620" w:type="dxa"/>
            <w:vAlign w:val="bottom"/>
            <w:gridSpan w:val="3"/>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800" w:type="dxa"/>
            <w:vAlign w:val="bottom"/>
            <w:gridSpan w:val="5"/>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040" w:type="dxa"/>
            <w:vAlign w:val="bottom"/>
            <w:gridSpan w:val="14"/>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9"/>
        </w:trPr>
        <w:tc>
          <w:tcPr>
            <w:tcW w:w="7700" w:type="dxa"/>
            <w:vAlign w:val="bottom"/>
            <w:tcBorders>
              <w:bottom w:val="single" w:sz="8" w:color="auto"/>
            </w:tcBorders>
            <w:gridSpan w:val="34"/>
          </w:tcPr>
          <w:p>
            <w:pPr>
              <w:spacing w:after="0"/>
              <w:rPr>
                <w:sz w:val="20"/>
                <w:szCs w:val="20"/>
                <w:color w:val="auto"/>
              </w:rPr>
            </w:pPr>
            <w:r>
              <w:rPr>
                <w:rFonts w:ascii="Arial" w:cs="Arial" w:eastAsia="Arial" w:hAnsi="Arial"/>
                <w:sz w:val="22"/>
                <w:szCs w:val="22"/>
                <w:b w:val="1"/>
                <w:bCs w:val="1"/>
                <w:color w:val="auto"/>
                <w:w w:val="99"/>
              </w:rPr>
              <w:t>ARTICLE XV CHOICE OF LAW; CONSENT TO JURISDICTION; WAIVER OF</w:t>
            </w: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1800" w:type="dxa"/>
            <w:vAlign w:val="bottom"/>
            <w:tcBorders>
              <w:bottom w:val="single" w:sz="8" w:color="auto"/>
            </w:tcBorders>
            <w:gridSpan w:val="5"/>
          </w:tcPr>
          <w:p>
            <w:pPr>
              <w:spacing w:after="0" w:line="237" w:lineRule="exact"/>
              <w:rPr>
                <w:sz w:val="20"/>
                <w:szCs w:val="20"/>
                <w:color w:val="auto"/>
              </w:rPr>
            </w:pPr>
            <w:r>
              <w:rPr>
                <w:rFonts w:ascii="Arial" w:cs="Arial" w:eastAsia="Arial" w:hAnsi="Arial"/>
                <w:sz w:val="22"/>
                <w:szCs w:val="22"/>
                <w:b w:val="1"/>
                <w:bCs w:val="1"/>
                <w:color w:val="auto"/>
              </w:rPr>
              <w:t>JURY TRIAL   88</w:t>
            </w:r>
          </w:p>
        </w:tc>
        <w:tc>
          <w:tcPr>
            <w:tcW w:w="34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99"/>
        </w:trPr>
        <w:tc>
          <w:tcPr>
            <w:tcW w:w="1300" w:type="dxa"/>
            <w:vAlign w:val="bottom"/>
            <w:gridSpan w:val="2"/>
          </w:tcPr>
          <w:p>
            <w:pPr>
              <w:ind w:left="660"/>
              <w:spacing w:after="0"/>
              <w:rPr>
                <w:sz w:val="20"/>
                <w:szCs w:val="20"/>
                <w:color w:val="auto"/>
              </w:rPr>
            </w:pPr>
            <w:r>
              <w:rPr>
                <w:rFonts w:ascii="Arial" w:cs="Arial" w:eastAsia="Arial" w:hAnsi="Arial"/>
                <w:sz w:val="22"/>
                <w:szCs w:val="22"/>
                <w:b w:val="1"/>
                <w:bCs w:val="1"/>
                <w:i w:val="1"/>
                <w:iCs w:val="1"/>
                <w:color w:val="auto"/>
              </w:rPr>
              <w:t>15.1.</w:t>
            </w:r>
          </w:p>
        </w:tc>
        <w:tc>
          <w:tcPr>
            <w:tcW w:w="320" w:type="dxa"/>
            <w:vAlign w:val="bottom"/>
          </w:tcPr>
          <w:p>
            <w:pPr>
              <w:spacing w:after="0"/>
              <w:rPr>
                <w:sz w:val="24"/>
                <w:szCs w:val="24"/>
                <w:color w:val="auto"/>
              </w:rPr>
            </w:pPr>
          </w:p>
        </w:tc>
        <w:tc>
          <w:tcPr>
            <w:tcW w:w="6080" w:type="dxa"/>
            <w:vAlign w:val="bottom"/>
            <w:gridSpan w:val="31"/>
          </w:tcPr>
          <w:p>
            <w:pPr>
              <w:spacing w:after="0"/>
              <w:rPr>
                <w:sz w:val="20"/>
                <w:szCs w:val="20"/>
                <w:color w:val="auto"/>
              </w:rPr>
            </w:pPr>
            <w:r>
              <w:rPr>
                <w:rFonts w:ascii="Arial" w:cs="Arial" w:eastAsia="Arial" w:hAnsi="Arial"/>
                <w:sz w:val="22"/>
                <w:szCs w:val="22"/>
                <w:b w:val="1"/>
                <w:bCs w:val="1"/>
                <w:i w:val="1"/>
                <w:iCs w:val="1"/>
                <w:color w:val="auto"/>
                <w:w w:val="82"/>
              </w:rPr>
              <w:t xml:space="preserve">CHOICE OF LAW </w:t>
            </w:r>
            <w:r>
              <w:rPr>
                <w:rFonts w:ascii="Arial" w:cs="Arial" w:eastAsia="Arial" w:hAnsi="Arial"/>
                <w:sz w:val="22"/>
                <w:szCs w:val="22"/>
                <w:color w:val="auto"/>
                <w:w w:val="82"/>
              </w:rPr>
              <w:t>..........................................................................................</w:t>
            </w:r>
          </w:p>
        </w:tc>
        <w:tc>
          <w:tcPr>
            <w:tcW w:w="2140" w:type="dxa"/>
            <w:vAlign w:val="bottom"/>
          </w:tcPr>
          <w:p>
            <w:pPr>
              <w:jc w:val="right"/>
              <w:ind w:right="1292"/>
              <w:spacing w:after="0"/>
              <w:rPr>
                <w:sz w:val="20"/>
                <w:szCs w:val="20"/>
                <w:color w:val="auto"/>
              </w:rPr>
            </w:pPr>
            <w:r>
              <w:rPr>
                <w:rFonts w:ascii="Arial" w:cs="Arial" w:eastAsia="Arial" w:hAnsi="Arial"/>
                <w:sz w:val="22"/>
                <w:szCs w:val="22"/>
                <w:i w:val="1"/>
                <w:iCs w:val="1"/>
                <w:color w:val="auto"/>
              </w:rPr>
              <w:t>88</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1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gridSpan w:val="9"/>
            <w:shd w:val="clear" w:color="auto" w:fill="000000"/>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040" w:type="dxa"/>
            <w:vAlign w:val="bottom"/>
            <w:gridSpan w:val="14"/>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b w:val="1"/>
                <w:bCs w:val="1"/>
                <w:color w:val="auto"/>
              </w:rPr>
              <w:t>15.2.</w:t>
            </w:r>
          </w:p>
        </w:tc>
        <w:tc>
          <w:tcPr>
            <w:tcW w:w="320" w:type="dxa"/>
            <w:vAlign w:val="bottom"/>
          </w:tcPr>
          <w:p>
            <w:pPr>
              <w:spacing w:after="0"/>
              <w:rPr>
                <w:sz w:val="20"/>
                <w:szCs w:val="20"/>
                <w:color w:val="auto"/>
              </w:rPr>
            </w:pPr>
          </w:p>
        </w:tc>
        <w:tc>
          <w:tcPr>
            <w:tcW w:w="6080" w:type="dxa"/>
            <w:vAlign w:val="bottom"/>
            <w:gridSpan w:val="31"/>
          </w:tcPr>
          <w:p>
            <w:pPr>
              <w:spacing w:after="0" w:line="237" w:lineRule="exact"/>
              <w:rPr>
                <w:sz w:val="20"/>
                <w:szCs w:val="20"/>
                <w:color w:val="auto"/>
              </w:rPr>
            </w:pPr>
            <w:r>
              <w:rPr>
                <w:rFonts w:ascii="Arial" w:cs="Arial" w:eastAsia="Arial" w:hAnsi="Arial"/>
                <w:sz w:val="22"/>
                <w:szCs w:val="22"/>
                <w:b w:val="1"/>
                <w:bCs w:val="1"/>
                <w:color w:val="auto"/>
                <w:w w:val="85"/>
              </w:rPr>
              <w:t xml:space="preserve">CONSENT TO JURISDICTION </w:t>
            </w:r>
            <w:r>
              <w:rPr>
                <w:rFonts w:ascii="Arial" w:cs="Arial" w:eastAsia="Arial" w:hAnsi="Arial"/>
                <w:sz w:val="22"/>
                <w:szCs w:val="22"/>
                <w:color w:val="auto"/>
                <w:w w:val="85"/>
              </w:rPr>
              <w:t>.................................................................</w:t>
            </w:r>
          </w:p>
        </w:tc>
        <w:tc>
          <w:tcPr>
            <w:tcW w:w="2140" w:type="dxa"/>
            <w:vAlign w:val="bottom"/>
          </w:tcPr>
          <w:p>
            <w:pPr>
              <w:jc w:val="right"/>
              <w:ind w:right="1292"/>
              <w:spacing w:after="0" w:line="237" w:lineRule="exact"/>
              <w:rPr>
                <w:sz w:val="20"/>
                <w:szCs w:val="20"/>
                <w:color w:val="auto"/>
              </w:rPr>
            </w:pPr>
            <w:r>
              <w:rPr>
                <w:rFonts w:ascii="Arial" w:cs="Arial" w:eastAsia="Arial" w:hAnsi="Arial"/>
                <w:sz w:val="22"/>
                <w:szCs w:val="22"/>
                <w:color w:val="auto"/>
              </w:rPr>
              <w:t>88</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gridSpan w:val="14"/>
            <w:shd w:val="clear" w:color="auto" w:fill="000000"/>
          </w:tcPr>
          <w:p>
            <w:pPr>
              <w:spacing w:after="0" w:line="20" w:lineRule="exact"/>
              <w:rPr>
                <w:sz w:val="1"/>
                <w:szCs w:val="1"/>
                <w:color w:val="auto"/>
              </w:rPr>
            </w:pPr>
          </w:p>
        </w:tc>
        <w:tc>
          <w:tcPr>
            <w:tcW w:w="440" w:type="dxa"/>
            <w:vAlign w:val="bottom"/>
            <w:tcBorders>
              <w:left w:val="single" w:sz="8" w:color="auto"/>
            </w:tcBorders>
            <w:gridSpan w:val="3"/>
            <w:shd w:val="clear" w:color="auto" w:fill="000000"/>
          </w:tcPr>
          <w:p>
            <w:pPr>
              <w:spacing w:after="0" w:line="20" w:lineRule="exact"/>
              <w:rPr>
                <w:sz w:val="1"/>
                <w:szCs w:val="1"/>
                <w:color w:val="auto"/>
              </w:rPr>
            </w:pPr>
          </w:p>
        </w:tc>
        <w:tc>
          <w:tcPr>
            <w:tcW w:w="3040" w:type="dxa"/>
            <w:vAlign w:val="bottom"/>
            <w:gridSpan w:val="14"/>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b w:val="1"/>
                <w:bCs w:val="1"/>
                <w:color w:val="auto"/>
              </w:rPr>
              <w:t>15.3.</w:t>
            </w:r>
          </w:p>
        </w:tc>
        <w:tc>
          <w:tcPr>
            <w:tcW w:w="320" w:type="dxa"/>
            <w:vAlign w:val="bottom"/>
          </w:tcPr>
          <w:p>
            <w:pPr>
              <w:spacing w:after="0"/>
              <w:rPr>
                <w:sz w:val="20"/>
                <w:szCs w:val="20"/>
                <w:color w:val="auto"/>
              </w:rPr>
            </w:pPr>
          </w:p>
        </w:tc>
        <w:tc>
          <w:tcPr>
            <w:tcW w:w="6080" w:type="dxa"/>
            <w:vAlign w:val="bottom"/>
            <w:gridSpan w:val="31"/>
          </w:tcPr>
          <w:p>
            <w:pPr>
              <w:spacing w:after="0" w:line="237" w:lineRule="exact"/>
              <w:rPr>
                <w:sz w:val="20"/>
                <w:szCs w:val="20"/>
                <w:color w:val="auto"/>
              </w:rPr>
            </w:pPr>
            <w:r>
              <w:rPr>
                <w:rFonts w:ascii="Arial" w:cs="Arial" w:eastAsia="Arial" w:hAnsi="Arial"/>
                <w:sz w:val="22"/>
                <w:szCs w:val="22"/>
                <w:b w:val="1"/>
                <w:bCs w:val="1"/>
                <w:color w:val="auto"/>
                <w:w w:val="84"/>
              </w:rPr>
              <w:t xml:space="preserve">WAIVER OF JURY TRIAL </w:t>
            </w:r>
            <w:r>
              <w:rPr>
                <w:rFonts w:ascii="Arial" w:cs="Arial" w:eastAsia="Arial" w:hAnsi="Arial"/>
                <w:sz w:val="22"/>
                <w:szCs w:val="22"/>
                <w:color w:val="auto"/>
                <w:w w:val="84"/>
              </w:rPr>
              <w:t>.........................................................................</w:t>
            </w:r>
          </w:p>
        </w:tc>
        <w:tc>
          <w:tcPr>
            <w:tcW w:w="2140" w:type="dxa"/>
            <w:vAlign w:val="bottom"/>
          </w:tcPr>
          <w:p>
            <w:pPr>
              <w:jc w:val="right"/>
              <w:ind w:right="1292"/>
              <w:spacing w:after="0" w:line="237" w:lineRule="exact"/>
              <w:rPr>
                <w:sz w:val="20"/>
                <w:szCs w:val="20"/>
                <w:color w:val="auto"/>
              </w:rPr>
            </w:pPr>
            <w:r>
              <w:rPr>
                <w:rFonts w:ascii="Arial" w:cs="Arial" w:eastAsia="Arial" w:hAnsi="Arial"/>
                <w:sz w:val="22"/>
                <w:szCs w:val="22"/>
                <w:color w:val="auto"/>
              </w:rPr>
              <w:t>89</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gridSpan w:val="14"/>
            <w:shd w:val="clear" w:color="auto" w:fill="000000"/>
          </w:tcPr>
          <w:p>
            <w:pPr>
              <w:spacing w:after="0" w:line="20" w:lineRule="exact"/>
              <w:rPr>
                <w:sz w:val="1"/>
                <w:szCs w:val="1"/>
                <w:color w:val="auto"/>
              </w:rPr>
            </w:pPr>
          </w:p>
        </w:tc>
        <w:tc>
          <w:tcPr>
            <w:tcW w:w="3480" w:type="dxa"/>
            <w:vAlign w:val="bottom"/>
            <w:gridSpan w:val="17"/>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15.4.</w:t>
            </w:r>
          </w:p>
        </w:tc>
        <w:tc>
          <w:tcPr>
            <w:tcW w:w="320" w:type="dxa"/>
            <w:vAlign w:val="bottom"/>
          </w:tcPr>
          <w:p>
            <w:pPr>
              <w:spacing w:after="0"/>
              <w:rPr>
                <w:sz w:val="20"/>
                <w:szCs w:val="20"/>
                <w:color w:val="auto"/>
              </w:rPr>
            </w:pPr>
          </w:p>
        </w:tc>
        <w:tc>
          <w:tcPr>
            <w:tcW w:w="6080" w:type="dxa"/>
            <w:vAlign w:val="bottom"/>
            <w:gridSpan w:val="31"/>
          </w:tcPr>
          <w:p>
            <w:pPr>
              <w:spacing w:after="0" w:line="237" w:lineRule="exact"/>
              <w:rPr>
                <w:sz w:val="20"/>
                <w:szCs w:val="20"/>
                <w:color w:val="auto"/>
              </w:rPr>
            </w:pPr>
            <w:r>
              <w:rPr>
                <w:rFonts w:ascii="Arial" w:cs="Arial" w:eastAsia="Arial" w:hAnsi="Arial"/>
                <w:sz w:val="22"/>
                <w:szCs w:val="22"/>
                <w:color w:val="auto"/>
                <w:w w:val="81"/>
              </w:rPr>
              <w:t>Judicial Reference Agreement .........................................................................</w:t>
            </w:r>
          </w:p>
        </w:tc>
        <w:tc>
          <w:tcPr>
            <w:tcW w:w="2140" w:type="dxa"/>
            <w:vAlign w:val="bottom"/>
          </w:tcPr>
          <w:p>
            <w:pPr>
              <w:jc w:val="right"/>
              <w:ind w:right="1292"/>
              <w:spacing w:after="0" w:line="237" w:lineRule="exact"/>
              <w:rPr>
                <w:sz w:val="20"/>
                <w:szCs w:val="20"/>
                <w:color w:val="auto"/>
              </w:rPr>
            </w:pPr>
            <w:r>
              <w:rPr>
                <w:rFonts w:ascii="Arial" w:cs="Arial" w:eastAsia="Arial" w:hAnsi="Arial"/>
                <w:sz w:val="22"/>
                <w:szCs w:val="22"/>
                <w:color w:val="auto"/>
              </w:rPr>
              <w:t>89</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ectPr>
          <w:pgSz w:w="11900" w:h="16838" w:orient="portrait"/>
          <w:cols w:equalWidth="0" w:num="1">
            <w:col w:w="11340"/>
          </w:cols>
          <w:pgMar w:left="320" w:top="508" w:right="239" w:bottom="1440" w:gutter="0" w:footer="0" w:header="0"/>
        </w:sectPr>
      </w:pPr>
    </w:p>
    <w:bookmarkStart w:id="115" w:name="page116"/>
    <w:bookmarkEnd w:id="115"/>
    <w:p>
      <w:pPr>
        <w:spacing w:after="0"/>
        <w:rPr>
          <w:sz w:val="20"/>
          <w:szCs w:val="20"/>
          <w:color w:val="auto"/>
        </w:rPr>
      </w:pPr>
      <w:r>
        <w:rPr>
          <w:rFonts w:ascii="Arial" w:cs="Arial" w:eastAsia="Arial" w:hAnsi="Arial"/>
          <w:sz w:val="22"/>
          <w:szCs w:val="22"/>
          <w:b w:val="1"/>
          <w:bCs w:val="1"/>
          <w:u w:val="single" w:color="auto"/>
          <w:color w:val="auto"/>
        </w:rPr>
        <w:t>SCHEDULES</w:t>
      </w:r>
    </w:p>
    <w:p>
      <w:pPr>
        <w:spacing w:after="0" w:line="368" w:lineRule="exact"/>
        <w:rPr>
          <w:sz w:val="20"/>
          <w:szCs w:val="20"/>
          <w:color w:val="auto"/>
        </w:rPr>
      </w:pPr>
    </w:p>
    <w:p>
      <w:pPr>
        <w:spacing w:after="0" w:line="630" w:lineRule="auto"/>
        <w:rPr>
          <w:sz w:val="20"/>
          <w:szCs w:val="20"/>
          <w:color w:val="auto"/>
        </w:rPr>
      </w:pPr>
      <w:r>
        <w:rPr>
          <w:rFonts w:ascii="Arial" w:cs="Arial" w:eastAsia="Arial" w:hAnsi="Arial"/>
          <w:sz w:val="19"/>
          <w:szCs w:val="19"/>
          <w:b w:val="1"/>
          <w:bCs w:val="1"/>
          <w:color w:val="auto"/>
        </w:rPr>
        <w:t>SCHEDULE 1 – Pricing Schedule SCHEDULE 2 – Revolving Commitments SCHEDULE 5.12 – Properties SCHEDULE 5.24 – Subsidiaries SCHEDULE 6.11 – Indebtedness SCHEDULE 6.14 – Investments SCHEDULE 6.16 - Liens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EXHIBITS</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A – Form of Opinion</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B – Form of Compliance Certificate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C – Form of Assignment and Assumption Agreement EXHIBIT D-1 – Form of Borrowing Notice</w:t>
      </w:r>
    </w:p>
    <w:p>
      <w:pPr>
        <w:spacing w:after="0" w:line="274" w:lineRule="exact"/>
        <w:rPr>
          <w:sz w:val="20"/>
          <w:szCs w:val="20"/>
          <w:color w:val="auto"/>
        </w:rPr>
      </w:pPr>
    </w:p>
    <w:p>
      <w:pPr>
        <w:ind w:right="3160"/>
        <w:spacing w:after="0" w:line="410" w:lineRule="auto"/>
        <w:rPr>
          <w:sz w:val="20"/>
          <w:szCs w:val="20"/>
          <w:color w:val="auto"/>
        </w:rPr>
      </w:pPr>
      <w:r>
        <w:rPr>
          <w:rFonts w:ascii="Arial" w:cs="Arial" w:eastAsia="Arial" w:hAnsi="Arial"/>
          <w:sz w:val="22"/>
          <w:szCs w:val="22"/>
          <w:b w:val="1"/>
          <w:bCs w:val="1"/>
          <w:color w:val="auto"/>
        </w:rPr>
        <w:t>EXHIBIT D-2 – Form of Conversion/Continuation Notice EXHIBIT E – Form of Note EXHIBIT F – List of Closing Documents</w:t>
      </w:r>
    </w:p>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36" w:right="459" w:bottom="1440" w:gutter="0" w:footer="0" w:header="0"/>
        </w:sectPr>
      </w:pPr>
    </w:p>
    <w:bookmarkStart w:id="116" w:name="page117"/>
    <w:bookmarkEnd w:id="116"/>
    <w:p>
      <w:pPr>
        <w:ind w:left="1100"/>
        <w:spacing w:after="0"/>
        <w:rPr>
          <w:sz w:val="20"/>
          <w:szCs w:val="20"/>
          <w:color w:val="auto"/>
        </w:rPr>
      </w:pPr>
      <w:r>
        <w:rPr>
          <w:rFonts w:ascii="Arial" w:cs="Arial" w:eastAsia="Arial" w:hAnsi="Arial"/>
          <w:sz w:val="22"/>
          <w:szCs w:val="22"/>
          <w:b w:val="1"/>
          <w:bCs w:val="1"/>
          <w:color w:val="auto"/>
        </w:rPr>
        <w:t>SECOND AMENDED AND RESTATED CREDIT AGREEMENT</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Second Amended and Restated Credit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October 27, 2017, is by and among Universal Electronics Inc., a corporation organized under the laws of the State of Delaware, the Lenders from time to time party hereto, and U.S. Bank National Association, a national banking association, as Administrative Agent, Sole Lead Arranger and Sole Book Runner.</w:t>
      </w:r>
    </w:p>
    <w:p>
      <w:pPr>
        <w:spacing w:after="0" w:line="229" w:lineRule="exact"/>
        <w:rPr>
          <w:sz w:val="20"/>
          <w:szCs w:val="20"/>
          <w:color w:val="auto"/>
        </w:rPr>
      </w:pPr>
    </w:p>
    <w:p>
      <w:pPr>
        <w:jc w:val="both"/>
        <w:ind w:firstLine="644"/>
        <w:spacing w:after="0" w:line="288" w:lineRule="auto"/>
        <w:tabs>
          <w:tab w:leader="none" w:pos="1507"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Borrower and U.S. Bank National Association have entered into an Amended and Restated Credit Agreement dated as of October 2, 2012, as amended by the First Amendment to Amended and Restated Credit Agreement dated as of October 9, 2014, the Second Amendment to Amended and Restated Credit Agreement dated as of September 3, 2015, the Third Amendment to Amended and Restated Credit Agreement dated as of November 10, 2015, the Fourth Amendment to Amended and Restated Credit Agreement dated as of February 3, 2016, the Fifth Amendment to Amended and Restated Credit Agreement dated as of September 19, 2016, the Sixth Amendment to Amended and Restated Credit Agreement dated as of January 18, 2017, the Seventh Amendment to Amended and Restated Credit Agreement dated as of April 14, 2017, the Eighth Amendment to Amended and Restated Credit Agreement dated as of May 5, 2017 and the Ninth Amendment to Amended and Restated Credit Agreement dated as of June 20, 2017 (collectively, as amended, restated, supplemented, or otherwise modified prior to the date hereof, the “</w:t>
      </w:r>
      <w:r>
        <w:rPr>
          <w:rFonts w:ascii="Arial" w:cs="Arial" w:eastAsia="Arial" w:hAnsi="Arial"/>
          <w:sz w:val="19"/>
          <w:szCs w:val="19"/>
          <w:u w:val="single" w:color="auto"/>
          <w:color w:val="auto"/>
        </w:rPr>
        <w:t>Prior Credit Agreement</w:t>
      </w:r>
      <w:r>
        <w:rPr>
          <w:rFonts w:ascii="Arial" w:cs="Arial" w:eastAsia="Arial" w:hAnsi="Arial"/>
          <w:sz w:val="19"/>
          <w:szCs w:val="19"/>
          <w:color w:val="auto"/>
        </w:rPr>
        <w:t>”).</w:t>
      </w:r>
    </w:p>
    <w:p>
      <w:pPr>
        <w:spacing w:after="0" w:line="146" w:lineRule="exact"/>
        <w:rPr>
          <w:rFonts w:ascii="Arial" w:cs="Arial" w:eastAsia="Arial" w:hAnsi="Arial"/>
          <w:sz w:val="19"/>
          <w:szCs w:val="19"/>
          <w:color w:val="auto"/>
        </w:rPr>
      </w:pPr>
    </w:p>
    <w:p>
      <w:pPr>
        <w:ind w:right="20" w:firstLine="644"/>
        <w:spacing w:after="0" w:line="263" w:lineRule="auto"/>
        <w:tabs>
          <w:tab w:leader="none" w:pos="1495"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Borrower and U.S. Bank National Association have agreed to amend and restate the Prior Credit Agreement in its entirety with this Agreement on the terms and subject to the conditions set forth herein.</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mutual promises herein set forth and for other good and valuable consideration, the he parties hereto agree as follows:</w:t>
      </w:r>
    </w:p>
    <w:p>
      <w:pPr>
        <w:spacing w:after="0" w:line="200" w:lineRule="exact"/>
        <w:rPr>
          <w:sz w:val="20"/>
          <w:szCs w:val="20"/>
          <w:color w:val="auto"/>
        </w:rPr>
      </w:pPr>
    </w:p>
    <w:p>
      <w:pPr>
        <w:spacing w:after="0" w:line="388" w:lineRule="exact"/>
        <w:rPr>
          <w:sz w:val="20"/>
          <w:szCs w:val="20"/>
          <w:color w:val="auto"/>
        </w:rPr>
      </w:pPr>
    </w:p>
    <w:p>
      <w:pPr>
        <w:jc w:val="center"/>
        <w:ind w:left="2360"/>
        <w:spacing w:after="0"/>
        <w:rPr>
          <w:sz w:val="20"/>
          <w:szCs w:val="20"/>
          <w:color w:val="auto"/>
        </w:rPr>
      </w:pPr>
      <w:r>
        <w:rPr>
          <w:rFonts w:ascii="Arial" w:cs="Arial" w:eastAsia="Arial" w:hAnsi="Arial"/>
          <w:sz w:val="22"/>
          <w:szCs w:val="22"/>
          <w:b w:val="1"/>
          <w:bCs w:val="1"/>
          <w:u w:val="single" w:color="auto"/>
          <w:color w:val="auto"/>
        </w:rPr>
        <w:t>ARTICLE I</w:t>
      </w:r>
    </w:p>
    <w:p>
      <w:pPr>
        <w:spacing w:after="0" w:line="260" w:lineRule="exact"/>
        <w:rPr>
          <w:sz w:val="20"/>
          <w:szCs w:val="20"/>
          <w:color w:val="auto"/>
        </w:rPr>
      </w:pPr>
    </w:p>
    <w:p>
      <w:pPr>
        <w:ind w:left="6060"/>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380"/>
        <w:spacing w:after="0"/>
        <w:tabs>
          <w:tab w:leader="none" w:pos="18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As used in this Agreement:</w:t>
      </w:r>
    </w:p>
    <w:p>
      <w:pPr>
        <w:spacing w:after="0" w:line="26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“Acquisition” means any transaction, or any series of related transactions, consummated on or after the date of this Agreement, by which the Borrower or any of its Subsidiaries (i) acquires any going-concern business or all or substantially all of the assets of any firm, corporation or limited liability company, or division thereof, whether through purchase of assets, merger or otherwise or (ii) directly or indirectly acquires (in one transaction or as the most recent transaction in a series of transactions) at least a majority (in number of votes) of the securities of a corporation which have ordinary voting power for the election of directors (other than securities having such power only</w:t>
      </w:r>
    </w:p>
    <w:p>
      <w:pPr>
        <w:spacing w:after="0" w:line="18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00"/>
          </w:cols>
          <w:pgMar w:left="360" w:top="436" w:right="239" w:bottom="1440" w:gutter="0" w:footer="0" w:header="0"/>
        </w:sectPr>
      </w:pPr>
    </w:p>
    <w:bookmarkStart w:id="117" w:name="page118"/>
    <w:bookmarkEnd w:id="117"/>
    <w:p>
      <w:pPr>
        <w:ind w:left="40"/>
        <w:spacing w:after="0" w:line="263" w:lineRule="auto"/>
        <w:rPr>
          <w:sz w:val="20"/>
          <w:szCs w:val="20"/>
          <w:color w:val="auto"/>
        </w:rPr>
      </w:pPr>
      <w:r>
        <w:rPr>
          <w:rFonts w:ascii="Arial" w:cs="Arial" w:eastAsia="Arial" w:hAnsi="Arial"/>
          <w:sz w:val="22"/>
          <w:szCs w:val="22"/>
          <w:color w:val="auto"/>
        </w:rPr>
        <w:t>by reason of the happening of a contingency) or a majority (by percentage or voting power) of the outstanding ownership interests of a partnership or limited liability company.</w:t>
      </w:r>
    </w:p>
    <w:p>
      <w:pPr>
        <w:spacing w:after="0" w:line="35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“Administrative Agent” means U.S. Bank in its capacity as contractual representative of the Lenders pursuant to Article X, and not in its individual capacity as a Lender, and any successor Administrative Agent appointed pursuant to Article X.</w:t>
      </w:r>
    </w:p>
    <w:p>
      <w:pPr>
        <w:spacing w:after="0" w:line="145" w:lineRule="exact"/>
        <w:rPr>
          <w:sz w:val="20"/>
          <w:szCs w:val="20"/>
          <w:color w:val="auto"/>
        </w:rPr>
      </w:pPr>
    </w:p>
    <w:p>
      <w:pPr>
        <w:jc w:val="both"/>
        <w:ind w:firstLine="702"/>
        <w:spacing w:after="0" w:line="265" w:lineRule="auto"/>
        <w:rPr>
          <w:sz w:val="20"/>
          <w:szCs w:val="20"/>
          <w:color w:val="auto"/>
        </w:rPr>
      </w:pPr>
      <w:r>
        <w:rPr>
          <w:rFonts w:ascii="Arial" w:cs="Arial" w:eastAsia="Arial" w:hAnsi="Arial"/>
          <w:sz w:val="21"/>
          <w:szCs w:val="21"/>
          <w:color w:val="auto"/>
        </w:rPr>
        <w:t>“Advance” means a borrowing hereunder, (i) made by some or all of the Lenders on the same Borrowing Date, or (ii) converted or continued by the Lenders on the same date of conversion or continuation, consisting, in either case, of the aggregate amount of the several Loans of the same Type and, in the case of Eurocurrency Loans, for the same Interest Period. The term “Advance” shall include Swing Line Loans unless otherwise expressly provided.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“Affected Lender” is defined in Section 2.20.</w:t>
      </w:r>
    </w:p>
    <w:p>
      <w:pPr>
        <w:spacing w:after="0" w:line="26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“Affiliate” of any Person means any other Person directly or indirectly controlling, controlled by or under common control with such Person, including, without limitation, such Person’s Subsidiaries. A Person shall be deemed to control another Person if the controlling Person owns 10% or more of any class of Equity Interests of the controlled Person or possesses, directly or indirectly, the power to direct or cause the direction of the management or policies of the controlled Person, whether through ownership of Equity Interests, by contract or otherwise.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“Aggregate Revolving Commitment” means, at any time, the aggregate of the Revolving Commitments of all the Lenders.</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“Aggregate Revolving Exposure” means, at any time, the aggregate of the Revolving Exposure of all the Lenders.</w:t>
      </w:r>
    </w:p>
    <w:p>
      <w:pPr>
        <w:spacing w:after="0" w:line="27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“Agreement” means this Second Amended and Restated Credit Agreement, as it may be amended or modified and in effect from time to time.</w:t>
      </w:r>
    </w:p>
    <w:p>
      <w:pPr>
        <w:spacing w:after="0" w:line="21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“Alternate Base Rate” means, for any day, a rate of interest per annum equal to the highest of (i) 0.0%, (ii) the Prime Rate for such day, (iii) the sum of the Federal Funds Effective Rate for such day </w:t>
      </w:r>
      <w:r>
        <w:rPr>
          <w:rFonts w:ascii="Arial" w:cs="Arial" w:eastAsia="Arial" w:hAnsi="Arial"/>
          <w:sz w:val="22"/>
          <w:szCs w:val="22"/>
          <w:i w:val="1"/>
          <w:iCs w:val="1"/>
          <w:color w:val="auto"/>
        </w:rPr>
        <w:t>plus</w:t>
      </w:r>
      <w:r>
        <w:rPr>
          <w:rFonts w:ascii="Arial" w:cs="Arial" w:eastAsia="Arial" w:hAnsi="Arial"/>
          <w:sz w:val="22"/>
          <w:szCs w:val="22"/>
          <w:color w:val="auto"/>
        </w:rPr>
        <w:t xml:space="preserve"> 0.50% per annum and (iv) the Eurocurrency Rate (without giving effect to the Applicable Margin) for a one month Interest Period on such day (or if such day is not a Business Day, the immediately preceding Business Day) for Dollars </w:t>
      </w:r>
      <w:r>
        <w:rPr>
          <w:rFonts w:ascii="Arial" w:cs="Arial" w:eastAsia="Arial" w:hAnsi="Arial"/>
          <w:sz w:val="22"/>
          <w:szCs w:val="22"/>
          <w:i w:val="1"/>
          <w:iCs w:val="1"/>
          <w:color w:val="auto"/>
        </w:rPr>
        <w:t>plus</w:t>
      </w:r>
      <w:r>
        <w:rPr>
          <w:rFonts w:ascii="Arial" w:cs="Arial" w:eastAsia="Arial" w:hAnsi="Arial"/>
          <w:sz w:val="22"/>
          <w:szCs w:val="22"/>
          <w:color w:val="auto"/>
        </w:rPr>
        <w:t xml:space="preserve"> 1.00%,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for the avoidance of doubt, the Eurocurrency Rate for any day shall be based on the rate reported by the applicable financial information service at approximately 11:00 a.m. London time on such day.</w:t>
      </w:r>
    </w:p>
    <w:p>
      <w:pPr>
        <w:spacing w:after="0" w:line="23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“Anti-Corruption Laws” means all laws, rules, and regulations of any jurisdiction applicable to the Borrower or its Subsidiaries from time to time concerning or relating to bribery or corruption.</w:t>
      </w:r>
    </w:p>
    <w:p>
      <w:pPr>
        <w:spacing w:after="0" w:line="67"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 xml:space="preserve">“Applicable Margin” means, with respect to Advances of any Type at any time, the percentage rate per annum which is applicable at such time with respect to Advances of such Type as set forth in the Pricing Schedule attached hereto as </w:t>
      </w:r>
      <w:r>
        <w:rPr>
          <w:rFonts w:ascii="Arial" w:cs="Arial" w:eastAsia="Arial" w:hAnsi="Arial"/>
          <w:sz w:val="19"/>
          <w:szCs w:val="19"/>
          <w:u w:val="single" w:color="auto"/>
          <w:color w:val="auto"/>
        </w:rPr>
        <w:t>Schedule 1</w:t>
      </w:r>
      <w:r>
        <w:rPr>
          <w:rFonts w:ascii="Arial" w:cs="Arial" w:eastAsia="Arial" w:hAnsi="Arial"/>
          <w:sz w:val="19"/>
          <w:szCs w:val="19"/>
          <w:color w:val="auto"/>
        </w:rPr>
        <w:t>.</w:t>
      </w:r>
    </w:p>
    <w:p>
      <w:pPr>
        <w:spacing w:after="0" w:line="26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320" w:top="375" w:right="239" w:bottom="1440" w:gutter="0" w:footer="0" w:header="0"/>
        </w:sectPr>
      </w:pPr>
    </w:p>
    <w:bookmarkStart w:id="118" w:name="page119"/>
    <w:bookmarkEnd w:id="118"/>
    <w:p>
      <w:pPr>
        <w:ind w:firstLine="648"/>
        <w:spacing w:after="0" w:line="263" w:lineRule="auto"/>
        <w:rPr>
          <w:sz w:val="20"/>
          <w:szCs w:val="20"/>
          <w:color w:val="auto"/>
        </w:rPr>
      </w:pPr>
      <w:r>
        <w:rPr>
          <w:rFonts w:ascii="Arial" w:cs="Arial" w:eastAsia="Arial" w:hAnsi="Arial"/>
          <w:sz w:val="22"/>
          <w:szCs w:val="22"/>
          <w:color w:val="auto"/>
        </w:rPr>
        <w:t>“Approved Fund” means any Fund that is administered or managed by (a) a Lender, (b) an Affiliate of a Lender or (c) an entity or an Affiliate of an entity that administers or manages a Lender.</w:t>
      </w:r>
    </w:p>
    <w:p>
      <w:pPr>
        <w:spacing w:after="0" w:line="256" w:lineRule="exact"/>
        <w:rPr>
          <w:sz w:val="20"/>
          <w:szCs w:val="20"/>
          <w:color w:val="auto"/>
        </w:rPr>
      </w:pPr>
    </w:p>
    <w:p>
      <w:pPr>
        <w:ind w:left="680"/>
        <w:spacing w:after="0"/>
        <w:rPr>
          <w:sz w:val="20"/>
          <w:szCs w:val="20"/>
          <w:color w:val="auto"/>
        </w:rPr>
      </w:pPr>
      <w:r>
        <w:rPr>
          <w:rFonts w:ascii="Arial" w:cs="Arial" w:eastAsia="Arial" w:hAnsi="Arial"/>
          <w:sz w:val="21"/>
          <w:szCs w:val="21"/>
          <w:color w:val="auto"/>
        </w:rPr>
        <w:t>“Arranger” means U.S. Bank, and its successors, in its capacity as Sole Lead Arranger and Sole Book Runner.</w:t>
      </w:r>
    </w:p>
    <w:p>
      <w:pPr>
        <w:spacing w:after="0" w:line="272" w:lineRule="exact"/>
        <w:rPr>
          <w:sz w:val="20"/>
          <w:szCs w:val="20"/>
          <w:color w:val="auto"/>
        </w:rPr>
      </w:pPr>
    </w:p>
    <w:p>
      <w:pPr>
        <w:ind w:left="680"/>
        <w:spacing w:after="0"/>
        <w:rPr>
          <w:sz w:val="20"/>
          <w:szCs w:val="20"/>
          <w:color w:val="auto"/>
        </w:rPr>
      </w:pPr>
      <w:r>
        <w:rPr>
          <w:rFonts w:ascii="Arial" w:cs="Arial" w:eastAsia="Arial" w:hAnsi="Arial"/>
          <w:sz w:val="22"/>
          <w:szCs w:val="22"/>
          <w:color w:val="auto"/>
        </w:rPr>
        <w:t>“Article” means an article of this Agreement unless another document is specifically referenced.</w:t>
      </w:r>
    </w:p>
    <w:p>
      <w:pPr>
        <w:spacing w:after="0" w:line="260" w:lineRule="exact"/>
        <w:rPr>
          <w:sz w:val="20"/>
          <w:szCs w:val="20"/>
          <w:color w:val="auto"/>
        </w:rPr>
      </w:pPr>
    </w:p>
    <w:p>
      <w:pPr>
        <w:ind w:left="680"/>
        <w:spacing w:after="0"/>
        <w:rPr>
          <w:sz w:val="20"/>
          <w:szCs w:val="20"/>
          <w:color w:val="auto"/>
        </w:rPr>
      </w:pPr>
      <w:r>
        <w:rPr>
          <w:rFonts w:ascii="Arial" w:cs="Arial" w:eastAsia="Arial" w:hAnsi="Arial"/>
          <w:sz w:val="19"/>
          <w:szCs w:val="19"/>
          <w:color w:val="auto"/>
        </w:rPr>
        <w:t>“Authorized Officer” means either the Chief Executive Officer or Chief Financial Officer of the Borrower, acting singly.</w:t>
      </w:r>
    </w:p>
    <w:p>
      <w:pPr>
        <w:spacing w:after="0" w:line="295" w:lineRule="exact"/>
        <w:rPr>
          <w:sz w:val="20"/>
          <w:szCs w:val="20"/>
          <w:color w:val="auto"/>
        </w:rPr>
      </w:pPr>
    </w:p>
    <w:p>
      <w:pPr>
        <w:jc w:val="both"/>
        <w:ind w:left="40" w:firstLine="648"/>
        <w:spacing w:after="0" w:line="263" w:lineRule="auto"/>
        <w:rPr>
          <w:sz w:val="20"/>
          <w:szCs w:val="20"/>
          <w:color w:val="auto"/>
        </w:rPr>
      </w:pPr>
      <w:r>
        <w:rPr>
          <w:rFonts w:ascii="Arial" w:cs="Arial" w:eastAsia="Arial" w:hAnsi="Arial"/>
          <w:sz w:val="22"/>
          <w:szCs w:val="22"/>
          <w:color w:val="auto"/>
        </w:rPr>
        <w:t xml:space="preserve">“Available Aggregate Revolving Commitment” means, at any time, the Revolving Commitments then in effect </w:t>
      </w:r>
      <w:r>
        <w:rPr>
          <w:rFonts w:ascii="Arial" w:cs="Arial" w:eastAsia="Arial" w:hAnsi="Arial"/>
          <w:sz w:val="22"/>
          <w:szCs w:val="22"/>
          <w:i w:val="1"/>
          <w:iCs w:val="1"/>
          <w:color w:val="auto"/>
        </w:rPr>
        <w:t>minus</w:t>
      </w:r>
      <w:r>
        <w:rPr>
          <w:rFonts w:ascii="Arial" w:cs="Arial" w:eastAsia="Arial" w:hAnsi="Arial"/>
          <w:sz w:val="22"/>
          <w:szCs w:val="22"/>
          <w:color w:val="auto"/>
        </w:rPr>
        <w:t xml:space="preserve"> the Revolving Exposures at such time.</w:t>
      </w:r>
    </w:p>
    <w:p>
      <w:pPr>
        <w:spacing w:after="0" w:line="215" w:lineRule="exact"/>
        <w:rPr>
          <w:sz w:val="20"/>
          <w:szCs w:val="20"/>
          <w:color w:val="auto"/>
        </w:rPr>
      </w:pPr>
    </w:p>
    <w:p>
      <w:pPr>
        <w:jc w:val="both"/>
        <w:ind w:left="40" w:firstLine="702"/>
        <w:spacing w:after="0" w:line="263" w:lineRule="auto"/>
        <w:rPr>
          <w:sz w:val="20"/>
          <w:szCs w:val="20"/>
          <w:color w:val="auto"/>
        </w:rPr>
      </w:pPr>
      <w:r>
        <w:rPr>
          <w:rFonts w:ascii="Arial" w:cs="Arial" w:eastAsia="Arial" w:hAnsi="Arial"/>
          <w:sz w:val="22"/>
          <w:szCs w:val="22"/>
          <w:color w:val="auto"/>
        </w:rPr>
        <w:t>“Bail-In Action” means the exercise of any Write-Down and Conversion Powers by the applicable EEA Resolution Authority in respect of any liability of an EEA Financial Institution.</w:t>
      </w:r>
    </w:p>
    <w:p>
      <w:pPr>
        <w:spacing w:after="0" w:line="215" w:lineRule="exact"/>
        <w:rPr>
          <w:sz w:val="20"/>
          <w:szCs w:val="20"/>
          <w:color w:val="auto"/>
        </w:rPr>
      </w:pPr>
    </w:p>
    <w:p>
      <w:pPr>
        <w:jc w:val="both"/>
        <w:ind w:left="40" w:firstLine="648"/>
        <w:spacing w:after="0" w:line="253" w:lineRule="auto"/>
        <w:rPr>
          <w:sz w:val="20"/>
          <w:szCs w:val="20"/>
          <w:color w:val="auto"/>
        </w:rPr>
      </w:pPr>
      <w:r>
        <w:rPr>
          <w:rFonts w:ascii="Arial" w:cs="Arial" w:eastAsia="Arial" w:hAnsi="Arial"/>
          <w:sz w:val="22"/>
          <w:szCs w:val="22"/>
          <w:color w:val="auto"/>
        </w:rPr>
        <w:t>“Bail-In Legislation”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226" w:lineRule="exact"/>
        <w:rPr>
          <w:sz w:val="20"/>
          <w:szCs w:val="20"/>
          <w:color w:val="auto"/>
        </w:rPr>
      </w:pPr>
    </w:p>
    <w:p>
      <w:pPr>
        <w:jc w:val="both"/>
        <w:ind w:left="40" w:right="20" w:firstLine="648"/>
        <w:spacing w:after="0" w:line="263" w:lineRule="auto"/>
        <w:rPr>
          <w:sz w:val="20"/>
          <w:szCs w:val="20"/>
          <w:color w:val="auto"/>
        </w:rPr>
      </w:pPr>
      <w:r>
        <w:rPr>
          <w:rFonts w:ascii="Arial" w:cs="Arial" w:eastAsia="Arial" w:hAnsi="Arial"/>
          <w:sz w:val="22"/>
          <w:szCs w:val="22"/>
          <w:color w:val="auto"/>
        </w:rPr>
        <w:t xml:space="preserve">“Base Rate” means, for any day, a rate per annum equal to (i) the Alternate Base Rate for such day </w:t>
      </w:r>
      <w:r>
        <w:rPr>
          <w:rFonts w:ascii="Arial" w:cs="Arial" w:eastAsia="Arial" w:hAnsi="Arial"/>
          <w:sz w:val="22"/>
          <w:szCs w:val="22"/>
          <w:i w:val="1"/>
          <w:iCs w:val="1"/>
          <w:color w:val="auto"/>
        </w:rPr>
        <w:t>plus</w:t>
      </w:r>
      <w:r>
        <w:rPr>
          <w:rFonts w:ascii="Arial" w:cs="Arial" w:eastAsia="Arial" w:hAnsi="Arial"/>
          <w:sz w:val="22"/>
          <w:szCs w:val="22"/>
          <w:color w:val="auto"/>
        </w:rPr>
        <w:t xml:space="preserve"> (ii) the Applicable Margin, in each case changing when and as the Alternate Base Rate changes.</w:t>
      </w:r>
    </w:p>
    <w:p>
      <w:pPr>
        <w:spacing w:after="0" w:line="215" w:lineRule="exact"/>
        <w:rPr>
          <w:sz w:val="20"/>
          <w:szCs w:val="20"/>
          <w:color w:val="auto"/>
        </w:rPr>
      </w:pPr>
    </w:p>
    <w:p>
      <w:pPr>
        <w:ind w:left="680"/>
        <w:spacing w:after="0"/>
        <w:rPr>
          <w:sz w:val="20"/>
          <w:szCs w:val="20"/>
          <w:color w:val="auto"/>
        </w:rPr>
      </w:pPr>
      <w:r>
        <w:rPr>
          <w:rFonts w:ascii="Arial" w:cs="Arial" w:eastAsia="Arial" w:hAnsi="Arial"/>
          <w:sz w:val="19"/>
          <w:szCs w:val="19"/>
          <w:color w:val="auto"/>
        </w:rPr>
        <w:t>“Base Rate Advance” means an Advance which, except as otherwise provided in Section 2.11, bears interest at the Base</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22"/>
          <w:szCs w:val="22"/>
          <w:color w:val="auto"/>
        </w:rPr>
        <w:t>Rate.</w:t>
      </w:r>
    </w:p>
    <w:p>
      <w:pPr>
        <w:spacing w:after="0" w:line="242" w:lineRule="exact"/>
        <w:rPr>
          <w:sz w:val="20"/>
          <w:szCs w:val="20"/>
          <w:color w:val="auto"/>
        </w:rPr>
      </w:pPr>
    </w:p>
    <w:p>
      <w:pPr>
        <w:ind w:left="680"/>
        <w:spacing w:after="0"/>
        <w:rPr>
          <w:sz w:val="20"/>
          <w:szCs w:val="20"/>
          <w:color w:val="auto"/>
        </w:rPr>
      </w:pPr>
      <w:r>
        <w:rPr>
          <w:rFonts w:ascii="Arial" w:cs="Arial" w:eastAsia="Arial" w:hAnsi="Arial"/>
          <w:sz w:val="19"/>
          <w:szCs w:val="19"/>
          <w:color w:val="auto"/>
        </w:rPr>
        <w:t>“Base Rate Loan” means a Loan which, except as otherwise provided in Section 2.11, bears interest at the Base Rate.</w:t>
      </w:r>
    </w:p>
    <w:p>
      <w:pPr>
        <w:spacing w:after="0" w:line="295" w:lineRule="exact"/>
        <w:rPr>
          <w:sz w:val="20"/>
          <w:szCs w:val="20"/>
          <w:color w:val="auto"/>
        </w:rPr>
      </w:pPr>
    </w:p>
    <w:p>
      <w:pPr>
        <w:jc w:val="both"/>
        <w:ind w:left="40" w:firstLine="648"/>
        <w:spacing w:after="0" w:line="263" w:lineRule="auto"/>
        <w:rPr>
          <w:sz w:val="20"/>
          <w:szCs w:val="20"/>
          <w:color w:val="auto"/>
        </w:rPr>
      </w:pPr>
      <w:r>
        <w:rPr>
          <w:rFonts w:ascii="Arial" w:cs="Arial" w:eastAsia="Arial" w:hAnsi="Arial"/>
          <w:sz w:val="22"/>
          <w:szCs w:val="22"/>
          <w:color w:val="auto"/>
        </w:rPr>
        <w:t>“Borrower” means Universal Electronics Inc., a corporation organized under the laws of the state of Delaware, and its successors and assigns.</w:t>
      </w:r>
    </w:p>
    <w:p>
      <w:pPr>
        <w:spacing w:after="0" w:line="215" w:lineRule="exact"/>
        <w:rPr>
          <w:sz w:val="20"/>
          <w:szCs w:val="20"/>
          <w:color w:val="auto"/>
        </w:rPr>
      </w:pPr>
    </w:p>
    <w:p>
      <w:pPr>
        <w:ind w:left="680"/>
        <w:spacing w:after="0"/>
        <w:rPr>
          <w:sz w:val="20"/>
          <w:szCs w:val="20"/>
          <w:color w:val="auto"/>
        </w:rPr>
      </w:pPr>
      <w:r>
        <w:rPr>
          <w:rFonts w:ascii="Arial" w:cs="Arial" w:eastAsia="Arial" w:hAnsi="Arial"/>
          <w:sz w:val="22"/>
          <w:szCs w:val="22"/>
          <w:color w:val="auto"/>
        </w:rPr>
        <w:t>“Borrowing Date” means a date on which an Advance is made or a Facility LC is issued hereunder.</w:t>
      </w:r>
    </w:p>
    <w:p>
      <w:pPr>
        <w:spacing w:after="0" w:line="260" w:lineRule="exact"/>
        <w:rPr>
          <w:sz w:val="20"/>
          <w:szCs w:val="20"/>
          <w:color w:val="auto"/>
        </w:rPr>
      </w:pPr>
    </w:p>
    <w:p>
      <w:pPr>
        <w:ind w:left="680"/>
        <w:spacing w:after="0"/>
        <w:rPr>
          <w:sz w:val="20"/>
          <w:szCs w:val="20"/>
          <w:color w:val="auto"/>
        </w:rPr>
      </w:pPr>
      <w:r>
        <w:rPr>
          <w:rFonts w:ascii="Arial" w:cs="Arial" w:eastAsia="Arial" w:hAnsi="Arial"/>
          <w:sz w:val="22"/>
          <w:szCs w:val="22"/>
          <w:color w:val="auto"/>
        </w:rPr>
        <w:t>“Borrowing Notice” is defined in Section 2.8.</w:t>
      </w:r>
    </w:p>
    <w:p>
      <w:pPr>
        <w:spacing w:after="0" w:line="260" w:lineRule="exact"/>
        <w:rPr>
          <w:sz w:val="20"/>
          <w:szCs w:val="20"/>
          <w:color w:val="auto"/>
        </w:rPr>
      </w:pPr>
    </w:p>
    <w:p>
      <w:pPr>
        <w:jc w:val="both"/>
        <w:ind w:left="40" w:firstLine="648"/>
        <w:spacing w:after="0" w:line="265" w:lineRule="auto"/>
        <w:rPr>
          <w:sz w:val="20"/>
          <w:szCs w:val="20"/>
          <w:color w:val="auto"/>
        </w:rPr>
      </w:pPr>
      <w:r>
        <w:rPr>
          <w:rFonts w:ascii="Arial" w:cs="Arial" w:eastAsia="Arial" w:hAnsi="Arial"/>
          <w:sz w:val="21"/>
          <w:szCs w:val="21"/>
          <w:color w:val="auto"/>
        </w:rPr>
        <w:t>“Business Day” means (i) with respect to any borrowing, payment or rate selection of Eurocurrency Advances, a day (other than a Saturday or Sunday) on which banks generally are open in New York City, New York and London, England for the conduct of substantially all of their commercial lending activities, interbank wire transfers can be made on the Fedwire system and dealings in Dollars are carried on in the London interbank market and (ii) for all other purposes, a</w:t>
      </w:r>
    </w:p>
    <w:p>
      <w:pPr>
        <w:spacing w:after="0" w:line="18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320" w:top="429" w:right="239" w:bottom="1440" w:gutter="0" w:footer="0" w:header="0"/>
        </w:sectPr>
      </w:pPr>
    </w:p>
    <w:bookmarkStart w:id="119" w:name="page120"/>
    <w:bookmarkEnd w:id="119"/>
    <w:p>
      <w:pPr>
        <w:jc w:val="both"/>
        <w:ind w:left="4" w:right="20"/>
        <w:spacing w:after="0" w:line="287" w:lineRule="auto"/>
        <w:rPr>
          <w:sz w:val="20"/>
          <w:szCs w:val="20"/>
          <w:color w:val="auto"/>
        </w:rPr>
      </w:pPr>
      <w:r>
        <w:rPr>
          <w:rFonts w:ascii="Arial" w:cs="Arial" w:eastAsia="Arial" w:hAnsi="Arial"/>
          <w:sz w:val="21"/>
          <w:szCs w:val="21"/>
          <w:color w:val="auto"/>
        </w:rPr>
        <w:t>day (other than a Saturday or Sunday) on which banks generally are open in New York City, New York for the conduct of substantially all of their commercial lending activities and interbank wire transfers can be made on the Fedwire system.</w:t>
      </w:r>
    </w:p>
    <w:p>
      <w:pPr>
        <w:spacing w:after="0" w:line="233" w:lineRule="exact"/>
        <w:rPr>
          <w:sz w:val="20"/>
          <w:szCs w:val="20"/>
          <w:color w:val="auto"/>
        </w:rPr>
      </w:pPr>
    </w:p>
    <w:p>
      <w:pPr>
        <w:jc w:val="both"/>
        <w:ind w:left="4" w:firstLine="648"/>
        <w:spacing w:after="0" w:line="253" w:lineRule="auto"/>
        <w:rPr>
          <w:sz w:val="20"/>
          <w:szCs w:val="20"/>
          <w:color w:val="auto"/>
        </w:rPr>
      </w:pPr>
      <w:r>
        <w:rPr>
          <w:rFonts w:ascii="Arial" w:cs="Arial" w:eastAsia="Arial" w:hAnsi="Arial"/>
          <w:sz w:val="22"/>
          <w:szCs w:val="22"/>
          <w:color w:val="auto"/>
        </w:rPr>
        <w:t>“Capital Expenditures” means, without duplication, any expenditures for any purchase or other acquisition of any asset which would be classified as a fixed or capital asset on a consolidated balance sheet of the Borrower and its Subsidiaries prepared in accordance with GAAP.</w:t>
      </w:r>
    </w:p>
    <w:p>
      <w:pPr>
        <w:spacing w:after="0" w:line="226"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22"/>
          <w:szCs w:val="22"/>
          <w:color w:val="auto"/>
        </w:rPr>
        <w:t>“Capitalized Lease” of a Person means any lease of Property by such Person as lessee which would be capitalized on a balance sheet of such Person prepared in accordance with GAAP.</w:t>
      </w:r>
    </w:p>
    <w:p>
      <w:pPr>
        <w:spacing w:after="0" w:line="215" w:lineRule="exact"/>
        <w:rPr>
          <w:sz w:val="20"/>
          <w:szCs w:val="20"/>
          <w:color w:val="auto"/>
        </w:rPr>
      </w:pPr>
    </w:p>
    <w:p>
      <w:pPr>
        <w:jc w:val="both"/>
        <w:ind w:left="4" w:firstLine="648"/>
        <w:spacing w:after="0" w:line="287" w:lineRule="auto"/>
        <w:rPr>
          <w:sz w:val="20"/>
          <w:szCs w:val="20"/>
          <w:color w:val="auto"/>
        </w:rPr>
      </w:pPr>
      <w:r>
        <w:rPr>
          <w:rFonts w:ascii="Arial" w:cs="Arial" w:eastAsia="Arial" w:hAnsi="Arial"/>
          <w:sz w:val="21"/>
          <w:szCs w:val="21"/>
          <w:color w:val="auto"/>
        </w:rPr>
        <w:t>“Capitalized Lease Obligations” of a Person means the amount of the obligations of such Person under Capitalized Leases which would be shown as a liability on a balance sheet of such Person prepared in accordance with GAAP.</w:t>
      </w:r>
    </w:p>
    <w:p>
      <w:pPr>
        <w:spacing w:after="0" w:line="192" w:lineRule="exact"/>
        <w:rPr>
          <w:sz w:val="20"/>
          <w:szCs w:val="20"/>
          <w:color w:val="auto"/>
        </w:rPr>
      </w:pPr>
    </w:p>
    <w:p>
      <w:pPr>
        <w:jc w:val="both"/>
        <w:ind w:left="4" w:firstLine="648"/>
        <w:spacing w:after="0" w:line="294" w:lineRule="auto"/>
        <w:rPr>
          <w:sz w:val="20"/>
          <w:szCs w:val="20"/>
          <w:color w:val="auto"/>
        </w:rPr>
      </w:pPr>
      <w:r>
        <w:rPr>
          <w:rFonts w:ascii="Arial" w:cs="Arial" w:eastAsia="Arial" w:hAnsi="Arial"/>
          <w:sz w:val="19"/>
          <w:szCs w:val="19"/>
          <w:color w:val="auto"/>
        </w:rPr>
        <w:t>“Cash Collateralize” means to deposit in the Facility LC Collateral Account or to pledge and deposit with or deliver to the Administrative Agent, for the benefit of one or more of the LC Issuer or Lenders, as collateral for LC Obligations or obligations of Lenders to fund participations in respect of LC Obligations, cash or deposit account balances or, if the Administrative Agent and the LC Issuer shall agree in their sole discretion, other credit support, in each case pursuant to documentation in form and substance satisfactory to the Administrative Agent and the LC Issuer. “Cash Collateral” shall have a meaning correlative to the foregoing and shall include the proceeds of such cash collateral and other credit support.</w:t>
      </w:r>
    </w:p>
    <w:p>
      <w:pPr>
        <w:spacing w:after="0" w:line="190" w:lineRule="exact"/>
        <w:rPr>
          <w:sz w:val="20"/>
          <w:szCs w:val="20"/>
          <w:color w:val="auto"/>
        </w:rPr>
      </w:pPr>
    </w:p>
    <w:p>
      <w:pPr>
        <w:ind w:left="644"/>
        <w:spacing w:after="0"/>
        <w:rPr>
          <w:sz w:val="20"/>
          <w:szCs w:val="20"/>
          <w:color w:val="auto"/>
        </w:rPr>
      </w:pPr>
      <w:r>
        <w:rPr>
          <w:rFonts w:ascii="Arial" w:cs="Arial" w:eastAsia="Arial" w:hAnsi="Arial"/>
          <w:sz w:val="19"/>
          <w:szCs w:val="19"/>
          <w:color w:val="auto"/>
        </w:rPr>
        <w:t>“Cash Equivalent Investments” means (i) short-term obligations of, or fully guaranteed by, the United States of America,</w:t>
      </w:r>
    </w:p>
    <w:p>
      <w:pPr>
        <w:spacing w:after="0" w:line="56" w:lineRule="exact"/>
        <w:rPr>
          <w:sz w:val="20"/>
          <w:szCs w:val="20"/>
          <w:color w:val="auto"/>
        </w:rPr>
      </w:pPr>
    </w:p>
    <w:p>
      <w:pPr>
        <w:jc w:val="both"/>
        <w:ind w:left="4" w:hanging="4"/>
        <w:spacing w:after="0" w:line="244" w:lineRule="auto"/>
        <w:tabs>
          <w:tab w:leader="none" w:pos="339" w:val="left"/>
        </w:tabs>
        <w:numPr>
          <w:ilvl w:val="0"/>
          <w:numId w:val="42"/>
        </w:numPr>
        <w:rPr>
          <w:rFonts w:ascii="Arial" w:cs="Arial" w:eastAsia="Arial" w:hAnsi="Arial"/>
          <w:sz w:val="22"/>
          <w:szCs w:val="22"/>
          <w:color w:val="auto"/>
        </w:rPr>
      </w:pPr>
      <w:r>
        <w:rPr>
          <w:rFonts w:ascii="Arial" w:cs="Arial" w:eastAsia="Arial" w:hAnsi="Arial"/>
          <w:sz w:val="22"/>
          <w:szCs w:val="22"/>
          <w:color w:val="auto"/>
        </w:rPr>
        <w:t xml:space="preserve">commercial paper rated A-1 or better by S&amp;P or P-1 or better by Moody’s, (iii) demand deposit accounts maintained in the ordinary course of business, and (iv) certificates of deposit issued by and time deposits with commercial banks (whether domestic or foreign) having capital and surplus in excess of $500,000,000;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in each case that the same provides for payment of both principal and interest (and not principal alone or interest alone) and is not subject to any contingency regarding the payment of principal or interest.</w:t>
      </w:r>
    </w:p>
    <w:p>
      <w:pPr>
        <w:spacing w:after="0" w:line="236"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21"/>
          <w:szCs w:val="21"/>
          <w:color w:val="auto"/>
        </w:rPr>
        <w:t>“Cash Management Services” means any banking services that are provided to the Borrower or any Subsidiary by the Administrative Agent, the LC Issuer or any other Lender or any Affiliate of any of the foregoing (at the time such banking service is entered into), including without limitation: (a) credit cards, (b) credit card processing services, (c) debit cards, (d) purchase cards, (e) stored value cards, (f) automated clearing house or wire transfer services, or</w:t>
      </w:r>
    </w:p>
    <w:p>
      <w:pPr>
        <w:spacing w:after="0" w:line="2" w:lineRule="exact"/>
        <w:rPr>
          <w:sz w:val="20"/>
          <w:szCs w:val="20"/>
          <w:color w:val="auto"/>
        </w:rPr>
      </w:pPr>
    </w:p>
    <w:p>
      <w:pPr>
        <w:ind w:left="4" w:right="300" w:hanging="4"/>
        <w:spacing w:after="0" w:line="246" w:lineRule="auto"/>
        <w:tabs>
          <w:tab w:leader="none" w:pos="31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treasury management, including controlled disbursement, consolidated account, lockbox, overdraft, return items, sweep and interstate depository network services.</w:t>
      </w:r>
    </w:p>
    <w:p>
      <w:pPr>
        <w:spacing w:after="0" w:line="233" w:lineRule="exact"/>
        <w:rPr>
          <w:sz w:val="20"/>
          <w:szCs w:val="20"/>
          <w:color w:val="auto"/>
        </w:rPr>
      </w:pPr>
    </w:p>
    <w:p>
      <w:pPr>
        <w:jc w:val="both"/>
        <w:ind w:left="4" w:firstLine="648"/>
        <w:spacing w:after="0" w:line="302" w:lineRule="auto"/>
        <w:rPr>
          <w:sz w:val="20"/>
          <w:szCs w:val="20"/>
          <w:color w:val="auto"/>
        </w:rPr>
      </w:pPr>
      <w:r>
        <w:rPr>
          <w:rFonts w:ascii="Arial" w:cs="Arial" w:eastAsia="Arial" w:hAnsi="Arial"/>
          <w:sz w:val="19"/>
          <w:szCs w:val="19"/>
          <w:color w:val="auto"/>
        </w:rPr>
        <w:t>“Change in Control” means (i) the acquisition by any Person, or two or more Persons acting in concert, of beneficial ownership (within the meaning of Rule 13d-3 of the U.S. Securities and Exchange Commission under the Securities Exchange Act of 1934) directly or indirectly of 30% or more of the outstanding shares of voting stock of the Borrower on a fully diluted basis; or (ii) within any twelve-month period, occupation of a majority of the seats (other than vacant seats) on</w:t>
      </w:r>
    </w:p>
    <w:p>
      <w:pPr>
        <w:spacing w:after="0" w:line="150"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4"/>
          </w:cols>
          <w:pgMar w:left="356" w:top="375" w:right="239" w:bottom="1440" w:gutter="0" w:footer="0" w:header="0"/>
        </w:sectPr>
      </w:pPr>
    </w:p>
    <w:bookmarkStart w:id="120" w:name="page121"/>
    <w:bookmarkEnd w:id="120"/>
    <w:p>
      <w:pPr>
        <w:ind w:left="40"/>
        <w:spacing w:after="0" w:line="263" w:lineRule="auto"/>
        <w:rPr>
          <w:sz w:val="20"/>
          <w:szCs w:val="20"/>
          <w:color w:val="auto"/>
        </w:rPr>
      </w:pPr>
      <w:r>
        <w:rPr>
          <w:rFonts w:ascii="Arial" w:cs="Arial" w:eastAsia="Arial" w:hAnsi="Arial"/>
          <w:sz w:val="22"/>
          <w:szCs w:val="22"/>
          <w:color w:val="auto"/>
        </w:rPr>
        <w:t>the board of directors of the Borrower by Persons who were neither (x) nominated by the board of directors of the Borrower nor (y) appointed or approved by directors so nominated.</w:t>
      </w:r>
    </w:p>
    <w:p>
      <w:pPr>
        <w:spacing w:after="0" w:line="25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“Change in Law” means the adoption of or change in any law, governmental or quasi- governmental rule, regulation, policy, guideline, interpretation, or directive (whether or not having the force of law) or in the interpretation, promulgation, implementation or administration thereof by any Governmental or quasi-Governmental Authority, central bank or comparable agency charged with the interpretation or administration thereof, including, notwithstanding the foregoing, all requests, rules, guidelines or directives (x) in connection with the Dodd-Frank Wall Street Reform and Consumer Protection Act or (y) promulgated by the Bank for International Settlements, the Basel Committee on Banking Supervision (or any successor or similar authority) or the United States financial regulatory authorities, in each case of clauses (x) and (y), regardless of the date enacted, adopted, issued, promulgated or implemented, or compliance by any Lender or applicable Lending Installation or the LC Issuer with any request or directive (whether or not having the force of law) of any such authority, central bank or comparable agency.</w:t>
      </w:r>
    </w:p>
    <w:p>
      <w:pPr>
        <w:spacing w:after="0" w:line="198"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“China Facility Divestment” means the sale by the Borrower or one of its Subsidiaries of 100% of the capital stock of Gemstar Technology (China) Co. Ltd. for consideration of at least $45,000,000 on or before February 26, 2019.</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“Code” means the Internal Revenue Code of 1986.</w:t>
      </w:r>
    </w:p>
    <w:p>
      <w:pPr>
        <w:spacing w:after="0" w:line="2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“Collateral” means any and all Property in which a security interest or Lien is or is required to be granted to secure the Obligations, and any and all other Property now existing or hereafter acquired that may be or become subject to a security interest or Lien to secure the Obligations.</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“Collateral Documents” means, collectively, the Security Agreement, the Pledge Agreement and all other agreements, instruments and documents that are intended to create, perfect or evidence Liens upon the Collateral as security for payment of the Obligations, including without limitation, all other security agreements, pledge agreements, financing statements, mortgages, assignments and deeds of trust, whether heretofore, now, or hereafter executed by the Loan Parties or any of their Subsidiaries and delivered to the Administrative Agent.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“Collateral Shortfall Amount” is defined in Section 8.1(a).</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“Commodity Exchange Act” means the Commodity Exchange Act (7 U.S.C. §1 et seq.). “Compliance Certificate” is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defined in Section 6.1(e).</w:t>
      </w:r>
    </w:p>
    <w:p>
      <w:pPr>
        <w:spacing w:after="0" w:line="36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“Consolidated Capital Expenditures” means, with reference to any period, the Capital Expenditures of the Borrower and its Subsidiaries calculated on a consolidated basis for such period.</w:t>
      </w:r>
    </w:p>
    <w:p>
      <w:pPr>
        <w:spacing w:after="0" w:line="215"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“Consolidated Cash Flow Leverage Ratio” means, at any time, the ratio of (i) Consolidated Total Funded Debt, as of such date, to (ii) Consolidated EBITDA, as measured for the period of four fiscal quarters most recently ended on or before such date.</w:t>
      </w:r>
    </w:p>
    <w:p>
      <w:pPr>
        <w:spacing w:after="0" w:line="34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320" w:top="375" w:right="239" w:bottom="1440" w:gutter="0" w:footer="0" w:header="0"/>
        </w:sectPr>
      </w:pPr>
    </w:p>
    <w:bookmarkStart w:id="121" w:name="page122"/>
    <w:bookmarkEnd w:id="121"/>
    <w:p>
      <w:pPr>
        <w:jc w:val="both"/>
        <w:ind w:firstLine="648"/>
        <w:spacing w:after="0" w:line="289" w:lineRule="auto"/>
        <w:rPr>
          <w:sz w:val="20"/>
          <w:szCs w:val="20"/>
          <w:color w:val="auto"/>
        </w:rPr>
      </w:pPr>
      <w:r>
        <w:rPr>
          <w:rFonts w:ascii="Arial" w:cs="Arial" w:eastAsia="Arial" w:hAnsi="Arial"/>
          <w:sz w:val="19"/>
          <w:szCs w:val="19"/>
          <w:color w:val="auto"/>
        </w:rPr>
        <w:t xml:space="preserve">“Consolidated EBITDA” means Consolidated Net Income </w:t>
      </w:r>
      <w:r>
        <w:rPr>
          <w:rFonts w:ascii="Arial" w:cs="Arial" w:eastAsia="Arial" w:hAnsi="Arial"/>
          <w:sz w:val="19"/>
          <w:szCs w:val="19"/>
          <w:i w:val="1"/>
          <w:iCs w:val="1"/>
          <w:color w:val="auto"/>
        </w:rPr>
        <w:t>plus</w:t>
      </w:r>
      <w:r>
        <w:rPr>
          <w:rFonts w:ascii="Arial" w:cs="Arial" w:eastAsia="Arial" w:hAnsi="Arial"/>
          <w:sz w:val="19"/>
          <w:szCs w:val="19"/>
          <w:color w:val="auto"/>
        </w:rPr>
        <w:t xml:space="preserve">, to the extent deducted from revenues in determining Consolidated Net Income and without duplication, (i) Consolidated Interest Expense, (ii) expense for taxes paid in cash or accrued, (iii) depreciation, (iv) amortization, (v) extraordinary expenses, charges or losses incurred other than in the ordinary course of business, (vi) non-cash expenses related to stock based compensation, and (vii) one time severance costs related to the Borrower’s facility in China during the measurement period up to $10,000,000 in the aggregate, </w:t>
      </w:r>
      <w:r>
        <w:rPr>
          <w:rFonts w:ascii="Arial" w:cs="Arial" w:eastAsia="Arial" w:hAnsi="Arial"/>
          <w:sz w:val="19"/>
          <w:szCs w:val="19"/>
          <w:i w:val="1"/>
          <w:iCs w:val="1"/>
          <w:color w:val="auto"/>
        </w:rPr>
        <w:t>minus</w:t>
      </w:r>
      <w:r>
        <w:rPr>
          <w:rFonts w:ascii="Arial" w:cs="Arial" w:eastAsia="Arial" w:hAnsi="Arial"/>
          <w:sz w:val="19"/>
          <w:szCs w:val="19"/>
          <w:color w:val="auto"/>
        </w:rPr>
        <w:t>, to the extent included in Consolidated Net Income, (1) extraordinary income or gains realized other than in the ordinary course of business, income tax credits and refunds (to the extent not netted from tax expense), and (3) any cash payments made during such period in respect of items described in clauses (v) or (vi) above subsequent to the fiscal quarter in which the relevant non-cash expenses, charges or losses were incurred, all calculated for the Borrower and its Subsidiaries on a consolidated basis.</w:t>
      </w:r>
    </w:p>
    <w:p>
      <w:pPr>
        <w:spacing w:after="0" w:line="19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“Consolidated Fixed Charge Coverage Ratio” means the ratio, determined as of the end of each of its fiscal quarters, of (i) Consolidated EBITDA plus Consolidated Rentals minus Consolidated Maintenance Capital Expenditures minus Restricted Payments paid in cash and not financed with the proceeds of the Revolving Loans, minus cash taxes to (ii) cash Consolidated Interest Expense, plus Consolidated Rentals, plus scheduled principal payments with respect to Consolidated Funded Indebtedness paid or payable in cash for such period, all calculated for the Borrower and its Subsidiaries on a consolidated basis.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“Consolidated Funded Indebtedness” means at any time the aggregate amount of Consolidated Indebtedness </w:t>
      </w:r>
      <w:r>
        <w:rPr>
          <w:rFonts w:ascii="Arial" w:cs="Arial" w:eastAsia="Arial" w:hAnsi="Arial"/>
          <w:sz w:val="22"/>
          <w:szCs w:val="22"/>
          <w:i w:val="1"/>
          <w:iCs w:val="1"/>
          <w:color w:val="auto"/>
        </w:rPr>
        <w:t>minus</w:t>
      </w:r>
      <w:r>
        <w:rPr>
          <w:rFonts w:ascii="Arial" w:cs="Arial" w:eastAsia="Arial" w:hAnsi="Arial"/>
          <w:sz w:val="22"/>
          <w:szCs w:val="22"/>
          <w:color w:val="auto"/>
        </w:rPr>
        <w:t xml:space="preserve"> the undrawn face amount of commercial Letters of Credit.</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“Consolidated Indebtedness” means at any time the Indebtedness of the Borrower and its Subsidiaries calculated on a consolidated basis as of such time.</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“Consolidated Interest Expense” means, with reference to any period, the interest expense of the Borrower and its Subsidiaries calculated on a consolidated basis for such period. For the purposes of calculating Consolidated Interest Expense for any reference period, (i) if at any time during such reference period the Borrower or any Subsidiary shall have made any Material Disposition, the Consolidated Interest Expense for such reference period shall be reduced by an amount equal to the Consolidated Interest Expense (if positive) attributable to the Property that is the subject of such Material Disposition for such reference period, and (ii) if during such reference period the Borrower or any Subsidiary shall have made a Material Acquisition, Consolidated Interest Expense for such reference period shall be calculated after giving pro forma effect thereto on a basis approved by the Administrative Agent in its reasonable credit judgment as if such Material Acquisition occurred on the first day of such reference period.</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“Consolidated Liquidity” means, for any period of determination, the aggregate consolidated amount for the Borrower and its Restricted Subsidiaries, without duplication, of (a) cash and Cash Equivalent Investments, plus (b) the amount available to be borrowed as Revolving Loans under this Agreement.</w:t>
      </w:r>
    </w:p>
    <w:p>
      <w:pPr>
        <w:spacing w:after="0" w:line="200" w:lineRule="exact"/>
        <w:rPr>
          <w:sz w:val="20"/>
          <w:szCs w:val="20"/>
          <w:color w:val="auto"/>
        </w:rPr>
      </w:pPr>
    </w:p>
    <w:p>
      <w:pPr>
        <w:spacing w:after="0" w:line="2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320" w:top="442" w:right="239" w:bottom="1440" w:gutter="0" w:footer="0" w:header="0"/>
        </w:sectPr>
      </w:pPr>
    </w:p>
    <w:bookmarkStart w:id="122" w:name="page123"/>
    <w:bookmarkEnd w:id="122"/>
    <w:p>
      <w:pPr>
        <w:jc w:val="both"/>
        <w:ind w:firstLine="648"/>
        <w:spacing w:after="0" w:line="253" w:lineRule="auto"/>
        <w:rPr>
          <w:sz w:val="20"/>
          <w:szCs w:val="20"/>
          <w:color w:val="auto"/>
        </w:rPr>
      </w:pPr>
      <w:r>
        <w:rPr>
          <w:rFonts w:ascii="Arial" w:cs="Arial" w:eastAsia="Arial" w:hAnsi="Arial"/>
          <w:sz w:val="22"/>
          <w:szCs w:val="22"/>
          <w:color w:val="auto"/>
        </w:rPr>
        <w:t>“Consolidated Maintenance Capital Expenditures” means, for any period of determination, on a consolidated basis and without duplication, 50% of the consolidated equipment depreciation expense of the Borrower, determined in accordance with GAAP.</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“Consolidated Net Income” means, with reference to any period, the net income (or loss) of the Borrower and its Subsidiaries calculated on a consolidated basis for such period.</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“Consolidated Rentals” means, with reference to any period, the Rentals of the Borrower and its Subsidiaries calculated on a consolidated basis for such period.</w:t>
      </w:r>
    </w:p>
    <w:p>
      <w:pPr>
        <w:spacing w:after="0" w:line="215"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“Consolidated Total Funded Debt” means, as of any date of determination, the consolidated principal amount of (i) all Indebtedness of the Borrower and its Subsidiaries described in clauses (a) through (g) of the definition of “Indebtedness” and (ii) any Contingent Obligations of the Borrower and its Subsidiaries related to clauses (a) through (g) of the definition of “Indebtedness”.</w:t>
      </w:r>
    </w:p>
    <w:p>
      <w:pPr>
        <w:spacing w:after="0" w:line="229"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“Constituent Documents” means, with respect to any Person, as applicable, such Person’s certificate of incorporation, articles of incorporation, bylaws, certificate of formation, articles of organization, limited liability company agreement, management agreement, operating agreement, shareholder agreement, partnership agreement or similar document or agreement governing such Person’s existence, organization or management or concerning the disposition of Equity Interests of such Person or voting rights among such Person’s owners.</w:t>
      </w:r>
    </w:p>
    <w:p>
      <w:pPr>
        <w:spacing w:after="0" w:line="23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“Contingent Obligation” of a Person means any agreement, undertaking or arrangement by which such Person assumes, guarantees, endorses, contingently agrees to purchase or provide funds for the payment of, or otherwise becomes or is contingently liable upon, the obligation or liability of any other Person, or agrees to maintain the net worth or working capital or other financial condition of any other Person, or otherwise assures any creditor of such other Person against loss, including, without limitation, any comfort letter, operating agreement, take-or-pay contract or the obligations of any such Person as general partner of a partnership with respect to the liabilities of the partnership; provided, that the term “Contingent Obligation” shall not include endorsements for collection or deposit, in each case in the ordinary course of business.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“Conversion/Continuation Notice” is defined in Section 2.9.</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“Credit Extension” means the making of an Advance or the issuance of a Facility LC hereunder.</w:t>
      </w:r>
    </w:p>
    <w:p>
      <w:pPr>
        <w:spacing w:after="0" w:line="26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“Debtor Relief Laws”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20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“Default” means an event which but for the lapse of time or the giving of notice, or both, would constitute an Event of Default.</w:t>
      </w:r>
    </w:p>
    <w:p>
      <w:pPr>
        <w:spacing w:after="0" w:line="200" w:lineRule="exact"/>
        <w:rPr>
          <w:sz w:val="20"/>
          <w:szCs w:val="20"/>
          <w:color w:val="auto"/>
        </w:rPr>
      </w:pPr>
    </w:p>
    <w:p>
      <w:pPr>
        <w:spacing w:after="0" w:line="23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320" w:top="442" w:right="239" w:bottom="1440" w:gutter="0" w:footer="0" w:header="0"/>
        </w:sectPr>
      </w:pPr>
    </w:p>
    <w:bookmarkStart w:id="123" w:name="page124"/>
    <w:bookmarkEnd w:id="123"/>
    <w:p>
      <w:pPr>
        <w:ind w:left="660"/>
        <w:spacing w:after="0"/>
        <w:rPr>
          <w:sz w:val="20"/>
          <w:szCs w:val="20"/>
          <w:color w:val="auto"/>
        </w:rPr>
      </w:pPr>
      <w:r>
        <w:rPr>
          <w:rFonts w:ascii="Arial" w:cs="Arial" w:eastAsia="Arial" w:hAnsi="Arial"/>
          <w:sz w:val="22"/>
          <w:szCs w:val="22"/>
          <w:color w:val="auto"/>
        </w:rPr>
        <w:t>“Defaulting Lender” means, subject to Section 2.22(b), any Lender that (a) has failed to</w:t>
      </w:r>
    </w:p>
    <w:p>
      <w:pPr>
        <w:spacing w:after="0" w:line="22" w:lineRule="exact"/>
        <w:rPr>
          <w:sz w:val="20"/>
          <w:szCs w:val="20"/>
          <w:color w:val="auto"/>
        </w:rPr>
      </w:pPr>
    </w:p>
    <w:p>
      <w:pPr>
        <w:ind w:left="280" w:right="20" w:hanging="271"/>
        <w:spacing w:after="0" w:line="283" w:lineRule="auto"/>
        <w:tabs>
          <w:tab w:leader="none" w:pos="280" w:val="left"/>
        </w:tabs>
        <w:numPr>
          <w:ilvl w:val="0"/>
          <w:numId w:val="44"/>
        </w:numPr>
        <w:rPr>
          <w:rFonts w:ascii="Arial" w:cs="Arial" w:eastAsia="Arial" w:hAnsi="Arial"/>
          <w:sz w:val="19"/>
          <w:szCs w:val="19"/>
          <w:color w:val="auto"/>
        </w:rPr>
      </w:pPr>
      <w:r>
        <w:rPr>
          <w:rFonts w:ascii="Arial" w:cs="Arial" w:eastAsia="Arial" w:hAnsi="Arial"/>
          <w:sz w:val="19"/>
          <w:szCs w:val="19"/>
          <w:color w:val="auto"/>
        </w:rPr>
        <w:t>fund all or any portion of its Loans within two (2) Business Days after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waived, or (ii) pay to the Administrative Agent, the LC Issuer, the Swing Line Lender or any other Lender any other amount required to be paid by it hereunder (including in respect of its participation in Facility LCs or Swing Line Loans) within two (2) Business Days after the date when due, (b) has notified the Borrower, the Administrative Agent, the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(other than an Undisclosed Administration), including the Federal Deposit Insurance Corporation or any other state or federal regulatory authority acting in such a capacity, or (iii) become the subject of a Bail-In Action;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2.22(b)) upon delivery of written notice of such determination to the Borrower, the LC Issuer, the Swing Line Lender and each Lender.</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80"/>
        <w:spacing w:after="0"/>
        <w:rPr>
          <w:sz w:val="20"/>
          <w:szCs w:val="20"/>
          <w:color w:val="auto"/>
        </w:rPr>
      </w:pPr>
      <w:r>
        <w:rPr>
          <w:rFonts w:ascii="Arial" w:cs="Arial" w:eastAsia="Arial" w:hAnsi="Arial"/>
          <w:sz w:val="22"/>
          <w:szCs w:val="22"/>
          <w:color w:val="auto"/>
        </w:rPr>
        <w:t>“Deposits” is defined in Section 11.1.</w:t>
      </w:r>
    </w:p>
    <w:p>
      <w:pPr>
        <w:spacing w:after="0" w:line="260" w:lineRule="exact"/>
        <w:rPr>
          <w:sz w:val="20"/>
          <w:szCs w:val="20"/>
          <w:color w:val="auto"/>
        </w:rPr>
      </w:pPr>
    </w:p>
    <w:p>
      <w:pPr>
        <w:ind w:left="680"/>
        <w:spacing w:after="0"/>
        <w:rPr>
          <w:sz w:val="20"/>
          <w:szCs w:val="20"/>
          <w:color w:val="auto"/>
        </w:rPr>
      </w:pPr>
      <w:r>
        <w:rPr>
          <w:rFonts w:ascii="Arial" w:cs="Arial" w:eastAsia="Arial" w:hAnsi="Arial"/>
          <w:sz w:val="22"/>
          <w:szCs w:val="22"/>
          <w:color w:val="auto"/>
        </w:rPr>
        <w:t>“Dollar” and “$” means the lawful currency of the United States of America.</w:t>
      </w:r>
    </w:p>
    <w:p>
      <w:pPr>
        <w:spacing w:after="0" w:line="260" w:lineRule="exact"/>
        <w:rPr>
          <w:sz w:val="20"/>
          <w:szCs w:val="20"/>
          <w:color w:val="auto"/>
        </w:rPr>
      </w:pPr>
    </w:p>
    <w:p>
      <w:pPr>
        <w:ind w:left="40" w:firstLine="648"/>
        <w:spacing w:after="0" w:line="263" w:lineRule="auto"/>
        <w:rPr>
          <w:sz w:val="20"/>
          <w:szCs w:val="20"/>
          <w:color w:val="auto"/>
        </w:rPr>
      </w:pPr>
      <w:r>
        <w:rPr>
          <w:rFonts w:ascii="Arial" w:cs="Arial" w:eastAsia="Arial" w:hAnsi="Arial"/>
          <w:sz w:val="22"/>
          <w:szCs w:val="22"/>
          <w:color w:val="auto"/>
        </w:rPr>
        <w:t>“Domestic Subsidiary” means a Subsidiary of the Borrower incorporated or organized under the laws of the United States of America, any state thereof or the District of Columbia.</w:t>
      </w:r>
    </w:p>
    <w:p>
      <w:pPr>
        <w:spacing w:after="0" w:line="200" w:lineRule="exact"/>
        <w:rPr>
          <w:sz w:val="20"/>
          <w:szCs w:val="20"/>
          <w:color w:val="auto"/>
        </w:rPr>
      </w:pPr>
    </w:p>
    <w:p>
      <w:pPr>
        <w:spacing w:after="0" w:line="23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320" w:top="374" w:right="239" w:bottom="1440" w:gutter="0" w:footer="0" w:header="0"/>
        </w:sectPr>
      </w:pPr>
    </w:p>
    <w:bookmarkStart w:id="124" w:name="page125"/>
    <w:bookmarkEnd w:id="124"/>
    <w:p>
      <w:pPr>
        <w:jc w:val="both"/>
        <w:ind w:firstLine="648"/>
        <w:spacing w:after="0" w:line="248" w:lineRule="auto"/>
        <w:rPr>
          <w:sz w:val="20"/>
          <w:szCs w:val="20"/>
          <w:color w:val="auto"/>
        </w:rPr>
      </w:pPr>
      <w:r>
        <w:rPr>
          <w:rFonts w:ascii="Arial" w:cs="Arial" w:eastAsia="Arial" w:hAnsi="Arial"/>
          <w:sz w:val="22"/>
          <w:szCs w:val="22"/>
          <w:color w:val="auto"/>
        </w:rPr>
        <w:t>“EEA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“EEA Member Country” means any of the member states of the European Union, Iceland, Liechtenstein, and Norway.</w:t>
      </w:r>
    </w:p>
    <w:p>
      <w:pPr>
        <w:spacing w:after="0" w:line="2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“EEA Resolution Authority” means any public administrative authority or any person entrusted with public administrative authority of any EEA Member Country (including any delegee) having responsibility for the resolution of any EEA Financial Institution.</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“Effective Date” means the date on which the conditions specified in Section 4.1 are satisfied.</w:t>
      </w:r>
    </w:p>
    <w:p>
      <w:pPr>
        <w:spacing w:after="0" w:line="26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“Eligible Assignee” means (a) a Lender; (b) an Affiliate of a Lender; (c) an Approved Fund; and (d) any other Person except a natural Person (or holding company, investment vehicle or trust for, or owned and operated for the primary benefit of a natural Person), the Borrower, any of the Borrower’s Affiliates or Subsidiaries or any Defaulting Lender or any of its Subsidiaries, which has been approved by (i) Administrative Agent, and (ii) unless an Event of Default has occurred and is continuing, Borrower.</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“Environmental Laws” means any and all federal, state, local and foreign statutes, laws, judicial decisions, regulations, ordinances, rules, judgments, orders, decrees, plans, injunctions, permits, concessions, grants, franchises, licenses, agreements and other governmental restrictions relating to (i) the protection of the environment, (ii) personal injury or property damage relating to the release or discharge of Hazardous Materials, (iii) emissions, discharges or releases of pollutants, contaminants, hazardous substances or wastes into surface water, ground water or land, or (iv) the manufacture, processing, distribution, use, treatment, storage, disposal, transport or handling of pollutants, contaminants, hazardous substances or wastes or the clean-up or other remediation thereof.</w:t>
      </w:r>
    </w:p>
    <w:p>
      <w:pPr>
        <w:spacing w:after="0" w:line="238" w:lineRule="exact"/>
        <w:rPr>
          <w:sz w:val="20"/>
          <w:szCs w:val="20"/>
          <w:color w:val="auto"/>
        </w:rPr>
      </w:pPr>
    </w:p>
    <w:p>
      <w:pPr>
        <w:ind w:right="40" w:firstLine="648"/>
        <w:spacing w:after="0" w:line="265" w:lineRule="auto"/>
        <w:rPr>
          <w:sz w:val="20"/>
          <w:szCs w:val="20"/>
          <w:color w:val="auto"/>
        </w:rPr>
      </w:pPr>
      <w:r>
        <w:rPr>
          <w:rFonts w:ascii="Arial" w:cs="Arial" w:eastAsia="Arial" w:hAnsi="Arial"/>
          <w:sz w:val="21"/>
          <w:szCs w:val="21"/>
          <w:color w:val="auto"/>
        </w:rPr>
        <w:t>“Equity Interests” means all shares, interests or other equivalents, however designated, of or in a corporation, limited liability company, or partnership, whether or not voting, including but not limited to common stock, member interests, partnership interests, warrants, preferred stock, convertible debentures, and all agreements, instruments and documents convertible, in whole or in part, into any one or more or all of the foregoing.</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“ERISA” means the Employee Retirement Income Security Act of 1974.</w:t>
      </w:r>
    </w:p>
    <w:p>
      <w:pPr>
        <w:spacing w:after="0" w:line="2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“ERISA Affiliate”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“ERISA Event” means (a) any “reportable event”, as defined in Section 4043 of ERISA or the regulations issued thereunder with respect to a Plan (other than an event for which the 30- day notice period is waived); (b) the failure with respect to any Plan to satisfy the “minimum funding</w:t>
      </w:r>
    </w:p>
    <w:p>
      <w:pPr>
        <w:spacing w:after="0" w:line="19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360" w:top="375" w:right="239" w:bottom="1440" w:gutter="0" w:footer="0" w:header="0"/>
        </w:sectPr>
      </w:pPr>
    </w:p>
    <w:bookmarkStart w:id="125" w:name="page126"/>
    <w:bookmarkEnd w:id="125"/>
    <w:p>
      <w:pPr>
        <w:jc w:val="both"/>
        <w:ind w:left="4"/>
        <w:spacing w:after="0" w:line="263" w:lineRule="auto"/>
        <w:rPr>
          <w:sz w:val="20"/>
          <w:szCs w:val="20"/>
          <w:color w:val="auto"/>
        </w:rPr>
      </w:pPr>
      <w:r>
        <w:rPr>
          <w:rFonts w:ascii="Arial" w:cs="Arial" w:eastAsia="Arial" w:hAnsi="Arial"/>
          <w:sz w:val="22"/>
          <w:szCs w:val="22"/>
          <w:color w:val="auto"/>
        </w:rPr>
        <w:t>standard” (as defined in Section 412 of the Code or Section 302 of ERISA), whether or not waived; (c) the filing pursuant to Section 412(c) of the Code or Section 302(c) of ERISA of</w:t>
      </w:r>
    </w:p>
    <w:p>
      <w:pPr>
        <w:spacing w:after="0" w:line="256" w:lineRule="exact"/>
        <w:rPr>
          <w:sz w:val="20"/>
          <w:szCs w:val="20"/>
          <w:color w:val="auto"/>
        </w:rPr>
      </w:pPr>
    </w:p>
    <w:p>
      <w:pPr>
        <w:jc w:val="both"/>
        <w:ind w:left="4"/>
        <w:spacing w:after="0" w:line="259" w:lineRule="auto"/>
        <w:rPr>
          <w:sz w:val="20"/>
          <w:szCs w:val="20"/>
          <w:color w:val="auto"/>
        </w:rPr>
      </w:pPr>
      <w:r>
        <w:rPr>
          <w:rFonts w:ascii="Arial" w:cs="Arial" w:eastAsia="Arial" w:hAnsi="Arial"/>
          <w:sz w:val="21"/>
          <w:szCs w:val="21"/>
          <w:color w:val="auto"/>
        </w:rPr>
        <w:t>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of the Borrower or any of its ERISA Affiliates from any Plan or Multiemployer Plan; or (g) the receipt by the Borrower or any ERISA Affiliate of any notice, or the receipt by any Multiemployer Plan from the Borrower or any ERISA Affiliate of any notice, concerning the imposition upon the Borrower or any of its ERISA Affiliates of withdrawal liability under Section 4201 of ERISA or a determination that a Multiemployer Plan is, or is expected to be, insolvent, within the meaning of Title IV of ERISA.</w:t>
      </w:r>
    </w:p>
    <w:p>
      <w:pPr>
        <w:spacing w:after="0" w:line="221" w:lineRule="exact"/>
        <w:rPr>
          <w:sz w:val="20"/>
          <w:szCs w:val="20"/>
          <w:color w:val="auto"/>
        </w:rPr>
      </w:pPr>
    </w:p>
    <w:p>
      <w:pPr>
        <w:ind w:left="644"/>
        <w:spacing w:after="0"/>
        <w:rPr>
          <w:sz w:val="20"/>
          <w:szCs w:val="20"/>
          <w:color w:val="auto"/>
        </w:rPr>
      </w:pPr>
      <w:r>
        <w:rPr>
          <w:rFonts w:ascii="Arial" w:cs="Arial" w:eastAsia="Arial" w:hAnsi="Arial"/>
          <w:sz w:val="22"/>
          <w:szCs w:val="22"/>
          <w:color w:val="auto"/>
        </w:rPr>
        <w:t>“EU” means the European Union.</w:t>
      </w:r>
    </w:p>
    <w:p>
      <w:pPr>
        <w:spacing w:after="0" w:line="260"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22"/>
          <w:szCs w:val="22"/>
          <w:color w:val="auto"/>
        </w:rPr>
        <w:t>“EU Bail-In Legislation Schedule” means the EU Bail-In Legislation Schedule published by the Loan Market Association (or any successor person), as in effect from time to time.</w:t>
      </w:r>
    </w:p>
    <w:p>
      <w:pPr>
        <w:spacing w:after="0" w:line="215"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22"/>
          <w:szCs w:val="22"/>
          <w:color w:val="auto"/>
        </w:rPr>
        <w:t>“Eurocurrency Advance” means an Advance which, except as otherwise provided in Section 2.11, bears interest at the applicable Eurocurrency Rate.</w:t>
      </w:r>
    </w:p>
    <w:p>
      <w:pPr>
        <w:spacing w:after="0" w:line="215" w:lineRule="exact"/>
        <w:rPr>
          <w:sz w:val="20"/>
          <w:szCs w:val="20"/>
          <w:color w:val="auto"/>
        </w:rPr>
      </w:pPr>
    </w:p>
    <w:p>
      <w:pPr>
        <w:ind w:left="644"/>
        <w:spacing w:after="0"/>
        <w:rPr>
          <w:sz w:val="20"/>
          <w:szCs w:val="20"/>
          <w:color w:val="auto"/>
        </w:rPr>
      </w:pPr>
      <w:r>
        <w:rPr>
          <w:rFonts w:ascii="Arial" w:cs="Arial" w:eastAsia="Arial" w:hAnsi="Arial"/>
          <w:sz w:val="19"/>
          <w:szCs w:val="19"/>
          <w:color w:val="auto"/>
        </w:rPr>
        <w:t>“Eurocurrency Base Rate” means, with respect to a Eurocurrency Advance for the relevant Interest Period, the greater of</w:t>
      </w:r>
    </w:p>
    <w:p>
      <w:pPr>
        <w:spacing w:after="0" w:line="56" w:lineRule="exact"/>
        <w:rPr>
          <w:sz w:val="20"/>
          <w:szCs w:val="20"/>
          <w:color w:val="auto"/>
        </w:rPr>
      </w:pPr>
    </w:p>
    <w:p>
      <w:pPr>
        <w:jc w:val="both"/>
        <w:ind w:left="4" w:hanging="4"/>
        <w:spacing w:after="0" w:line="285" w:lineRule="auto"/>
        <w:tabs>
          <w:tab w:leader="none" w:pos="324"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zero percent (0.0%) and (b) the applicable interest settlement rate for deposits in Dollars administered by ICE Benchmark Administration (or any other Person that takes over the administration of such rate) appearing on the applicable Reuters Screen (or on any successor or substitute page on such screen) as of 11:00 a.m. (London time) on the Quotation Date for such Interest Period, and having a maturity equal to such Interest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applicable Reuters Screen (or any successor or substitute page) is not available to the Administrative Agent for any reason, the applicable Eurocurrency Base Rate for the relevant Interest Period shall instead be the applicable interest settlement rate for deposits in Dollars administered by ICE Benchmark Administration (or any other Person that takes over the administration of such rate) as reported by any other generally recognized financial information service selected by the Administrative Agent as of 11:00 a.m. (London time) on the Quotation Date for such Interest Period, and having a maturity equal to such Interest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no such interest settlement rate administered by ICE Benchmark Administration (or any other Person that takes over the administration of such rate) is available to the Administrative Agent, the applicable Eurocurrency Base Rate for the relevant Interest Period shall instead be the rate determined by the Administrative Agent to be the rate at which U.S. Bank or one of its Affiliate banks offers to place deposits in Dollars with first-class banks in the interbank market at approximately 11:00 a.m. (London time) two (2) Business Days prior to the first day of such Interest Period, in the approximate amount of U.S. Bank’s relevant Eurocurrency Loan and having a maturity equal to such Interest Period.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4"/>
          </w:cols>
          <w:pgMar w:left="356" w:top="375" w:right="239" w:bottom="1440" w:gutter="0" w:footer="0" w:header="0"/>
        </w:sectPr>
      </w:pPr>
    </w:p>
    <w:bookmarkStart w:id="126" w:name="page127"/>
    <w:bookmarkEnd w:id="126"/>
    <w:p>
      <w:pPr>
        <w:ind w:left="40" w:firstLine="648"/>
        <w:spacing w:after="0" w:line="263" w:lineRule="auto"/>
        <w:rPr>
          <w:sz w:val="20"/>
          <w:szCs w:val="20"/>
          <w:color w:val="auto"/>
        </w:rPr>
      </w:pPr>
      <w:r>
        <w:rPr>
          <w:rFonts w:ascii="Arial" w:cs="Arial" w:eastAsia="Arial" w:hAnsi="Arial"/>
          <w:sz w:val="22"/>
          <w:szCs w:val="22"/>
          <w:color w:val="auto"/>
        </w:rPr>
        <w:t>“Eurocurrency Loan” means a Loan which, except as otherwise provided in Section 2.11, bears interest at the applicable Eurocurrency Rate.</w:t>
      </w:r>
    </w:p>
    <w:p>
      <w:pPr>
        <w:spacing w:after="0" w:line="2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“Eurocurrency Rate” means, with respect to a Eurocurrency Advance for the relevant Interest Period, the sum of (i) the quotient of (a) the Eurocurrency Base Rate applicable to such Interest Period, </w:t>
      </w:r>
      <w:r>
        <w:rPr>
          <w:rFonts w:ascii="Arial" w:cs="Arial" w:eastAsia="Arial" w:hAnsi="Arial"/>
          <w:sz w:val="22"/>
          <w:szCs w:val="22"/>
          <w:i w:val="1"/>
          <w:iCs w:val="1"/>
          <w:color w:val="auto"/>
        </w:rPr>
        <w:t>divided by</w:t>
      </w:r>
      <w:r>
        <w:rPr>
          <w:rFonts w:ascii="Arial" w:cs="Arial" w:eastAsia="Arial" w:hAnsi="Arial"/>
          <w:sz w:val="22"/>
          <w:szCs w:val="22"/>
          <w:color w:val="auto"/>
        </w:rPr>
        <w:t xml:space="preserve"> (b) one </w:t>
      </w:r>
      <w:r>
        <w:rPr>
          <w:rFonts w:ascii="Arial" w:cs="Arial" w:eastAsia="Arial" w:hAnsi="Arial"/>
          <w:sz w:val="22"/>
          <w:szCs w:val="22"/>
          <w:i w:val="1"/>
          <w:iCs w:val="1"/>
          <w:color w:val="auto"/>
        </w:rPr>
        <w:t>minus</w:t>
      </w:r>
      <w:r>
        <w:rPr>
          <w:rFonts w:ascii="Arial" w:cs="Arial" w:eastAsia="Arial" w:hAnsi="Arial"/>
          <w:sz w:val="22"/>
          <w:szCs w:val="22"/>
          <w:color w:val="auto"/>
        </w:rPr>
        <w:t xml:space="preserve"> the Reserve Requirement (expressed as a decimal) applicable to such Interest Period, </w:t>
      </w:r>
      <w:r>
        <w:rPr>
          <w:rFonts w:ascii="Arial" w:cs="Arial" w:eastAsia="Arial" w:hAnsi="Arial"/>
          <w:sz w:val="22"/>
          <w:szCs w:val="22"/>
          <w:i w:val="1"/>
          <w:iCs w:val="1"/>
          <w:color w:val="auto"/>
        </w:rPr>
        <w:t>plus</w:t>
      </w:r>
      <w:r>
        <w:rPr>
          <w:rFonts w:ascii="Arial" w:cs="Arial" w:eastAsia="Arial" w:hAnsi="Arial"/>
          <w:sz w:val="22"/>
          <w:szCs w:val="22"/>
          <w:color w:val="auto"/>
        </w:rPr>
        <w:t xml:space="preserve"> (ii) the Applicable Margin.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“Event of Default” is defined in Article VII.</w:t>
      </w:r>
    </w:p>
    <w:p>
      <w:pPr>
        <w:spacing w:after="0" w:line="26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“Excluded Swap Obligation” means, with respect to any Guarantor, any Swap Obligation with respect to a Lender-Provided Swap if, and only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including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9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“Excluded Taxes” means, in the case of each Lender or applicable Lending Installation, the LC Issuer, and the Administrative Agent, (i) Taxes imposed on its overall net income, franchise Taxes, gross receipts or revenue and branch profits Taxes imposed on it, by the respective jurisdiction under the laws of which such Lender, the LC Issuer or the Administrative Agent is incorporated or is organized or is doing business or in which its principal executive office is located or, in the case of a Lender, in which such Lender’s applicable Lending Installation is located or is doing business, (ii) in the case of a Non-U.S. Lender, any U.S. federal withholding Tax that is imposed on amounts payable to such Non-U.S. Lender pursuant to the laws in effect at the time such Non-U.S. Lender becomes a party to this Agreement or designates a new Lending Installation, except in each case to the extent that, pursuant to Section 3.5(a), amounts with respect to such Taxes were payable either to such Lender’s assignor immediately before such Lender became a party hereto or to such Lender immediately before it changed its Lending Installation, or is attributable to the Non-U.S. Lender’s failure to comply with Section 3.5(f), and (iii) any U.S. federal withholding Taxes imposed by FATCA.</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“Exhibit” refers to an exhibit to this Agreement, unless another document is specifically referenced.</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“Facility LC” is defined in Section 2.19(a)</w:t>
      </w:r>
    </w:p>
    <w:p>
      <w:pPr>
        <w:spacing w:after="0" w:line="200" w:lineRule="exact"/>
        <w:rPr>
          <w:sz w:val="20"/>
          <w:szCs w:val="20"/>
          <w:color w:val="auto"/>
        </w:rPr>
      </w:pPr>
    </w:p>
    <w:p>
      <w:pPr>
        <w:spacing w:after="0" w:line="28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320" w:top="375" w:right="239" w:bottom="1440" w:gutter="0" w:footer="0" w:header="0"/>
        </w:sectPr>
      </w:pPr>
    </w:p>
    <w:bookmarkStart w:id="127" w:name="page128"/>
    <w:bookmarkEnd w:id="127"/>
    <w:p>
      <w:pPr>
        <w:ind w:left="660"/>
        <w:spacing w:after="0"/>
        <w:rPr>
          <w:sz w:val="20"/>
          <w:szCs w:val="20"/>
          <w:color w:val="auto"/>
        </w:rPr>
      </w:pPr>
      <w:r>
        <w:rPr>
          <w:rFonts w:ascii="Arial" w:cs="Arial" w:eastAsia="Arial" w:hAnsi="Arial"/>
          <w:sz w:val="21"/>
          <w:szCs w:val="21"/>
          <w:color w:val="auto"/>
        </w:rPr>
        <w:t>“Facility LC Application” is defined in Section 2.19(c). “Facility LC Collateral Account” is defined in Section 2.19(k).</w:t>
      </w:r>
    </w:p>
    <w:p>
      <w:pPr>
        <w:spacing w:after="0" w:line="12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“Facility Termination Date” means November 1, 2019 or any earlier date on which the Aggregate Revolving Commitment is reduced to zero or otherwise terminated pursuant to the terms hereof.</w:t>
      </w:r>
    </w:p>
    <w:p>
      <w:pPr>
        <w:spacing w:after="0" w:line="256" w:lineRule="exact"/>
        <w:rPr>
          <w:sz w:val="20"/>
          <w:szCs w:val="20"/>
          <w:color w:val="auto"/>
        </w:rPr>
      </w:pPr>
    </w:p>
    <w:p>
      <w:pPr>
        <w:jc w:val="both"/>
        <w:ind w:left="40" w:firstLine="648"/>
        <w:spacing w:after="0" w:line="263" w:lineRule="auto"/>
        <w:rPr>
          <w:sz w:val="20"/>
          <w:szCs w:val="20"/>
          <w:color w:val="auto"/>
        </w:rPr>
      </w:pPr>
      <w:r>
        <w:rPr>
          <w:rFonts w:ascii="Arial" w:cs="Arial" w:eastAsia="Arial" w:hAnsi="Arial"/>
          <w:sz w:val="21"/>
          <w:szCs w:val="21"/>
          <w:color w:val="auto"/>
        </w:rPr>
        <w:t>“FATCA”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216" w:lineRule="exact"/>
        <w:rPr>
          <w:sz w:val="20"/>
          <w:szCs w:val="20"/>
          <w:color w:val="auto"/>
        </w:rPr>
      </w:pPr>
    </w:p>
    <w:p>
      <w:pPr>
        <w:jc w:val="both"/>
        <w:ind w:left="40" w:firstLine="648"/>
        <w:spacing w:after="0" w:line="292" w:lineRule="auto"/>
        <w:rPr>
          <w:sz w:val="20"/>
          <w:szCs w:val="20"/>
          <w:color w:val="auto"/>
        </w:rPr>
      </w:pPr>
      <w:r>
        <w:rPr>
          <w:rFonts w:ascii="Arial" w:cs="Arial" w:eastAsia="Arial" w:hAnsi="Arial"/>
          <w:sz w:val="19"/>
          <w:szCs w:val="19"/>
          <w:color w:val="auto"/>
        </w:rPr>
        <w:t>“Federal Funds Effective Rate” means, for any day, the greater of (a) zero percent (0.0%) and (b)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or, if such rate is not so published for any day which is a Business Day, the average of the quotations at approximately 10:00 a.m. (Central time) on such day on such transactions received by the Administrative Agent from three (3) Federal funds brokers of recognized standing selected by the Administrative Agent in its sole discretion.</w:t>
      </w:r>
    </w:p>
    <w:p>
      <w:pPr>
        <w:spacing w:after="0" w:line="192" w:lineRule="exact"/>
        <w:rPr>
          <w:sz w:val="20"/>
          <w:szCs w:val="20"/>
          <w:color w:val="auto"/>
        </w:rPr>
      </w:pPr>
    </w:p>
    <w:p>
      <w:pPr>
        <w:ind w:left="680"/>
        <w:spacing w:after="0"/>
        <w:rPr>
          <w:sz w:val="20"/>
          <w:szCs w:val="20"/>
          <w:color w:val="auto"/>
        </w:rPr>
      </w:pPr>
      <w:r>
        <w:rPr>
          <w:rFonts w:ascii="Arial" w:cs="Arial" w:eastAsia="Arial" w:hAnsi="Arial"/>
          <w:sz w:val="22"/>
          <w:szCs w:val="22"/>
          <w:color w:val="auto"/>
        </w:rPr>
        <w:t>“Fee Letter” is defined in Section 10.13.</w:t>
      </w:r>
    </w:p>
    <w:p>
      <w:pPr>
        <w:spacing w:after="0" w:line="260" w:lineRule="exact"/>
        <w:rPr>
          <w:sz w:val="20"/>
          <w:szCs w:val="20"/>
          <w:color w:val="auto"/>
        </w:rPr>
      </w:pPr>
    </w:p>
    <w:p>
      <w:pPr>
        <w:jc w:val="both"/>
        <w:ind w:left="40" w:firstLine="648"/>
        <w:spacing w:after="0" w:line="265" w:lineRule="auto"/>
        <w:rPr>
          <w:sz w:val="20"/>
          <w:szCs w:val="20"/>
          <w:color w:val="auto"/>
        </w:rPr>
      </w:pPr>
      <w:r>
        <w:rPr>
          <w:rFonts w:ascii="Arial" w:cs="Arial" w:eastAsia="Arial" w:hAnsi="Arial"/>
          <w:sz w:val="21"/>
          <w:szCs w:val="21"/>
          <w:color w:val="auto"/>
        </w:rPr>
        <w:t>“Foreign Currency Hedging Agreement” means Any foreign currency swap, exchange, cap, collar, floor, forward, future or option agreement, or any other similar hedging arrangement, between the Borrower or any Restricted Subsidiary, as the case may be, and the Administrative Agent or any Lender, provided that such agreements are entered into by such Person in the ordinary course of its business and not for purposes of speculation.</w:t>
      </w:r>
    </w:p>
    <w:p>
      <w:pPr>
        <w:spacing w:after="0" w:line="216" w:lineRule="exact"/>
        <w:rPr>
          <w:sz w:val="20"/>
          <w:szCs w:val="20"/>
          <w:color w:val="auto"/>
        </w:rPr>
      </w:pPr>
    </w:p>
    <w:p>
      <w:pPr>
        <w:jc w:val="both"/>
        <w:ind w:left="40" w:firstLine="648"/>
        <w:spacing w:after="0" w:line="263" w:lineRule="auto"/>
        <w:rPr>
          <w:sz w:val="20"/>
          <w:szCs w:val="20"/>
          <w:color w:val="auto"/>
        </w:rPr>
      </w:pPr>
      <w:r>
        <w:rPr>
          <w:rFonts w:ascii="Arial" w:cs="Arial" w:eastAsia="Arial" w:hAnsi="Arial"/>
          <w:sz w:val="22"/>
          <w:szCs w:val="22"/>
          <w:color w:val="auto"/>
        </w:rPr>
        <w:t>“Foreign Subsidiary” means any Subsidiary organized under the laws of a jurisdiction not located in the United States of America.</w:t>
      </w:r>
    </w:p>
    <w:p>
      <w:pPr>
        <w:spacing w:after="0" w:line="215" w:lineRule="exact"/>
        <w:rPr>
          <w:sz w:val="20"/>
          <w:szCs w:val="20"/>
          <w:color w:val="auto"/>
        </w:rPr>
      </w:pPr>
    </w:p>
    <w:p>
      <w:pPr>
        <w:jc w:val="both"/>
        <w:ind w:left="40" w:firstLine="648"/>
        <w:spacing w:after="0" w:line="261" w:lineRule="auto"/>
        <w:rPr>
          <w:sz w:val="20"/>
          <w:szCs w:val="20"/>
          <w:color w:val="auto"/>
        </w:rPr>
      </w:pPr>
      <w:r>
        <w:rPr>
          <w:rFonts w:ascii="Arial" w:cs="Arial" w:eastAsia="Arial" w:hAnsi="Arial"/>
          <w:sz w:val="21"/>
          <w:szCs w:val="21"/>
          <w:color w:val="auto"/>
        </w:rPr>
        <w:t>“Fronting Exposure” means, at any time there is a Defaulting Lender, (a) with respect to the LC Issuer, such Defaulting Lender’s ratable share of the LC Obligations with respect to Facility LCs issued by the LC Issuer other than LC Obligations as to which such Defaulting Lender’s participation obligation has been reallocated to other Lenders or Cash Collateralized in accordance with the terms hereof, and (b) with respect to the Swing Line Lender, such Defaulting Lender’s ratable share of outstanding Swing Line Loans made by the Swing Line Lender other than Swing Line Loans as to which such Defaulting Lender’s participation obligation has been reallocated to other Lenders.</w:t>
      </w:r>
    </w:p>
    <w:p>
      <w:pPr>
        <w:spacing w:after="0" w:line="200" w:lineRule="exact"/>
        <w:rPr>
          <w:sz w:val="20"/>
          <w:szCs w:val="20"/>
          <w:color w:val="auto"/>
        </w:rPr>
      </w:pPr>
    </w:p>
    <w:p>
      <w:pPr>
        <w:spacing w:after="0" w:line="24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320" w:top="483" w:right="239" w:bottom="1440" w:gutter="0" w:footer="0" w:header="0"/>
        </w:sectPr>
      </w:pPr>
    </w:p>
    <w:bookmarkStart w:id="128" w:name="page129"/>
    <w:bookmarkEnd w:id="128"/>
    <w:p>
      <w:pPr>
        <w:jc w:val="both"/>
        <w:ind w:left="4" w:firstLine="648"/>
        <w:spacing w:after="0" w:line="287" w:lineRule="auto"/>
        <w:rPr>
          <w:sz w:val="20"/>
          <w:szCs w:val="20"/>
          <w:color w:val="auto"/>
        </w:rPr>
      </w:pPr>
      <w:r>
        <w:rPr>
          <w:rFonts w:ascii="Arial" w:cs="Arial" w:eastAsia="Arial" w:hAnsi="Arial"/>
          <w:sz w:val="21"/>
          <w:szCs w:val="21"/>
          <w:color w:val="auto"/>
        </w:rPr>
        <w:t>“Fund” means any Person (other than a natural person) that is (or will be) engaged in making, purchasing, holding or otherwise investing in commercial loans and similar extensions of credit in the ordinary course of its business.</w:t>
      </w:r>
    </w:p>
    <w:p>
      <w:pPr>
        <w:spacing w:after="0" w:line="192" w:lineRule="exact"/>
        <w:rPr>
          <w:sz w:val="20"/>
          <w:szCs w:val="20"/>
          <w:color w:val="auto"/>
        </w:rPr>
      </w:pPr>
    </w:p>
    <w:p>
      <w:pPr>
        <w:jc w:val="both"/>
        <w:ind w:left="4" w:right="20" w:firstLine="648"/>
        <w:spacing w:after="0" w:line="343" w:lineRule="auto"/>
        <w:rPr>
          <w:sz w:val="20"/>
          <w:szCs w:val="20"/>
          <w:color w:val="auto"/>
        </w:rPr>
      </w:pPr>
      <w:r>
        <w:rPr>
          <w:rFonts w:ascii="Arial" w:cs="Arial" w:eastAsia="Arial" w:hAnsi="Arial"/>
          <w:sz w:val="19"/>
          <w:szCs w:val="19"/>
          <w:color w:val="auto"/>
        </w:rPr>
        <w:t>“GAAP” means generally accepted accounting principles as in effect from time to time in the United States, applied in a manner consistent with that used in preparing the financial statements referred to in Section 5.5, subject at all times to Section 9.8.</w:t>
      </w:r>
    </w:p>
    <w:p>
      <w:pPr>
        <w:spacing w:after="0" w:line="145"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22"/>
          <w:szCs w:val="22"/>
          <w:color w:val="auto"/>
        </w:rPr>
        <w:t>“Governmental Authority” means the government of the United States of America or any other nation, or of any political subdivision thereof, whether state or local, and any agency,</w:t>
      </w:r>
    </w:p>
    <w:p>
      <w:pPr>
        <w:spacing w:after="0" w:line="256" w:lineRule="exact"/>
        <w:rPr>
          <w:sz w:val="20"/>
          <w:szCs w:val="20"/>
          <w:color w:val="auto"/>
        </w:rPr>
      </w:pPr>
    </w:p>
    <w:p>
      <w:pPr>
        <w:jc w:val="both"/>
        <w:ind w:left="4"/>
        <w:spacing w:after="0" w:line="247" w:lineRule="auto"/>
        <w:rPr>
          <w:sz w:val="20"/>
          <w:szCs w:val="20"/>
          <w:color w:val="auto"/>
        </w:rPr>
      </w:pPr>
      <w:r>
        <w:rPr>
          <w:rFonts w:ascii="Arial" w:cs="Arial" w:eastAsia="Arial" w:hAnsi="Arial"/>
          <w:sz w:val="22"/>
          <w:szCs w:val="22"/>
          <w:color w:val="auto"/>
        </w:rPr>
        <w:t>authority, instrumentality, regulatory body, court, central bank or other entity exercising executive, legislative, judicial, taxing, regulatory or administrative powers or functions of or pertaining to government (including, without limitation,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Supervisory Practices or any successor or similar authority to any of the foregoing).</w:t>
      </w:r>
    </w:p>
    <w:p>
      <w:pPr>
        <w:spacing w:after="0" w:line="234"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22"/>
          <w:szCs w:val="22"/>
          <w:color w:val="auto"/>
        </w:rPr>
        <w:t>“Guaranty” means any guaranty executed by a Loan Party in favor of the Administrative Agent pursuant to Section 6.22, or otherwise.</w:t>
      </w:r>
    </w:p>
    <w:p>
      <w:pPr>
        <w:spacing w:after="0" w:line="215"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22"/>
          <w:szCs w:val="22"/>
          <w:color w:val="auto"/>
        </w:rPr>
        <w:t>“Guarantor” means any Loan Party that executes a guaranty in favor of the Administrative Agent pursuant to Section 6.22, or otherwise.</w:t>
      </w:r>
    </w:p>
    <w:p>
      <w:pPr>
        <w:spacing w:after="0" w:line="215" w:lineRule="exact"/>
        <w:rPr>
          <w:sz w:val="20"/>
          <w:szCs w:val="20"/>
          <w:color w:val="auto"/>
        </w:rPr>
      </w:pPr>
    </w:p>
    <w:p>
      <w:pPr>
        <w:jc w:val="both"/>
        <w:ind w:left="4" w:firstLine="648"/>
        <w:spacing w:after="0" w:line="250" w:lineRule="auto"/>
        <w:rPr>
          <w:sz w:val="20"/>
          <w:szCs w:val="20"/>
          <w:color w:val="auto"/>
        </w:rPr>
      </w:pPr>
      <w:r>
        <w:rPr>
          <w:rFonts w:ascii="Arial" w:cs="Arial" w:eastAsia="Arial" w:hAnsi="Arial"/>
          <w:sz w:val="22"/>
          <w:szCs w:val="22"/>
          <w:color w:val="auto"/>
        </w:rPr>
        <w:t>“Hazardous Material” means any explosive or radioactive substances or wastes, any hazardous or toxic substances, wastes or other pollutants, including petroleum or petroleum distillates, asbestos or asbestos containing materials, polychlorinated biphenyls, radon gas, infectious or medical wastes and any other substances or wastes of any nature regulated pursuant to any Environmental Law.</w:t>
      </w:r>
    </w:p>
    <w:p>
      <w:pPr>
        <w:spacing w:after="0" w:line="229"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22"/>
          <w:szCs w:val="22"/>
          <w:color w:val="auto"/>
        </w:rPr>
        <w:t>“Highest Lawful Rate” means, on any day, the maximum non-usurious rate of interest permitted for that day by applicable federal or state law stated as a rate per annum.</w:t>
      </w:r>
    </w:p>
    <w:p>
      <w:pPr>
        <w:spacing w:after="0" w:line="215" w:lineRule="exact"/>
        <w:rPr>
          <w:sz w:val="20"/>
          <w:szCs w:val="20"/>
          <w:color w:val="auto"/>
        </w:rPr>
      </w:pPr>
    </w:p>
    <w:p>
      <w:pPr>
        <w:jc w:val="both"/>
        <w:ind w:left="4" w:firstLine="648"/>
        <w:spacing w:after="0" w:line="286" w:lineRule="auto"/>
        <w:rPr>
          <w:sz w:val="20"/>
          <w:szCs w:val="20"/>
          <w:color w:val="auto"/>
        </w:rPr>
      </w:pPr>
      <w:r>
        <w:rPr>
          <w:rFonts w:ascii="Arial" w:cs="Arial" w:eastAsia="Arial" w:hAnsi="Arial"/>
          <w:sz w:val="19"/>
          <w:szCs w:val="19"/>
          <w:color w:val="auto"/>
        </w:rPr>
        <w:t>“Indebtedness” means, with respect to any Person at the time of any determination, without duplication, all obligations of such Person that should be classified upon the balance sheet of such Person as liabilities, but in any event including: (a) all obligations of such Person for borrowed money (including non-recourse obligations and the Obligations under this Agreement and the other Loan Documents), (b) all obligations of such Person evidenced by bonds, debentures, notes, or other similar instruments,</w:t>
      </w:r>
    </w:p>
    <w:p>
      <w:pPr>
        <w:spacing w:after="0" w:line="3" w:lineRule="exact"/>
        <w:rPr>
          <w:sz w:val="20"/>
          <w:szCs w:val="20"/>
          <w:color w:val="auto"/>
        </w:rPr>
      </w:pPr>
    </w:p>
    <w:p>
      <w:pPr>
        <w:ind w:left="4" w:hanging="4"/>
        <w:spacing w:after="0" w:line="255" w:lineRule="auto"/>
        <w:tabs>
          <w:tab w:leader="none" w:pos="309" w:val="left"/>
        </w:tabs>
        <w:numPr>
          <w:ilvl w:val="0"/>
          <w:numId w:val="46"/>
        </w:numPr>
        <w:rPr>
          <w:rFonts w:ascii="Arial" w:cs="Arial" w:eastAsia="Arial" w:hAnsi="Arial"/>
          <w:sz w:val="21"/>
          <w:szCs w:val="21"/>
          <w:color w:val="auto"/>
        </w:rPr>
      </w:pPr>
      <w:r>
        <w:rPr>
          <w:rFonts w:ascii="Arial" w:cs="Arial" w:eastAsia="Arial" w:hAnsi="Arial"/>
          <w:sz w:val="21"/>
          <w:szCs w:val="21"/>
          <w:color w:val="auto"/>
        </w:rPr>
        <w:t>all obligations of such Person upon which interest charges are customarily paid or accrued, (d) all obligations of such Person under conditional sale or other title retention agreements relating to property purchased by such Person,</w:t>
      </w:r>
    </w:p>
    <w:p>
      <w:pPr>
        <w:jc w:val="both"/>
        <w:ind w:left="4" w:hanging="4"/>
        <w:spacing w:after="0" w:line="244" w:lineRule="auto"/>
        <w:tabs>
          <w:tab w:leader="none" w:pos="527" w:val="left"/>
        </w:tabs>
        <w:numPr>
          <w:ilvl w:val="0"/>
          <w:numId w:val="47"/>
        </w:numPr>
        <w:rPr>
          <w:rFonts w:ascii="Arial" w:cs="Arial" w:eastAsia="Arial" w:hAnsi="Arial"/>
          <w:sz w:val="22"/>
          <w:szCs w:val="22"/>
          <w:color w:val="auto"/>
        </w:rPr>
      </w:pPr>
      <w:r>
        <w:rPr>
          <w:rFonts w:ascii="Arial" w:cs="Arial" w:eastAsia="Arial" w:hAnsi="Arial"/>
          <w:sz w:val="22"/>
          <w:szCs w:val="22"/>
          <w:color w:val="auto"/>
        </w:rPr>
        <w:t>all obligations of such Person issued or assumed as the deferred purchase price of property or services (including any deferred or contingent consideration payable in connection with Acquisitions), but excluding trade payables incurred in the ordinary course of business that are not more than 120 days past due, (f) all obligations of others secured by any Lien on property owned</w:t>
      </w:r>
    </w:p>
    <w:p>
      <w:pPr>
        <w:spacing w:after="0" w:line="203"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04"/>
          </w:cols>
          <w:pgMar w:left="356" w:top="375" w:right="239" w:bottom="1440" w:gutter="0" w:footer="0" w:header="0"/>
        </w:sectPr>
      </w:pPr>
    </w:p>
    <w:bookmarkStart w:id="129" w:name="page130"/>
    <w:bookmarkEnd w:id="129"/>
    <w:p>
      <w:pPr>
        <w:jc w:val="both"/>
        <w:ind w:left="40"/>
        <w:spacing w:after="0" w:line="246" w:lineRule="auto"/>
        <w:rPr>
          <w:sz w:val="20"/>
          <w:szCs w:val="20"/>
          <w:color w:val="auto"/>
        </w:rPr>
      </w:pPr>
      <w:r>
        <w:rPr>
          <w:rFonts w:ascii="Arial" w:cs="Arial" w:eastAsia="Arial" w:hAnsi="Arial"/>
          <w:sz w:val="22"/>
          <w:szCs w:val="22"/>
          <w:color w:val="auto"/>
        </w:rPr>
        <w:t>or acquired by such Person, whether or not the obligations secured thereby have been assumed, (g) all Capitalized Lease Obligations of such Person, (h) for purposes of Section 6.11 only, all obligations of such Person in respect of interest rate swap agreements, cap or collar agreements, interest rate futures or option contracts, currency swap agreements, currency futures or option agreements, and other similar contracts, (i) all obligations of such Person, actual or contingent, as an account party in respect of letters of credit or bankers’ acceptances, (j) all obligations of any partnership or joint venture as to which such Person is or may become personally liable, (k) all obligations of such Person under any Equity Interests issued by such Person, and (l) all Contingent Obligations of such Person.</w:t>
      </w:r>
    </w:p>
    <w:p>
      <w:pPr>
        <w:spacing w:after="0" w:line="2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“Indemnified Taxes” means Taxes imposed on or with respect to any payment made by or on account of any obligation of any Loan Party under any Loan Document, other than Excluded Taxes and Other Taxes.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“Interest Differential” is defined in Section 3.4.</w:t>
      </w:r>
    </w:p>
    <w:p>
      <w:pPr>
        <w:spacing w:after="0" w:line="26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“Interest Period” means, with respect to a Eurocurrency Advance, a period of one (1), three (3), six (6), or twelve (12) months (or such other period agreed upon in writing by the Borrower and each Lender) commencing on a Business Day selected by the Borrower pursuant to this Agreement and ending on the day which corresponds numerically to such date one (1), three (3), six (6) or twelve (12) months thereafter (or such other period agreed upon in writing by the Borrower and each Lender),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that</w:t>
      </w:r>
    </w:p>
    <w:p>
      <w:pPr>
        <w:spacing w:after="0" w:line="233" w:lineRule="exact"/>
        <w:rPr>
          <w:sz w:val="20"/>
          <w:szCs w:val="20"/>
          <w:color w:val="auto"/>
        </w:rPr>
      </w:pPr>
    </w:p>
    <w:p>
      <w:pPr>
        <w:jc w:val="both"/>
        <w:ind w:firstLine="1306"/>
        <w:spacing w:after="0" w:line="260" w:lineRule="auto"/>
        <w:tabs>
          <w:tab w:leader="none" w:pos="177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any Interest Period that would otherwise end on a day which is not a Business Day shall be extended to the next succeeding Business Day unless such succeeding Business Day falls in a new calendar month, in which case such Interest Period shall end on the immediately preceding Business Day;</w:t>
      </w:r>
    </w:p>
    <w:p>
      <w:pPr>
        <w:spacing w:after="0" w:line="217" w:lineRule="exact"/>
        <w:rPr>
          <w:rFonts w:ascii="Arial" w:cs="Arial" w:eastAsia="Arial" w:hAnsi="Arial"/>
          <w:sz w:val="22"/>
          <w:szCs w:val="22"/>
          <w:color w:val="auto"/>
        </w:rPr>
      </w:pPr>
    </w:p>
    <w:p>
      <w:pPr>
        <w:jc w:val="both"/>
        <w:ind w:firstLine="1306"/>
        <w:spacing w:after="0" w:line="260" w:lineRule="auto"/>
        <w:tabs>
          <w:tab w:leader="none" w:pos="1742" w:val="left"/>
        </w:tabs>
        <w:numPr>
          <w:ilvl w:val="0"/>
          <w:numId w:val="48"/>
        </w:numPr>
        <w:rPr>
          <w:rFonts w:ascii="Arial" w:cs="Arial" w:eastAsia="Arial" w:hAnsi="Arial"/>
          <w:sz w:val="22"/>
          <w:szCs w:val="22"/>
          <w:color w:val="auto"/>
        </w:rPr>
      </w:pPr>
      <w:r>
        <w:rPr>
          <w:rFonts w:ascii="Arial" w:cs="Arial" w:eastAsia="Arial" w:hAnsi="Arial"/>
          <w:sz w:val="22"/>
          <w:szCs w:val="22"/>
          <w:color w:val="auto"/>
        </w:rPr>
        <w:t>any Interest Period that commences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96" w:lineRule="exact"/>
        <w:rPr>
          <w:rFonts w:ascii="Arial" w:cs="Arial" w:eastAsia="Arial" w:hAnsi="Arial"/>
          <w:sz w:val="22"/>
          <w:szCs w:val="22"/>
          <w:color w:val="auto"/>
        </w:rPr>
      </w:pPr>
    </w:p>
    <w:p>
      <w:pPr>
        <w:ind w:left="1720" w:hanging="414"/>
        <w:spacing w:after="0"/>
        <w:tabs>
          <w:tab w:leader="none" w:pos="1720" w:val="left"/>
        </w:tabs>
        <w:numPr>
          <w:ilvl w:val="0"/>
          <w:numId w:val="48"/>
        </w:numPr>
        <w:rPr>
          <w:rFonts w:ascii="Arial" w:cs="Arial" w:eastAsia="Arial" w:hAnsi="Arial"/>
          <w:sz w:val="19"/>
          <w:szCs w:val="19"/>
          <w:color w:val="auto"/>
        </w:rPr>
      </w:pPr>
      <w:r>
        <w:rPr>
          <w:rFonts w:ascii="Arial" w:cs="Arial" w:eastAsia="Arial" w:hAnsi="Arial"/>
          <w:sz w:val="19"/>
          <w:szCs w:val="19"/>
          <w:color w:val="auto"/>
        </w:rPr>
        <w:t>no Interest Period shall extend beyond the Facility Termination Date. “Investment” of a Person means (a) any</w:t>
      </w:r>
    </w:p>
    <w:p>
      <w:pPr>
        <w:spacing w:after="0" w:line="3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loan, advance (other than commission, travel and</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similar advances to officers and employees made in the ordinary course of business), extension of credit (other than accounts receivable arising in the ordinary course of business on terms customary in the trade) or contribution of capital by such Person; (b) Equity Interests, bonds, mutual funds, notes, debentures or other securities (including warrants or options to purchase securities) owned by such Person; (c) any certificate of deposit owned by such Person; and (d) structured notes, derivative financial instruments and other similar instruments or contracts owned by such Person. The amount of any Investment shall be the original cost of such Investment plus the cost of all additions thereto, without any adjustments for increases or decreases in value or write-ups, write-downs, or write-offs with respect to such Investment.</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320" w:top="375" w:right="239" w:bottom="1440" w:gutter="0" w:footer="0" w:header="0"/>
        </w:sectPr>
      </w:pPr>
    </w:p>
    <w:bookmarkStart w:id="130" w:name="page131"/>
    <w:bookmarkEnd w:id="130"/>
    <w:p>
      <w:pPr>
        <w:ind w:left="660"/>
        <w:spacing w:after="0"/>
        <w:rPr>
          <w:sz w:val="20"/>
          <w:szCs w:val="20"/>
          <w:color w:val="auto"/>
        </w:rPr>
      </w:pPr>
      <w:r>
        <w:rPr>
          <w:rFonts w:ascii="Arial" w:cs="Arial" w:eastAsia="Arial" w:hAnsi="Arial"/>
          <w:sz w:val="22"/>
          <w:szCs w:val="22"/>
          <w:color w:val="auto"/>
        </w:rPr>
        <w:t>“LC Fee” is defined in Section 2.19(d).</w:t>
      </w:r>
    </w:p>
    <w:p>
      <w:pPr>
        <w:spacing w:after="0" w:line="260" w:lineRule="exact"/>
        <w:rPr>
          <w:sz w:val="20"/>
          <w:szCs w:val="20"/>
          <w:color w:val="auto"/>
        </w:rPr>
      </w:pPr>
    </w:p>
    <w:p>
      <w:pPr>
        <w:ind w:right="3080" w:firstLine="648"/>
        <w:spacing w:after="0" w:line="263" w:lineRule="auto"/>
        <w:rPr>
          <w:sz w:val="20"/>
          <w:szCs w:val="20"/>
          <w:color w:val="auto"/>
        </w:rPr>
      </w:pPr>
      <w:r>
        <w:rPr>
          <w:rFonts w:ascii="Arial" w:cs="Arial" w:eastAsia="Arial" w:hAnsi="Arial"/>
          <w:sz w:val="22"/>
          <w:szCs w:val="22"/>
          <w:color w:val="auto"/>
        </w:rPr>
        <w:t>“LC Issuer” means U.S. Bank (or any subsidiary or affiliate of U.S. Bank designated by U.S. Bank) in its capacity as issuer of Facility LCs hereunder.</w:t>
      </w:r>
    </w:p>
    <w:p>
      <w:pPr>
        <w:spacing w:after="0" w:line="215" w:lineRule="exact"/>
        <w:rPr>
          <w:sz w:val="20"/>
          <w:szCs w:val="20"/>
          <w:color w:val="auto"/>
        </w:rPr>
      </w:pPr>
    </w:p>
    <w:p>
      <w:pPr>
        <w:ind w:right="20" w:firstLine="648"/>
        <w:spacing w:after="0" w:line="343" w:lineRule="auto"/>
        <w:rPr>
          <w:sz w:val="20"/>
          <w:szCs w:val="20"/>
          <w:color w:val="auto"/>
        </w:rPr>
      </w:pPr>
      <w:r>
        <w:rPr>
          <w:rFonts w:ascii="Arial" w:cs="Arial" w:eastAsia="Arial" w:hAnsi="Arial"/>
          <w:sz w:val="19"/>
          <w:szCs w:val="19"/>
          <w:color w:val="auto"/>
        </w:rPr>
        <w:t xml:space="preserve">“LC Obligations” means, at any time, the sum, without duplication, of (i) the aggregate undrawn stated amount under all Facility LCs outstanding at such time </w:t>
      </w:r>
      <w:r>
        <w:rPr>
          <w:rFonts w:ascii="Arial" w:cs="Arial" w:eastAsia="Arial" w:hAnsi="Arial"/>
          <w:sz w:val="19"/>
          <w:szCs w:val="19"/>
          <w:i w:val="1"/>
          <w:iCs w:val="1"/>
          <w:color w:val="auto"/>
        </w:rPr>
        <w:t>plus</w:t>
      </w:r>
      <w:r>
        <w:rPr>
          <w:rFonts w:ascii="Arial" w:cs="Arial" w:eastAsia="Arial" w:hAnsi="Arial"/>
          <w:sz w:val="19"/>
          <w:szCs w:val="19"/>
          <w:color w:val="auto"/>
        </w:rPr>
        <w:t xml:space="preserve"> (ii) the aggregate unpaid amount at such time of all Reimbursement Obligations.</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“LC Payment Date” is defined in Section 2.19(e).</w:t>
      </w:r>
    </w:p>
    <w:p>
      <w:pPr>
        <w:spacing w:after="0" w:line="301" w:lineRule="exact"/>
        <w:rPr>
          <w:sz w:val="20"/>
          <w:szCs w:val="20"/>
          <w:color w:val="auto"/>
        </w:rPr>
      </w:pPr>
    </w:p>
    <w:p>
      <w:pPr>
        <w:jc w:val="both"/>
        <w:ind w:left="40" w:firstLine="648"/>
        <w:spacing w:after="0" w:line="312" w:lineRule="auto"/>
        <w:rPr>
          <w:sz w:val="20"/>
          <w:szCs w:val="20"/>
          <w:color w:val="auto"/>
        </w:rPr>
      </w:pPr>
      <w:r>
        <w:rPr>
          <w:rFonts w:ascii="Arial" w:cs="Arial" w:eastAsia="Arial" w:hAnsi="Arial"/>
          <w:sz w:val="19"/>
          <w:szCs w:val="19"/>
          <w:color w:val="auto"/>
        </w:rPr>
        <w:t>“Lender-Provided Swap” means a Swap which is provided to the Borrower or any Subsidiary by the Administrative Agent or any Lender to the extent that such Swap is in existence on the Effective Date or the counterparty is the Administrative Agent or a Lender at the time such Swap is entered into (whether or not such Person ceases to be a Lender).</w:t>
      </w:r>
    </w:p>
    <w:p>
      <w:pPr>
        <w:spacing w:after="0" w:line="174" w:lineRule="exact"/>
        <w:rPr>
          <w:sz w:val="20"/>
          <w:szCs w:val="20"/>
          <w:color w:val="auto"/>
        </w:rPr>
      </w:pPr>
    </w:p>
    <w:p>
      <w:pPr>
        <w:jc w:val="both"/>
        <w:ind w:left="40" w:firstLine="648"/>
        <w:spacing w:after="0" w:line="343" w:lineRule="auto"/>
        <w:rPr>
          <w:sz w:val="20"/>
          <w:szCs w:val="20"/>
          <w:color w:val="auto"/>
        </w:rPr>
      </w:pPr>
      <w:r>
        <w:rPr>
          <w:rFonts w:ascii="Arial" w:cs="Arial" w:eastAsia="Arial" w:hAnsi="Arial"/>
          <w:sz w:val="19"/>
          <w:szCs w:val="19"/>
          <w:color w:val="auto"/>
        </w:rPr>
        <w:t>“Lenders” means the lending institutions listed on the signature pages of this Agreement and their respective successors and assigns. Unless otherwise specified, the term “Lenders” includes U.S. Bank in its capacity as Swing Line Lender.</w:t>
      </w:r>
    </w:p>
    <w:p>
      <w:pPr>
        <w:spacing w:after="0" w:line="145" w:lineRule="exact"/>
        <w:rPr>
          <w:sz w:val="20"/>
          <w:szCs w:val="20"/>
          <w:color w:val="auto"/>
        </w:rPr>
      </w:pPr>
    </w:p>
    <w:p>
      <w:pPr>
        <w:jc w:val="both"/>
        <w:ind w:left="40" w:firstLine="648"/>
        <w:spacing w:after="0" w:line="250" w:lineRule="auto"/>
        <w:rPr>
          <w:sz w:val="20"/>
          <w:szCs w:val="20"/>
          <w:color w:val="auto"/>
        </w:rPr>
      </w:pPr>
      <w:r>
        <w:rPr>
          <w:rFonts w:ascii="Arial" w:cs="Arial" w:eastAsia="Arial" w:hAnsi="Arial"/>
          <w:sz w:val="22"/>
          <w:szCs w:val="22"/>
          <w:color w:val="auto"/>
        </w:rPr>
        <w:t>“Lending Installation” means, with respect to a Lender or the Administrative Agent, the office, branch, subsidiary or affiliate of such Lender or the Administrative Agent listed on the signature pages hereof (in the case of the Administrative Agent) or on its Administrative Questionnaire (in the case of a Lender) or otherwise selected by such Lender or the Administrative Agent pursuant to Section 2.17.</w:t>
      </w:r>
    </w:p>
    <w:p>
      <w:pPr>
        <w:spacing w:after="0" w:line="229" w:lineRule="exact"/>
        <w:rPr>
          <w:sz w:val="20"/>
          <w:szCs w:val="20"/>
          <w:color w:val="auto"/>
        </w:rPr>
      </w:pPr>
    </w:p>
    <w:p>
      <w:pPr>
        <w:jc w:val="both"/>
        <w:ind w:left="40" w:right="20" w:firstLine="648"/>
        <w:spacing w:after="0" w:line="263" w:lineRule="auto"/>
        <w:rPr>
          <w:sz w:val="20"/>
          <w:szCs w:val="20"/>
          <w:color w:val="auto"/>
        </w:rPr>
      </w:pPr>
      <w:r>
        <w:rPr>
          <w:rFonts w:ascii="Arial" w:cs="Arial" w:eastAsia="Arial" w:hAnsi="Arial"/>
          <w:sz w:val="22"/>
          <w:szCs w:val="22"/>
          <w:color w:val="auto"/>
        </w:rPr>
        <w:t>“Letter of Credit” means a letter of credit or similar instrument which is issued upon the application of a Person or upon which a Person is an account party or for which a Person is in any way liable.</w:t>
      </w:r>
    </w:p>
    <w:p>
      <w:pPr>
        <w:spacing w:after="0" w:line="215" w:lineRule="exact"/>
        <w:rPr>
          <w:sz w:val="20"/>
          <w:szCs w:val="20"/>
          <w:color w:val="auto"/>
        </w:rPr>
      </w:pPr>
    </w:p>
    <w:p>
      <w:pPr>
        <w:jc w:val="both"/>
        <w:ind w:left="40" w:right="20" w:firstLine="648"/>
        <w:spacing w:after="0" w:line="253" w:lineRule="auto"/>
        <w:rPr>
          <w:sz w:val="20"/>
          <w:szCs w:val="20"/>
          <w:color w:val="auto"/>
        </w:rPr>
      </w:pPr>
      <w:r>
        <w:rPr>
          <w:rFonts w:ascii="Arial" w:cs="Arial" w:eastAsia="Arial" w:hAnsi="Arial"/>
          <w:sz w:val="22"/>
          <w:szCs w:val="22"/>
          <w:color w:val="auto"/>
        </w:rPr>
        <w:t>“Lien” means any lien (statutory or other), mortgage, pledge, hypothecation, assignment, encumbrance or other security agreement of any kind or nature whatsoever (including, without limitation, the interest of a vendor or lessor under any conditional sale, Capitalized Lease or other title retention agreement).</w:t>
      </w:r>
    </w:p>
    <w:p>
      <w:pPr>
        <w:spacing w:after="0" w:line="226" w:lineRule="exact"/>
        <w:rPr>
          <w:sz w:val="20"/>
          <w:szCs w:val="20"/>
          <w:color w:val="auto"/>
        </w:rPr>
      </w:pPr>
    </w:p>
    <w:p>
      <w:pPr>
        <w:ind w:left="680"/>
        <w:spacing w:after="0"/>
        <w:rPr>
          <w:sz w:val="20"/>
          <w:szCs w:val="20"/>
          <w:color w:val="auto"/>
        </w:rPr>
      </w:pPr>
      <w:r>
        <w:rPr>
          <w:rFonts w:ascii="Arial" w:cs="Arial" w:eastAsia="Arial" w:hAnsi="Arial"/>
          <w:sz w:val="22"/>
          <w:szCs w:val="22"/>
          <w:color w:val="auto"/>
        </w:rPr>
        <w:t>“Loan” means a Revolving Loan or a Swing Line Loan.</w:t>
      </w:r>
    </w:p>
    <w:p>
      <w:pPr>
        <w:spacing w:after="0" w:line="260" w:lineRule="exact"/>
        <w:rPr>
          <w:sz w:val="20"/>
          <w:szCs w:val="20"/>
          <w:color w:val="auto"/>
        </w:rPr>
      </w:pPr>
    </w:p>
    <w:p>
      <w:pPr>
        <w:jc w:val="both"/>
        <w:ind w:left="40" w:firstLine="648"/>
        <w:spacing w:after="0" w:line="250" w:lineRule="auto"/>
        <w:rPr>
          <w:sz w:val="20"/>
          <w:szCs w:val="20"/>
          <w:color w:val="auto"/>
        </w:rPr>
      </w:pPr>
      <w:r>
        <w:rPr>
          <w:rFonts w:ascii="Arial" w:cs="Arial" w:eastAsia="Arial" w:hAnsi="Arial"/>
          <w:sz w:val="22"/>
          <w:szCs w:val="22"/>
          <w:color w:val="auto"/>
        </w:rPr>
        <w:t>“Loan Documents” means this Agreement, the Facility LC Applications, the Collateral Documents, any guarantee, any Note or Notes executed by the Borrower in connection with this Agreement and payable to a Lender, and any other document or agreement, now or in the future, executed by the Borrower for the benefit of the Administrative Agent or any Lender in connection with this Agreement.</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22"/>
          <w:szCs w:val="22"/>
          <w:color w:val="auto"/>
        </w:rPr>
        <w:t>“Loan Party” or “Loan Parties” means, individually or collectively, the Borrower and the Guarantors.</w:t>
      </w:r>
    </w:p>
    <w:p>
      <w:pPr>
        <w:spacing w:after="0" w:line="22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320" w:top="631" w:right="239" w:bottom="1440" w:gutter="0" w:footer="0" w:header="0"/>
        </w:sectPr>
      </w:pPr>
    </w:p>
    <w:bookmarkStart w:id="131" w:name="page132"/>
    <w:bookmarkEnd w:id="131"/>
    <w:p>
      <w:pPr>
        <w:jc w:val="both"/>
        <w:ind w:left="4" w:right="20" w:firstLine="648"/>
        <w:spacing w:after="0" w:line="263" w:lineRule="auto"/>
        <w:rPr>
          <w:sz w:val="20"/>
          <w:szCs w:val="20"/>
          <w:color w:val="auto"/>
        </w:rPr>
      </w:pPr>
      <w:r>
        <w:rPr>
          <w:rFonts w:ascii="Arial" w:cs="Arial" w:eastAsia="Arial" w:hAnsi="Arial"/>
          <w:sz w:val="22"/>
          <w:szCs w:val="22"/>
          <w:color w:val="auto"/>
        </w:rPr>
        <w:t>“Material Acquisition” means any Permitted Acquisition that involves the payment of consideration by the Borrower and its Subsidiaries in excess of $10,000,000.</w:t>
      </w:r>
    </w:p>
    <w:p>
      <w:pPr>
        <w:spacing w:after="0" w:line="215" w:lineRule="exact"/>
        <w:rPr>
          <w:sz w:val="20"/>
          <w:szCs w:val="20"/>
          <w:color w:val="auto"/>
        </w:rPr>
      </w:pPr>
    </w:p>
    <w:p>
      <w:pPr>
        <w:jc w:val="both"/>
        <w:ind w:left="4" w:firstLine="648"/>
        <w:spacing w:after="0" w:line="265" w:lineRule="auto"/>
        <w:rPr>
          <w:sz w:val="20"/>
          <w:szCs w:val="20"/>
          <w:color w:val="auto"/>
        </w:rPr>
      </w:pPr>
      <w:r>
        <w:rPr>
          <w:rFonts w:ascii="Arial" w:cs="Arial" w:eastAsia="Arial" w:hAnsi="Arial"/>
          <w:sz w:val="21"/>
          <w:szCs w:val="21"/>
          <w:color w:val="auto"/>
        </w:rPr>
        <w:t>“Material Adverse Effect” means a material adverse effect on (i) the financial condition or operations of the Borrower and its Subsidiaries taken as a whole, (ii) the ability of the Borrower or any Guarantor to perform its obligations under the Loan Documents to which it is a party, or (iii) the validity or enforceability of any of the Loan Documents or the rights or remedies of the Administrative Agent, the LC Issuer or the Lenders under the Loan Documents.</w:t>
      </w:r>
    </w:p>
    <w:p>
      <w:pPr>
        <w:spacing w:after="0" w:line="216" w:lineRule="exact"/>
        <w:rPr>
          <w:sz w:val="20"/>
          <w:szCs w:val="20"/>
          <w:color w:val="auto"/>
        </w:rPr>
      </w:pPr>
    </w:p>
    <w:p>
      <w:pPr>
        <w:jc w:val="both"/>
        <w:ind w:left="4" w:firstLine="648"/>
        <w:spacing w:after="0" w:line="253" w:lineRule="auto"/>
        <w:rPr>
          <w:sz w:val="20"/>
          <w:szCs w:val="20"/>
          <w:color w:val="auto"/>
        </w:rPr>
      </w:pPr>
      <w:r>
        <w:rPr>
          <w:rFonts w:ascii="Arial" w:cs="Arial" w:eastAsia="Arial" w:hAnsi="Arial"/>
          <w:sz w:val="22"/>
          <w:szCs w:val="22"/>
          <w:color w:val="auto"/>
        </w:rPr>
        <w:t>“Material Disposition” means any sale, transfer or disposition of Property or series of related sales, transfers, or dispositions of Property (other than inventory in the ordinary course of business) that yields gross proceeds to the Borrower or any of its Subsidiaries in excess of 5% of</w:t>
      </w:r>
    </w:p>
    <w:p>
      <w:pPr>
        <w:spacing w:after="0" w:line="267" w:lineRule="exact"/>
        <w:rPr>
          <w:sz w:val="20"/>
          <w:szCs w:val="20"/>
          <w:color w:val="auto"/>
        </w:rPr>
      </w:pPr>
    </w:p>
    <w:p>
      <w:pPr>
        <w:jc w:val="both"/>
        <w:ind w:left="4"/>
        <w:spacing w:after="0" w:line="263" w:lineRule="auto"/>
        <w:rPr>
          <w:sz w:val="20"/>
          <w:szCs w:val="20"/>
          <w:color w:val="auto"/>
        </w:rPr>
      </w:pPr>
      <w:r>
        <w:rPr>
          <w:rFonts w:ascii="Arial" w:cs="Arial" w:eastAsia="Arial" w:hAnsi="Arial"/>
          <w:sz w:val="22"/>
          <w:szCs w:val="22"/>
          <w:color w:val="auto"/>
        </w:rPr>
        <w:t>the Borrower’s total consolidated assets; however, notwithstanding the foregoing, “Material Disposition” shall not include the China Facility Divestment.</w:t>
      </w:r>
    </w:p>
    <w:p>
      <w:pPr>
        <w:spacing w:after="0" w:line="215" w:lineRule="exact"/>
        <w:rPr>
          <w:sz w:val="20"/>
          <w:szCs w:val="20"/>
          <w:color w:val="auto"/>
        </w:rPr>
      </w:pPr>
    </w:p>
    <w:p>
      <w:pPr>
        <w:jc w:val="both"/>
        <w:ind w:left="4" w:firstLine="648"/>
        <w:spacing w:after="0" w:line="288" w:lineRule="auto"/>
        <w:rPr>
          <w:sz w:val="20"/>
          <w:szCs w:val="20"/>
          <w:color w:val="auto"/>
        </w:rPr>
      </w:pPr>
      <w:r>
        <w:rPr>
          <w:rFonts w:ascii="Arial" w:cs="Arial" w:eastAsia="Arial" w:hAnsi="Arial"/>
          <w:sz w:val="19"/>
          <w:szCs w:val="19"/>
          <w:color w:val="auto"/>
        </w:rPr>
        <w:t xml:space="preserve">“Material Domestic Subsidiary” means each Domestic Subsidiary (i) which, as of the most recent fiscal quarter of the Borrower, for the period of four (4) consecutive fiscal quarters then ended, for which financial statements have been delivered pursuant to Section 6.1, contributed greater than 5.0% of the Borrower’s Consolidated EBITDA for such period or (ii) which had consolidated assets greater than 5.0% of the Borrower’s total consolidated assets as of such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at any time the aggregate amount contributed to the Consolidated EBITDA by all Subsidiaries that are not Material Domestic Subsidiaries exceeds 10.0% of the Borrower’s Consolidated EBITDA for any such period, or the aggregate total consolidated assets of all Subsidiaries that are not Material Domestic Subsidiaries exceeds 10.0% of the Borrower’s total consolidated assets as of the end of any such fiscal quarter, the Borrower (or, in the event the Borrower has failed to do so within ten (10) days, the Administrative Agent) shall designate sufficient Subsidiaries as “Material Domestic Subsidiaries” to eliminate such excess, and such designated Subsidiaries shall for all purposes of this Agreement constitute Material Domestic Subsidiaries.</w:t>
      </w:r>
    </w:p>
    <w:p>
      <w:pPr>
        <w:spacing w:after="0" w:line="201"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22"/>
          <w:szCs w:val="22"/>
          <w:color w:val="auto"/>
        </w:rPr>
        <w:t>“Material Indebtedness” means Indebtedness of the Borrower or any Subsidiary in an outstanding principal amount of $1,000,000 or more in the aggregate (or the equivalent thereof in any currency other than Dollars).</w:t>
      </w:r>
    </w:p>
    <w:p>
      <w:pPr>
        <w:spacing w:after="0" w:line="215" w:lineRule="exact"/>
        <w:rPr>
          <w:sz w:val="20"/>
          <w:szCs w:val="20"/>
          <w:color w:val="auto"/>
        </w:rPr>
      </w:pPr>
    </w:p>
    <w:p>
      <w:pPr>
        <w:jc w:val="both"/>
        <w:ind w:left="4" w:right="20" w:firstLine="648"/>
        <w:spacing w:after="0" w:line="271" w:lineRule="auto"/>
        <w:rPr>
          <w:sz w:val="20"/>
          <w:szCs w:val="20"/>
          <w:color w:val="auto"/>
        </w:rPr>
      </w:pPr>
      <w:r>
        <w:rPr>
          <w:rFonts w:ascii="Arial" w:cs="Arial" w:eastAsia="Arial" w:hAnsi="Arial"/>
          <w:sz w:val="21"/>
          <w:szCs w:val="21"/>
          <w:color w:val="auto"/>
        </w:rPr>
        <w:t>“Material Indebtedness Agreement” means any agreement under which any Material Indebtedness was created or is governed or which provides for the incurrence of Indebtedness in an amount which would constitute Material Indebtedness (whether or not an amount of Indebtedness constituting Material Indebtedness is outstanding thereunder).</w:t>
      </w:r>
    </w:p>
    <w:p>
      <w:pPr>
        <w:spacing w:after="0" w:line="208" w:lineRule="exact"/>
        <w:rPr>
          <w:sz w:val="20"/>
          <w:szCs w:val="20"/>
          <w:color w:val="auto"/>
        </w:rPr>
      </w:pPr>
    </w:p>
    <w:p>
      <w:pPr>
        <w:ind w:left="644"/>
        <w:spacing w:after="0"/>
        <w:rPr>
          <w:sz w:val="20"/>
          <w:szCs w:val="20"/>
          <w:color w:val="auto"/>
        </w:rPr>
      </w:pPr>
      <w:r>
        <w:rPr>
          <w:rFonts w:ascii="Arial" w:cs="Arial" w:eastAsia="Arial" w:hAnsi="Arial"/>
          <w:sz w:val="22"/>
          <w:szCs w:val="22"/>
          <w:color w:val="auto"/>
        </w:rPr>
        <w:t>“Minimum Collateral Amount” means, with respect to a Defaulting Lender, at any time,</w:t>
      </w:r>
    </w:p>
    <w:p>
      <w:pPr>
        <w:spacing w:after="0" w:line="22" w:lineRule="exact"/>
        <w:rPr>
          <w:sz w:val="20"/>
          <w:szCs w:val="20"/>
          <w:color w:val="auto"/>
        </w:rPr>
      </w:pPr>
    </w:p>
    <w:p>
      <w:pPr>
        <w:jc w:val="both"/>
        <w:ind w:left="4" w:hanging="4"/>
        <w:spacing w:after="0" w:line="262" w:lineRule="auto"/>
        <w:tabs>
          <w:tab w:leader="none" w:pos="492" w:val="left"/>
        </w:tabs>
        <w:numPr>
          <w:ilvl w:val="0"/>
          <w:numId w:val="49"/>
        </w:numPr>
        <w:rPr>
          <w:rFonts w:ascii="Arial" w:cs="Arial" w:eastAsia="Arial" w:hAnsi="Arial"/>
          <w:sz w:val="21"/>
          <w:szCs w:val="21"/>
          <w:color w:val="auto"/>
        </w:rPr>
      </w:pPr>
      <w:r>
        <w:rPr>
          <w:rFonts w:ascii="Arial" w:cs="Arial" w:eastAsia="Arial" w:hAnsi="Arial"/>
          <w:sz w:val="21"/>
          <w:szCs w:val="21"/>
          <w:color w:val="auto"/>
        </w:rPr>
        <w:t>with respect to Cash Collateral consisting of cash or deposit account balances, an amount equal to 105% of the Fronting Exposure of the LC Issuer with respect to such Defaulting Lender for all Facility LCs issued and outstanding at such time and (ii) otherwise, an amount determined by the Administrative Agent and the LC Issuer in their sole discretion.</w:t>
      </w:r>
    </w:p>
    <w:p>
      <w:pPr>
        <w:spacing w:after="0" w:line="200" w:lineRule="exact"/>
        <w:rPr>
          <w:sz w:val="20"/>
          <w:szCs w:val="20"/>
          <w:color w:val="auto"/>
        </w:rPr>
      </w:pPr>
    </w:p>
    <w:p>
      <w:pPr>
        <w:spacing w:after="0" w:line="241"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04"/>
          </w:cols>
          <w:pgMar w:left="356" w:top="631" w:right="239" w:bottom="1440" w:gutter="0" w:footer="0" w:header="0"/>
        </w:sectPr>
      </w:pPr>
    </w:p>
    <w:bookmarkStart w:id="132" w:name="page133"/>
    <w:bookmarkEnd w:id="132"/>
    <w:p>
      <w:pPr>
        <w:ind w:left="680"/>
        <w:spacing w:after="0"/>
        <w:rPr>
          <w:sz w:val="20"/>
          <w:szCs w:val="20"/>
          <w:color w:val="auto"/>
        </w:rPr>
      </w:pPr>
      <w:r>
        <w:rPr>
          <w:rFonts w:ascii="Arial" w:cs="Arial" w:eastAsia="Arial" w:hAnsi="Arial"/>
          <w:sz w:val="22"/>
          <w:szCs w:val="22"/>
          <w:color w:val="auto"/>
        </w:rPr>
        <w:t>“Modify” and “Modification” are defined in Section 2.19(a). “Moody’s” means Moody’s Investors Service, Inc.</w:t>
      </w:r>
    </w:p>
    <w:p>
      <w:pPr>
        <w:spacing w:after="0" w:line="112" w:lineRule="exact"/>
        <w:rPr>
          <w:sz w:val="20"/>
          <w:szCs w:val="20"/>
          <w:color w:val="auto"/>
        </w:rPr>
      </w:pPr>
    </w:p>
    <w:p>
      <w:pPr>
        <w:jc w:val="both"/>
        <w:ind w:left="40" w:firstLine="648"/>
        <w:spacing w:after="0" w:line="253" w:lineRule="auto"/>
        <w:rPr>
          <w:sz w:val="20"/>
          <w:szCs w:val="20"/>
          <w:color w:val="auto"/>
        </w:rPr>
      </w:pPr>
      <w:r>
        <w:rPr>
          <w:rFonts w:ascii="Arial" w:cs="Arial" w:eastAsia="Arial" w:hAnsi="Arial"/>
          <w:sz w:val="22"/>
          <w:szCs w:val="22"/>
          <w:color w:val="auto"/>
        </w:rPr>
        <w:t>“Multiemployer Plan” means a Plan maintained pursuant to a collective bargaining agreement or any other arrangement to which the Borrower or any ERISA Affiliate is, or in the immediately preceding six years was, a party to which more than one employer is obligated to make contributions.</w:t>
      </w:r>
    </w:p>
    <w:p>
      <w:pPr>
        <w:spacing w:after="0" w:line="226" w:lineRule="exact"/>
        <w:rPr>
          <w:sz w:val="20"/>
          <w:szCs w:val="20"/>
          <w:color w:val="auto"/>
        </w:rPr>
      </w:pPr>
    </w:p>
    <w:p>
      <w:pPr>
        <w:jc w:val="both"/>
        <w:ind w:left="40" w:firstLine="648"/>
        <w:spacing w:after="0" w:line="263" w:lineRule="auto"/>
        <w:rPr>
          <w:sz w:val="20"/>
          <w:szCs w:val="20"/>
          <w:color w:val="auto"/>
        </w:rPr>
      </w:pPr>
      <w:r>
        <w:rPr>
          <w:rFonts w:ascii="Arial" w:cs="Arial" w:eastAsia="Arial" w:hAnsi="Arial"/>
          <w:sz w:val="22"/>
          <w:szCs w:val="22"/>
          <w:color w:val="auto"/>
        </w:rPr>
        <w:t>“New York Banking Day” means any day (other than a Saturday or Sunday) on which commercial banks are open for business in New York, New York.</w:t>
      </w:r>
    </w:p>
    <w:p>
      <w:pPr>
        <w:spacing w:after="0" w:line="215" w:lineRule="exact"/>
        <w:rPr>
          <w:sz w:val="20"/>
          <w:szCs w:val="20"/>
          <w:color w:val="auto"/>
        </w:rPr>
      </w:pPr>
    </w:p>
    <w:p>
      <w:pPr>
        <w:ind w:left="680"/>
        <w:spacing w:after="0"/>
        <w:rPr>
          <w:sz w:val="20"/>
          <w:szCs w:val="20"/>
          <w:color w:val="auto"/>
        </w:rPr>
      </w:pPr>
      <w:r>
        <w:rPr>
          <w:rFonts w:ascii="Arial" w:cs="Arial" w:eastAsia="Arial" w:hAnsi="Arial"/>
          <w:sz w:val="22"/>
          <w:szCs w:val="22"/>
          <w:color w:val="auto"/>
        </w:rPr>
        <w:t>“Non-Defaulting Lender” means, at any time, each Lender that is not a Defaulting Lender at such time.</w:t>
      </w:r>
    </w:p>
    <w:p>
      <w:pPr>
        <w:spacing w:after="0" w:line="30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“Non-U.S. Lender” means a Lender that is not a United States person as defined in Section 7701(a)(30) of the Code.</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“Note” is defined in Section 2.13(d).</w:t>
      </w:r>
    </w:p>
    <w:p>
      <w:pPr>
        <w:spacing w:after="0" w:line="26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“Obligations” means all unpaid principal of and accrued and unpaid interest on the Loans, all LC Obligations, all obligations in connection with Cash Management Services, all obligations in connection with Lender-Provided Swaps, all accrued and unpaid fees, and all expenses, reimbursements, indemnities and other obligations of the Borrower to the Lenders or to any Lender, the Administrative Agent, the LC Issuer or any indemnified party arising under the Loan Documents (including interest and fees accruing during the pendency of any bankruptcy, insolvency, receivership or other similar proceeding, regardless of whether allowed or allowable in such proceeding);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“Obligations” shall exclude all Excluded Swap Obligations.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“OFAC” means the U.S. Department of the Treasury’s Office of Foreign Assets Control, and any successor thereto.</w:t>
      </w:r>
    </w:p>
    <w:p>
      <w:pPr>
        <w:spacing w:after="0" w:line="12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“Operating Lease” of a Person means any lease of Property (other than a Capitalized Lease) by such Person as lessee which has an original term (including any required renewals and any renewals effective at the option of the lessor) of one year or more.</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“Operating Lease Obligations” means, as at any date of determination, the amount obtained by aggregating the present values, determined in the case of each particular Operating Lease by applying a discount rate (which discount rate shall equal the discount rate which would be applied under GAAP if such Operating Lease were a Capitalized Lease) from the date on which each fixed lease payment is due under such Operating Lease to such date of determination, of all fixed lease payments due under all Operating Leases of the Borrower and its Subsidiaries.</w:t>
      </w:r>
    </w:p>
    <w:p>
      <w:pPr>
        <w:spacing w:after="0" w:line="21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“Other Taxes” means all present or future stamp, court or documentary, intangible, recording, filing or similar Taxes (other than Excluded Taxes) that arise from any payment made under, from the execution, delivery, performance, enforcement or registration of, from the receipt or perfection of a security interest under, or otherwise with respect to, any Loan Document.</w:t>
      </w:r>
    </w:p>
    <w:p>
      <w:pPr>
        <w:spacing w:after="0" w:line="14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320" w:top="483" w:right="239" w:bottom="1440" w:gutter="0" w:footer="0" w:header="0"/>
        </w:sectPr>
      </w:pPr>
    </w:p>
    <w:bookmarkStart w:id="133" w:name="page134"/>
    <w:bookmarkEnd w:id="133"/>
    <w:p>
      <w:pPr>
        <w:ind w:left="660"/>
        <w:spacing w:after="0"/>
        <w:rPr>
          <w:sz w:val="20"/>
          <w:szCs w:val="20"/>
          <w:color w:val="auto"/>
        </w:rPr>
      </w:pPr>
      <w:r>
        <w:rPr>
          <w:rFonts w:ascii="Arial" w:cs="Arial" w:eastAsia="Arial" w:hAnsi="Arial"/>
          <w:sz w:val="22"/>
          <w:szCs w:val="22"/>
          <w:color w:val="auto"/>
        </w:rPr>
        <w:t>“Participant” is defined in Section 12.2(a). “Participant Register” is defined in Section 12.2(c).</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“PATRIOT Act” means the USA PATRIOT Act (Title III of Pub. L. 107-56 (signed into law October 26, 2001)).</w:t>
      </w:r>
    </w:p>
    <w:p>
      <w:pPr>
        <w:spacing w:after="0" w:line="26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“Payment Date” means the first day of each January, April, July and October, </w:t>
      </w:r>
      <w:r>
        <w:rPr>
          <w:rFonts w:ascii="Arial" w:cs="Arial" w:eastAsia="Arial" w:hAnsi="Arial"/>
          <w:sz w:val="22"/>
          <w:szCs w:val="22"/>
          <w:i w:val="1"/>
          <w:iCs w:val="1"/>
          <w:color w:val="auto"/>
        </w:rPr>
        <w:t>provided</w:t>
      </w:r>
      <w:r>
        <w:rPr>
          <w:rFonts w:ascii="Arial" w:cs="Arial" w:eastAsia="Arial" w:hAnsi="Arial"/>
          <w:sz w:val="22"/>
          <w:szCs w:val="22"/>
          <w:color w:val="auto"/>
        </w:rPr>
        <w:t>, that if such day is not a Business Day, the Payment Date shall be the immediately succeeding Business Day.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“PBGC” means the Pension Benefit Guaranty Corporation, or any successor thereto.</w:t>
      </w:r>
    </w:p>
    <w:p>
      <w:pPr>
        <w:spacing w:after="0" w:line="301" w:lineRule="exact"/>
        <w:rPr>
          <w:sz w:val="20"/>
          <w:szCs w:val="20"/>
          <w:color w:val="auto"/>
        </w:rPr>
      </w:pPr>
    </w:p>
    <w:p>
      <w:pPr>
        <w:jc w:val="both"/>
        <w:ind w:left="40" w:firstLine="648"/>
        <w:spacing w:after="0" w:line="285" w:lineRule="auto"/>
        <w:rPr>
          <w:sz w:val="20"/>
          <w:szCs w:val="20"/>
          <w:color w:val="auto"/>
        </w:rPr>
      </w:pPr>
      <w:r>
        <w:rPr>
          <w:rFonts w:ascii="Arial" w:cs="Arial" w:eastAsia="Arial" w:hAnsi="Arial"/>
          <w:sz w:val="19"/>
          <w:szCs w:val="19"/>
          <w:color w:val="auto"/>
        </w:rPr>
        <w:t xml:space="preserve">“Permitted Acquisition” means any Acquisition made by the Borrower or any of its Subsidiaries,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as of the date of the consummation of such Acquisition, no Default or Event of Default shall have occurred and be continuing or would result after giving effect to such Acquisition, and the representation and warranty contained in Section 5.10 shall be true both before and after giving effect to such Acquisition, (b) such Acquisition is consummated on a non-hostile basis pursuant to a negotiated acquisition agreement that has been (if required by the governing documents of the seller or entity to be acquired) approved by the board of directors or other applicable governing body of the seller or entity to be acquired, and no material challenge to such Acquisition (excluding the exercise of appraisal rights) shall be pending or threatened by any shareholder or director of the seller or entity to be acquired, (c) the business to be acquired in such Acquisition is in the same line of business as the Borrower’s or a line of business incidental thereto, (d) as of the date of the consummation of such Acquisition, all material approvals required in connection therewith shall have been obtained, (e) the Borrower shall have furnished to the Administrative Agent a certificate demonstrating in reasonable detail, assuming the Acquisition was made as of the date of the most recent Compliance Certificate delivered to the Administrative Agent, that (A) the Borrower would be in compliance at all times with all the terms, provisions, covenants and conditions contained in this Agreement and the other Loan Documents, which such other supporting documents and information as the Administrative Agent may reasonably require and (B) the Borrower’s pro forma compliance with Section 6.21(b) concerning the Consolidated Cash Flow Leverage Ratio is 0.25 less than the ratio required under 6.21(b), (f) after giving effect to such Acquisition, the business to be acquired in such Acquisition Target shall be owned directly by the Borrower or shall become a wholly- owned Subsidiary, directly or indirectly, of the Borrower and, to the extent required under Section 6.27, becomes a Restricted Subsidiary and (g) after giving effect to the Acquisition, Consolidated Liquidity shall be greater than or equal to $10,000,000.</w:t>
      </w:r>
    </w:p>
    <w:p>
      <w:pPr>
        <w:spacing w:after="0" w:line="200" w:lineRule="exact"/>
        <w:rPr>
          <w:sz w:val="20"/>
          <w:szCs w:val="20"/>
          <w:color w:val="auto"/>
        </w:rPr>
      </w:pPr>
    </w:p>
    <w:p>
      <w:pPr>
        <w:spacing w:after="0" w:line="262" w:lineRule="exact"/>
        <w:rPr>
          <w:sz w:val="20"/>
          <w:szCs w:val="20"/>
          <w:color w:val="auto"/>
        </w:rPr>
      </w:pPr>
    </w:p>
    <w:p>
      <w:pPr>
        <w:ind w:left="680"/>
        <w:spacing w:after="0"/>
        <w:rPr>
          <w:sz w:val="20"/>
          <w:szCs w:val="20"/>
          <w:color w:val="auto"/>
        </w:rPr>
      </w:pPr>
      <w:r>
        <w:rPr>
          <w:rFonts w:ascii="Arial" w:cs="Arial" w:eastAsia="Arial" w:hAnsi="Arial"/>
          <w:sz w:val="22"/>
          <w:szCs w:val="22"/>
          <w:color w:val="auto"/>
        </w:rPr>
        <w:t>“Permitted Liens” means the Liens permitted pursuant to Section 6.16.</w:t>
      </w:r>
    </w:p>
    <w:p>
      <w:pPr>
        <w:spacing w:after="0" w:line="260" w:lineRule="exact"/>
        <w:rPr>
          <w:sz w:val="20"/>
          <w:szCs w:val="20"/>
          <w:color w:val="auto"/>
        </w:rPr>
      </w:pPr>
    </w:p>
    <w:p>
      <w:pPr>
        <w:jc w:val="both"/>
        <w:ind w:left="40" w:firstLine="648"/>
        <w:spacing w:after="0" w:line="253" w:lineRule="auto"/>
        <w:rPr>
          <w:sz w:val="20"/>
          <w:szCs w:val="20"/>
          <w:color w:val="auto"/>
        </w:rPr>
      </w:pPr>
      <w:r>
        <w:rPr>
          <w:rFonts w:ascii="Arial" w:cs="Arial" w:eastAsia="Arial" w:hAnsi="Arial"/>
          <w:sz w:val="22"/>
          <w:szCs w:val="22"/>
          <w:color w:val="auto"/>
        </w:rPr>
        <w:t>“Person” means any natural person, corporation, firm, joint venture, partnership, limited liability company, association, enterprise, trust or other entity or organization, or any government or political subdivision or any agency, department or instrumentality thereof.</w:t>
      </w:r>
    </w:p>
    <w:p>
      <w:pPr>
        <w:spacing w:after="0" w:line="200" w:lineRule="exact"/>
        <w:rPr>
          <w:sz w:val="20"/>
          <w:szCs w:val="20"/>
          <w:color w:val="auto"/>
        </w:rPr>
      </w:pPr>
    </w:p>
    <w:p>
      <w:pPr>
        <w:spacing w:after="0" w:line="25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320" w:top="739" w:right="239" w:bottom="1440" w:gutter="0" w:footer="0" w:header="0"/>
        </w:sectPr>
      </w:pPr>
    </w:p>
    <w:bookmarkStart w:id="134" w:name="page135"/>
    <w:bookmarkEnd w:id="134"/>
    <w:p>
      <w:pPr>
        <w:jc w:val="both"/>
        <w:ind w:firstLine="648"/>
        <w:spacing w:after="0" w:line="253" w:lineRule="auto"/>
        <w:rPr>
          <w:sz w:val="20"/>
          <w:szCs w:val="20"/>
          <w:color w:val="auto"/>
        </w:rPr>
      </w:pPr>
      <w:r>
        <w:rPr>
          <w:rFonts w:ascii="Arial" w:cs="Arial" w:eastAsia="Arial" w:hAnsi="Arial"/>
          <w:sz w:val="22"/>
          <w:szCs w:val="22"/>
          <w:color w:val="auto"/>
        </w:rPr>
        <w:t>“Plan” means an employee pension benefit plan which is covered by Title IV of ERISA or subject to the minimum funding standards under Section 412 of the Code or Section 302 of ERISA as to which the Borrower or any ERISA Affiliate may have any liability.</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“Pledge Agreement” means that certain Pledge Agreement dated as of November 1, 2010 dated as of November 1, 2010, given by the UEI Hong Kong Private Limited, a company organized under the laws of Hong Kong, as pledgor, and Enson Assets Limited, a company organized under the laws of the British Virgin Islands, as issuer, in favor of the Administrative Agent, as the same may be amended, restated, or otherwise modified from time to time, including that certain amendment dated as of the date hereof.</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“Pricing Schedule” means the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attached hereto identified as Pricing Schedule.</w:t>
      </w:r>
    </w:p>
    <w:p>
      <w:pPr>
        <w:spacing w:after="0" w:line="301"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“Prime Rate” means a rate per annum equal to the prime rate of interest announced from time to time by U.S. Bank or its parent (which is not necessarily the lowest rate charged to any customer), changing when and as said prime rate changes.</w:t>
      </w:r>
    </w:p>
    <w:p>
      <w:pPr>
        <w:spacing w:after="0" w:line="14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“Property” of a Person means any and all property, whether real, personal, tangible, intangible, or mixed, of such Person, or other assets owned, leased or operated by such Person.</w:t>
      </w:r>
    </w:p>
    <w:p>
      <w:pPr>
        <w:spacing w:after="0" w:line="21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“Pro Rata Share” means, with respect to a Lender, a portion equal to a fraction the numerator of which is such Lender’s Revolving Commitment and the denominator of which is the Aggregate Revolving Commitment,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if all of the Revolving Commitments are terminated pursuant to the terms of this Agreement, then “Pro Rata Share” means the percentage obtained by dividing (a) such Lender’s Revolving Exposure at such time by (b) the Aggregate Revolving Exposure at such time;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when a Defaulting Lender shall exist, “Pro Rata Share” shall mean the percentage of the Aggregate Revolving Commitment (disregarding any Defaulting Lender’s Revolving Commitment) represented by such Lender’s Revolving Commitment (except that no Lender is required to fund or participate in Revolving Loans, Swing Line Loans or Facility LCs to the extent that, after giving effect thereto, the aggregate amount of its outstanding Revolving Loans and funded or unfunded participations in Swing Line Loans and Facility LCs would exceed the amount of its Revolving Commitment (determined as though no Defaulting Lender existed)).</w:t>
      </w:r>
    </w:p>
    <w:p>
      <w:pPr>
        <w:spacing w:after="0" w:line="200" w:lineRule="exact"/>
        <w:rPr>
          <w:sz w:val="20"/>
          <w:szCs w:val="20"/>
          <w:color w:val="auto"/>
        </w:rPr>
      </w:pPr>
    </w:p>
    <w:p>
      <w:pPr>
        <w:spacing w:after="0" w:line="25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“Purchasers” is defined in Section 12.3(a).</w:t>
      </w:r>
    </w:p>
    <w:p>
      <w:pPr>
        <w:spacing w:after="0" w:line="2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“Quotation Date” means, in relation to any Interest Period for which an interest rate is to be determined, two (2) Business Days before the first day of that period.</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“Rate Protection Agreement” means any interest rate swap, cap, or option agreement, or other agreement pursuant to which the Borrower hedges interest rate risk with respect to a portion of the Obligations, entered into by the Borrower with the Administrative Agent, any Lender or any Affiliate of the Administrative Agent or any Lender.</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“Register” is defined in Section 12.3(d).</w:t>
      </w:r>
    </w:p>
    <w:p>
      <w:pPr>
        <w:spacing w:after="0" w:line="200" w:lineRule="exact"/>
        <w:rPr>
          <w:sz w:val="20"/>
          <w:szCs w:val="20"/>
          <w:color w:val="auto"/>
        </w:rPr>
      </w:pPr>
    </w:p>
    <w:p>
      <w:pPr>
        <w:spacing w:after="0" w:line="28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00"/>
          </w:cols>
          <w:pgMar w:left="360" w:top="375" w:right="239" w:bottom="1440" w:gutter="0" w:footer="0" w:header="0"/>
        </w:sectPr>
      </w:pPr>
    </w:p>
    <w:bookmarkStart w:id="135" w:name="page136"/>
    <w:bookmarkEnd w:id="135"/>
    <w:p>
      <w:pPr>
        <w:jc w:val="both"/>
        <w:ind w:right="20" w:firstLine="648"/>
        <w:spacing w:after="0" w:line="253" w:lineRule="auto"/>
        <w:rPr>
          <w:sz w:val="20"/>
          <w:szCs w:val="20"/>
          <w:color w:val="auto"/>
        </w:rPr>
      </w:pPr>
      <w:r>
        <w:rPr>
          <w:rFonts w:ascii="Arial" w:cs="Arial" w:eastAsia="Arial" w:hAnsi="Arial"/>
          <w:sz w:val="22"/>
          <w:szCs w:val="22"/>
          <w:color w:val="auto"/>
        </w:rPr>
        <w:t>“Regulation D” means Regulation D of the Board of Governors of the Federal Reserve System as from time to time in effect and any successor thereto or other regulation or official interpretation of said Board of Governors relating to reserve requirements applicable to member banks of the Federal Reserve System.</w:t>
      </w:r>
    </w:p>
    <w:p>
      <w:pPr>
        <w:spacing w:after="0" w:line="226"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9"/>
          <w:szCs w:val="19"/>
          <w:color w:val="auto"/>
        </w:rPr>
        <w:t>“Regulation U” means Regulation U of the Board of Governors of the Federal Reserve System as from time to time in effect and any successor or other regulation or official interpretation of said Board of Governors relating to the extension of credit by banks for the purpose of purchasing or carrying margin stocks applicable to member banks of the Federal Reserve System.</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“Reimbursement Obligations” means, at any time, the aggregate of all obligations of the Borrower then outstanding under Section 2.19 to reimburse the LC Issuer for amounts paid by the LC Issuer in respect of any one or more drawings under Facility LCs.</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“Rentals” of a Person means the aggregate fixed amounts payable by such Person under any Operating Lease.</w:t>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“Reports” is defined in Section 9.6(a).</w:t>
      </w:r>
    </w:p>
    <w:p>
      <w:pPr>
        <w:spacing w:after="0" w:line="2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“Required Lenders” means at least two Lenders that, in the aggregate, have greater than 66.67% of the Aggregate Revolving Commitment or, if the Aggregate Revolving Commitment has been terminated, Lenders in the aggregate holding greater than 66.67% of the Aggregate Revolving Exposure. The Revolving Commitments and Revolving Exposure of any Defaulting Lender shall be disregarded in determining Required Lenders at any time.</w:t>
      </w:r>
    </w:p>
    <w:p>
      <w:pPr>
        <w:spacing w:after="0" w:line="229"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“Reserve Requirement” means, with respect to an Interest Period, the maximum aggregate reserve requirement (including all basic, supplemental, marginal and other reserves) which is imposed under Regulation D on Eurocurrency liabilities.</w:t>
      </w:r>
    </w:p>
    <w:p>
      <w:pPr>
        <w:spacing w:after="0" w:line="14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“Restricted Payment” means any dividend or other distribution (whether in cash, securities or other Property) with respect to any Equity Interest in the Borrower or any Subsidiary, or any payment (whether in cash, securities or other Property), including any sinking fund or similar deposit, on account of the purchase, redemption, retirement, acquisition, cancellation or termination of any such Equity Interests in the Borrower or any Subsidiary thereof or any option, warrant or other right to acquire any such Equity Interest in the Borrower or any Subsidiary thereof.</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“Restricted Subsidiary” means (a) Universal Electronics BV, (b) Enson Assets Limited, a company incorporated under the laws of the British Virgin Islands, (c) UEI Hong Kong Private Limited, a company organized under the Laws of Hong Kong, (d) C.G. Development Limited (Hong Kong), a Hong Kong company, (e) Gemstar Technology (China) Co. Ltd., a People’s Republic of China company, (f) Gemstar Technology (Yasngzhou) Co. Ltd., a People’s Republic of China company, and (g) each other Subsidiary designated in writing by the Borrower pursuant to Section 6.27.</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“Revolving Commitment” means, for each Lender, the obligation, if any, of such Lender to make Revolving Loans to, and participate in Facility LCs issued upon the application of and Swing</w:t>
      </w:r>
    </w:p>
    <w:p>
      <w:pPr>
        <w:spacing w:after="0" w:line="18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00"/>
          </w:cols>
          <w:pgMar w:left="360" w:top="375" w:right="239" w:bottom="1440" w:gutter="0" w:footer="0" w:header="0"/>
        </w:sectPr>
      </w:pPr>
    </w:p>
    <w:bookmarkStart w:id="136" w:name="page137"/>
    <w:bookmarkEnd w:id="136"/>
    <w:p>
      <w:pPr>
        <w:jc w:val="both"/>
        <w:ind w:left="4"/>
        <w:spacing w:after="0" w:line="288" w:lineRule="auto"/>
        <w:rPr>
          <w:sz w:val="20"/>
          <w:szCs w:val="20"/>
          <w:color w:val="auto"/>
        </w:rPr>
      </w:pPr>
      <w:r>
        <w:rPr>
          <w:rFonts w:ascii="Arial" w:cs="Arial" w:eastAsia="Arial" w:hAnsi="Arial"/>
          <w:sz w:val="19"/>
          <w:szCs w:val="19"/>
          <w:color w:val="auto"/>
        </w:rPr>
        <w:t xml:space="preserve">Line Loans made to, the Borrower, expressed as an amount representing the maximum possible aggregate amount of such Lender’s Revolving Exposure hereunder. The initial amount of each Revolving Lender’s Revolving Commitment is set forth on </w:t>
      </w:r>
      <w:r>
        <w:rPr>
          <w:rFonts w:ascii="Arial" w:cs="Arial" w:eastAsia="Arial" w:hAnsi="Arial"/>
          <w:sz w:val="19"/>
          <w:szCs w:val="19"/>
          <w:u w:val="single" w:color="auto"/>
          <w:color w:val="auto"/>
        </w:rPr>
        <w:t>Schedule 2</w:t>
      </w:r>
      <w:r>
        <w:rPr>
          <w:rFonts w:ascii="Arial" w:cs="Arial" w:eastAsia="Arial" w:hAnsi="Arial"/>
          <w:sz w:val="19"/>
          <w:szCs w:val="19"/>
          <w:color w:val="auto"/>
        </w:rPr>
        <w:t>, as it may be modified (i) as a result of any assignment that has become effective pursuant to Section 12.3, or</w:t>
      </w:r>
    </w:p>
    <w:p>
      <w:pPr>
        <w:spacing w:after="0" w:line="1" w:lineRule="exact"/>
        <w:rPr>
          <w:sz w:val="20"/>
          <w:szCs w:val="20"/>
          <w:color w:val="auto"/>
        </w:rPr>
      </w:pPr>
    </w:p>
    <w:p>
      <w:pPr>
        <w:ind w:left="4" w:right="420" w:hanging="4"/>
        <w:spacing w:after="0" w:line="246" w:lineRule="auto"/>
        <w:tabs>
          <w:tab w:leader="none" w:pos="552" w:val="left"/>
        </w:tabs>
        <w:numPr>
          <w:ilvl w:val="0"/>
          <w:numId w:val="50"/>
        </w:numPr>
        <w:rPr>
          <w:rFonts w:ascii="Arial" w:cs="Arial" w:eastAsia="Arial" w:hAnsi="Arial"/>
          <w:sz w:val="22"/>
          <w:szCs w:val="22"/>
          <w:color w:val="auto"/>
        </w:rPr>
      </w:pPr>
      <w:r>
        <w:rPr>
          <w:rFonts w:ascii="Arial" w:cs="Arial" w:eastAsia="Arial" w:hAnsi="Arial"/>
          <w:sz w:val="22"/>
          <w:szCs w:val="22"/>
          <w:color w:val="auto"/>
        </w:rPr>
        <w:t>otherwise from time to time pursuant to the terms hereof. As of the date of this Agreement, the aggregate amount of the Revolving Lenders’ Revolving Commitments is $170,000,000.</w:t>
      </w:r>
    </w:p>
    <w:p>
      <w:pPr>
        <w:spacing w:after="0" w:line="233" w:lineRule="exact"/>
        <w:rPr>
          <w:sz w:val="20"/>
          <w:szCs w:val="20"/>
          <w:color w:val="auto"/>
        </w:rPr>
      </w:pPr>
    </w:p>
    <w:p>
      <w:pPr>
        <w:jc w:val="both"/>
        <w:ind w:left="4" w:firstLine="648"/>
        <w:spacing w:after="0" w:line="250" w:lineRule="auto"/>
        <w:rPr>
          <w:sz w:val="20"/>
          <w:szCs w:val="20"/>
          <w:color w:val="auto"/>
        </w:rPr>
      </w:pPr>
      <w:r>
        <w:rPr>
          <w:rFonts w:ascii="Arial" w:cs="Arial" w:eastAsia="Arial" w:hAnsi="Arial"/>
          <w:sz w:val="22"/>
          <w:szCs w:val="22"/>
          <w:color w:val="auto"/>
        </w:rPr>
        <w:t xml:space="preserve">“Revolving Exposure” means, with respect to any Lender at any time, the sum of (i) the aggregate principal amount of such Lender’s Revolving Loans outstanding at such time, </w:t>
      </w:r>
      <w:r>
        <w:rPr>
          <w:rFonts w:ascii="Arial" w:cs="Arial" w:eastAsia="Arial" w:hAnsi="Arial"/>
          <w:sz w:val="22"/>
          <w:szCs w:val="22"/>
          <w:i w:val="1"/>
          <w:iCs w:val="1"/>
          <w:color w:val="auto"/>
        </w:rPr>
        <w:t>plus</w:t>
      </w:r>
      <w:r>
        <w:rPr>
          <w:rFonts w:ascii="Arial" w:cs="Arial" w:eastAsia="Arial" w:hAnsi="Arial"/>
          <w:sz w:val="22"/>
          <w:szCs w:val="22"/>
          <w:color w:val="auto"/>
        </w:rPr>
        <w:t xml:space="preserve"> (ii) an amount equal to its Pro Rata Share of the aggregate principal amount of Swing Line Loans outstanding at such time, </w:t>
      </w:r>
      <w:r>
        <w:rPr>
          <w:rFonts w:ascii="Arial" w:cs="Arial" w:eastAsia="Arial" w:hAnsi="Arial"/>
          <w:sz w:val="22"/>
          <w:szCs w:val="22"/>
          <w:i w:val="1"/>
          <w:iCs w:val="1"/>
          <w:color w:val="auto"/>
        </w:rPr>
        <w:t>plus</w:t>
      </w:r>
      <w:r>
        <w:rPr>
          <w:rFonts w:ascii="Arial" w:cs="Arial" w:eastAsia="Arial" w:hAnsi="Arial"/>
          <w:sz w:val="22"/>
          <w:szCs w:val="22"/>
          <w:color w:val="auto"/>
        </w:rPr>
        <w:t xml:space="preserve"> (iii) an amount equal to its Pro Rata Share of the LC Obligations at such time.</w:t>
      </w:r>
    </w:p>
    <w:p>
      <w:pPr>
        <w:spacing w:after="0" w:line="269"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22"/>
          <w:szCs w:val="22"/>
          <w:color w:val="auto"/>
        </w:rPr>
        <w:t>“Revolving Lender” means, as of any date of determination, a Lender with a Revolving Commitment or, if the Revolving Commitments have terminated or expired, a Lender with Revolving Exposure.</w:t>
      </w:r>
    </w:p>
    <w:p>
      <w:pPr>
        <w:spacing w:after="0" w:line="215" w:lineRule="exact"/>
        <w:rPr>
          <w:sz w:val="20"/>
          <w:szCs w:val="20"/>
          <w:color w:val="auto"/>
        </w:rPr>
      </w:pPr>
    </w:p>
    <w:p>
      <w:pPr>
        <w:jc w:val="both"/>
        <w:ind w:left="4" w:right="20" w:firstLine="648"/>
        <w:spacing w:after="0" w:line="263" w:lineRule="auto"/>
        <w:rPr>
          <w:sz w:val="20"/>
          <w:szCs w:val="20"/>
          <w:color w:val="auto"/>
        </w:rPr>
      </w:pPr>
      <w:r>
        <w:rPr>
          <w:rFonts w:ascii="Arial" w:cs="Arial" w:eastAsia="Arial" w:hAnsi="Arial"/>
          <w:sz w:val="22"/>
          <w:szCs w:val="22"/>
          <w:color w:val="auto"/>
        </w:rPr>
        <w:t>“Revolving Loan” means, with respect to a Lender, such Lender’s loan made pursuant to its commitment to lend set forth in Section 2.1 (or any conversion or continuation thereof).</w:t>
      </w:r>
    </w:p>
    <w:p>
      <w:pPr>
        <w:spacing w:after="0" w:line="215" w:lineRule="exact"/>
        <w:rPr>
          <w:sz w:val="20"/>
          <w:szCs w:val="20"/>
          <w:color w:val="auto"/>
        </w:rPr>
      </w:pPr>
    </w:p>
    <w:p>
      <w:pPr>
        <w:jc w:val="both"/>
        <w:ind w:left="4" w:firstLine="648"/>
        <w:spacing w:after="0" w:line="271" w:lineRule="auto"/>
        <w:rPr>
          <w:sz w:val="20"/>
          <w:szCs w:val="20"/>
          <w:color w:val="auto"/>
        </w:rPr>
      </w:pPr>
      <w:r>
        <w:rPr>
          <w:rFonts w:ascii="Arial" w:cs="Arial" w:eastAsia="Arial" w:hAnsi="Arial"/>
          <w:sz w:val="21"/>
          <w:szCs w:val="21"/>
          <w:color w:val="auto"/>
        </w:rPr>
        <w:t>“Risk-Based Capital Guidelines” means (i) the risk-based capital guidelines in effect in the United States on the date of this Agreement, including transition rules, and (ii) the corresponding capital regulations promulgated by regulatory authorities outside the United States, including transition rules, and, in each case, any amendments to such regulations.</w:t>
      </w:r>
    </w:p>
    <w:p>
      <w:pPr>
        <w:spacing w:after="0" w:line="208" w:lineRule="exact"/>
        <w:rPr>
          <w:sz w:val="20"/>
          <w:szCs w:val="20"/>
          <w:color w:val="auto"/>
        </w:rPr>
      </w:pPr>
    </w:p>
    <w:p>
      <w:pPr>
        <w:ind w:left="644"/>
        <w:spacing w:after="0"/>
        <w:rPr>
          <w:sz w:val="20"/>
          <w:szCs w:val="20"/>
          <w:color w:val="auto"/>
        </w:rPr>
      </w:pPr>
      <w:r>
        <w:rPr>
          <w:rFonts w:ascii="Arial" w:cs="Arial" w:eastAsia="Arial" w:hAnsi="Arial"/>
          <w:sz w:val="22"/>
          <w:szCs w:val="22"/>
          <w:color w:val="auto"/>
        </w:rPr>
        <w:t>“S&amp;P” means Standard &amp; Poor’s Ratings Services, a Standard &amp; Poor’s Financial Services LLC business.</w:t>
      </w:r>
    </w:p>
    <w:p>
      <w:pPr>
        <w:spacing w:after="0" w:line="314"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22"/>
          <w:szCs w:val="22"/>
          <w:color w:val="auto"/>
        </w:rPr>
        <w:t>“Sale and Leaseback Transaction” means any sale or other transfer of Property by any Person with the intent to lease such Property as lessee.</w:t>
      </w:r>
    </w:p>
    <w:p>
      <w:pPr>
        <w:spacing w:after="0" w:line="269" w:lineRule="exact"/>
        <w:rPr>
          <w:sz w:val="20"/>
          <w:szCs w:val="20"/>
          <w:color w:val="auto"/>
        </w:rPr>
      </w:pPr>
    </w:p>
    <w:p>
      <w:pPr>
        <w:jc w:val="both"/>
        <w:ind w:left="4" w:firstLine="648"/>
        <w:spacing w:after="0" w:line="253" w:lineRule="auto"/>
        <w:rPr>
          <w:sz w:val="20"/>
          <w:szCs w:val="20"/>
          <w:color w:val="auto"/>
        </w:rPr>
      </w:pPr>
      <w:r>
        <w:rPr>
          <w:rFonts w:ascii="Arial" w:cs="Arial" w:eastAsia="Arial" w:hAnsi="Arial"/>
          <w:sz w:val="22"/>
          <w:szCs w:val="22"/>
          <w:color w:val="auto"/>
        </w:rPr>
        <w:t>“Sanctions” means sanctions administered or enforced from time to time by the U.S. government, including those administered by OFAC, the U.S. Department of State, the United Nations Security Council, the European Union, Her Majesty’s Treasury or other relevant sanctions authority.</w:t>
      </w:r>
    </w:p>
    <w:p>
      <w:pPr>
        <w:spacing w:after="0" w:line="307" w:lineRule="exact"/>
        <w:rPr>
          <w:sz w:val="20"/>
          <w:szCs w:val="20"/>
          <w:color w:val="auto"/>
        </w:rPr>
      </w:pPr>
    </w:p>
    <w:p>
      <w:pPr>
        <w:ind w:left="644"/>
        <w:spacing w:after="0"/>
        <w:rPr>
          <w:sz w:val="20"/>
          <w:szCs w:val="20"/>
          <w:color w:val="auto"/>
        </w:rPr>
      </w:pPr>
      <w:r>
        <w:rPr>
          <w:rFonts w:ascii="Arial" w:cs="Arial" w:eastAsia="Arial" w:hAnsi="Arial"/>
          <w:sz w:val="21"/>
          <w:szCs w:val="21"/>
          <w:color w:val="auto"/>
        </w:rPr>
        <w:t>“Schedule” refers to a specific schedule to this Agreement, unless another document is specifically referenced.</w:t>
      </w:r>
    </w:p>
    <w:p>
      <w:pPr>
        <w:spacing w:after="0" w:line="326" w:lineRule="exact"/>
        <w:rPr>
          <w:sz w:val="20"/>
          <w:szCs w:val="20"/>
          <w:color w:val="auto"/>
        </w:rPr>
      </w:pPr>
    </w:p>
    <w:p>
      <w:pPr>
        <w:ind w:left="644"/>
        <w:spacing w:after="0"/>
        <w:rPr>
          <w:sz w:val="20"/>
          <w:szCs w:val="20"/>
          <w:color w:val="auto"/>
        </w:rPr>
      </w:pPr>
      <w:r>
        <w:rPr>
          <w:rFonts w:ascii="Arial" w:cs="Arial" w:eastAsia="Arial" w:hAnsi="Arial"/>
          <w:sz w:val="22"/>
          <w:szCs w:val="22"/>
          <w:color w:val="auto"/>
        </w:rPr>
        <w:t>“Section” means a numbered section of this Agreement, unless another document is specifically referenced.</w:t>
      </w:r>
    </w:p>
    <w:p>
      <w:pPr>
        <w:spacing w:after="0" w:line="200" w:lineRule="exact"/>
        <w:rPr>
          <w:sz w:val="20"/>
          <w:szCs w:val="20"/>
          <w:color w:val="auto"/>
        </w:rPr>
      </w:pPr>
    </w:p>
    <w:p>
      <w:pPr>
        <w:spacing w:after="0" w:line="337"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4"/>
          </w:cols>
          <w:pgMar w:left="356" w:top="375" w:right="239" w:bottom="1440" w:gutter="0" w:footer="0" w:header="0"/>
        </w:sectPr>
      </w:pPr>
    </w:p>
    <w:bookmarkStart w:id="137" w:name="page138"/>
    <w:bookmarkEnd w:id="137"/>
    <w:p>
      <w:pPr>
        <w:jc w:val="both"/>
        <w:ind w:left="4" w:firstLine="648"/>
        <w:spacing w:after="0" w:line="343" w:lineRule="auto"/>
        <w:rPr>
          <w:sz w:val="20"/>
          <w:szCs w:val="20"/>
          <w:color w:val="auto"/>
        </w:rPr>
      </w:pPr>
      <w:r>
        <w:rPr>
          <w:rFonts w:ascii="Arial" w:cs="Arial" w:eastAsia="Arial" w:hAnsi="Arial"/>
          <w:sz w:val="19"/>
          <w:szCs w:val="19"/>
          <w:color w:val="auto"/>
        </w:rPr>
        <w:t>“Security Agreement” means that certain Security Agreement dated as of October 2, 2012 by and between the Borrower and the Administrative Agent, as amended by that certain Amendment to Security Agreement dated as of the date hereof.</w:t>
      </w:r>
    </w:p>
    <w:p>
      <w:pPr>
        <w:spacing w:after="0" w:line="145" w:lineRule="exact"/>
        <w:rPr>
          <w:sz w:val="20"/>
          <w:szCs w:val="20"/>
          <w:color w:val="auto"/>
        </w:rPr>
      </w:pPr>
    </w:p>
    <w:p>
      <w:pPr>
        <w:ind w:left="644"/>
        <w:spacing w:after="0"/>
        <w:rPr>
          <w:sz w:val="20"/>
          <w:szCs w:val="20"/>
          <w:color w:val="auto"/>
        </w:rPr>
      </w:pPr>
      <w:r>
        <w:rPr>
          <w:rFonts w:ascii="Arial" w:cs="Arial" w:eastAsia="Arial" w:hAnsi="Arial"/>
          <w:sz w:val="22"/>
          <w:szCs w:val="22"/>
          <w:color w:val="auto"/>
        </w:rPr>
        <w:t>“Stated Rate” is defined in Section 2.21.</w:t>
      </w:r>
    </w:p>
    <w:p>
      <w:pPr>
        <w:spacing w:after="0" w:line="260" w:lineRule="exact"/>
        <w:rPr>
          <w:sz w:val="20"/>
          <w:szCs w:val="20"/>
          <w:color w:val="auto"/>
        </w:rPr>
      </w:pPr>
    </w:p>
    <w:p>
      <w:pPr>
        <w:jc w:val="both"/>
        <w:ind w:left="4" w:firstLine="648"/>
        <w:spacing w:after="0" w:line="247" w:lineRule="auto"/>
        <w:rPr>
          <w:sz w:val="20"/>
          <w:szCs w:val="20"/>
          <w:color w:val="auto"/>
        </w:rPr>
      </w:pPr>
      <w:r>
        <w:rPr>
          <w:rFonts w:ascii="Arial" w:cs="Arial" w:eastAsia="Arial" w:hAnsi="Arial"/>
          <w:sz w:val="22"/>
          <w:szCs w:val="22"/>
          <w:color w:val="auto"/>
        </w:rPr>
        <w:t>“Subsidiary” of a Person means (i) any corporation more than 50% of the outstanding securities having ordinary voting power of which shall at the time be owned or controlled, directly or indirectly, by such Person or by one or more of its Subsidiaries or by such Person and one or more of its Subsidiaries, or (ii) any partnership, limited liability company, association, joint venture or similar business organization more than 50% of the ownership interests having ordinary voting power of which shall at the time be so owned or controlled. Unless otherwise expressly provided, all references herein to a “Subsidiary” shall mean a Subsidiary of the Borrower.</w:t>
      </w:r>
    </w:p>
    <w:p>
      <w:pPr>
        <w:spacing w:after="0" w:line="234" w:lineRule="exact"/>
        <w:rPr>
          <w:sz w:val="20"/>
          <w:szCs w:val="20"/>
          <w:color w:val="auto"/>
        </w:rPr>
      </w:pPr>
    </w:p>
    <w:p>
      <w:pPr>
        <w:jc w:val="both"/>
        <w:ind w:left="4" w:firstLine="648"/>
        <w:spacing w:after="0" w:line="253" w:lineRule="auto"/>
        <w:rPr>
          <w:sz w:val="20"/>
          <w:szCs w:val="20"/>
          <w:color w:val="auto"/>
        </w:rPr>
      </w:pPr>
      <w:r>
        <w:rPr>
          <w:rFonts w:ascii="Arial" w:cs="Arial" w:eastAsia="Arial" w:hAnsi="Arial"/>
          <w:sz w:val="22"/>
          <w:szCs w:val="22"/>
          <w:color w:val="auto"/>
        </w:rPr>
        <w:t>“Substantial Portion” means, with respect to the Property of the Borrower and its Subsidiaries, Property which represents more than 10% of the consolidated assets of the Borrower and its Subsidiaries taken as a whole or Property which is responsible for more than</w:t>
      </w:r>
    </w:p>
    <w:p>
      <w:pPr>
        <w:spacing w:after="0" w:line="267" w:lineRule="exact"/>
        <w:rPr>
          <w:sz w:val="20"/>
          <w:szCs w:val="20"/>
          <w:color w:val="auto"/>
        </w:rPr>
      </w:pPr>
    </w:p>
    <w:p>
      <w:pPr>
        <w:jc w:val="both"/>
        <w:ind w:left="4"/>
        <w:spacing w:after="0" w:line="248" w:lineRule="auto"/>
        <w:rPr>
          <w:sz w:val="20"/>
          <w:szCs w:val="20"/>
          <w:color w:val="auto"/>
        </w:rPr>
      </w:pPr>
      <w:r>
        <w:rPr>
          <w:rFonts w:ascii="Arial" w:cs="Arial" w:eastAsia="Arial" w:hAnsi="Arial"/>
          <w:sz w:val="22"/>
          <w:szCs w:val="22"/>
          <w:color w:val="auto"/>
        </w:rPr>
        <w:t>10% of the Consolidated Net Income of the Borrower and its Subsidiaries taken as a whole, in each case, as would be shown in the consolidated financial statements of the Borrower and its Subsidiaries as at the beginning of the twelve-month period ending with the month in which such determination is made (or if financial statements have not been delivered hereunder for that month which begins the twelve-month period, then the financial statements delivered hereunder for the quarter ending immediately prior to that month).</w:t>
      </w:r>
    </w:p>
    <w:p>
      <w:pPr>
        <w:spacing w:after="0" w:line="233"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22"/>
          <w:szCs w:val="22"/>
          <w:color w:val="auto"/>
        </w:rPr>
        <w:t>“Swap” means any agreement, contract or transaction that constitutes a “swap” within the meaning of section 1a(47) of the Commodity Exchange Act.</w:t>
      </w:r>
    </w:p>
    <w:p>
      <w:pPr>
        <w:spacing w:after="0" w:line="215" w:lineRule="exact"/>
        <w:rPr>
          <w:sz w:val="20"/>
          <w:szCs w:val="20"/>
          <w:color w:val="auto"/>
        </w:rPr>
      </w:pPr>
    </w:p>
    <w:p>
      <w:pPr>
        <w:jc w:val="both"/>
        <w:ind w:left="4" w:firstLine="648"/>
        <w:spacing w:after="0" w:line="249" w:lineRule="auto"/>
        <w:rPr>
          <w:sz w:val="20"/>
          <w:szCs w:val="20"/>
          <w:color w:val="auto"/>
        </w:rPr>
      </w:pPr>
      <w:r>
        <w:rPr>
          <w:rFonts w:ascii="Arial" w:cs="Arial" w:eastAsia="Arial" w:hAnsi="Arial"/>
          <w:sz w:val="22"/>
          <w:szCs w:val="22"/>
          <w:color w:val="auto"/>
        </w:rPr>
        <w:t>“Swap Obligation” means, with respect to any Person, any and all obligations, whether absolute or contingent and howsoever and whensoever created, arising, evidenced or acquired (including all renewals, extensions and modifications thereof and substitutions therefor), under</w:t>
      </w:r>
    </w:p>
    <w:p>
      <w:pPr>
        <w:ind w:left="644" w:right="760" w:hanging="644"/>
        <w:spacing w:after="0" w:line="478" w:lineRule="auto"/>
        <w:tabs>
          <w:tab w:leader="none" w:pos="470"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and all Swaps, and (ii) any and all cancellations, buy backs, reversals, terminations or assignments of any Swap. “Swing Line Borrowing Notice” is defined in Section 2.4(b).</w:t>
      </w:r>
    </w:p>
    <w:p>
      <w:pPr>
        <w:spacing w:after="0" w:line="1"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22"/>
          <w:szCs w:val="22"/>
          <w:color w:val="auto"/>
        </w:rPr>
        <w:t>“Swing Line Lender” means U.S. Bank or such other Lender which may succeed to its rights and obligations as Swing Line Lender pursuant to the terms of this Agreement.</w:t>
      </w:r>
    </w:p>
    <w:p>
      <w:pPr>
        <w:spacing w:after="0" w:line="215" w:lineRule="exact"/>
        <w:rPr>
          <w:sz w:val="20"/>
          <w:szCs w:val="20"/>
          <w:color w:val="auto"/>
        </w:rPr>
      </w:pPr>
    </w:p>
    <w:p>
      <w:pPr>
        <w:ind w:left="644"/>
        <w:spacing w:after="0"/>
        <w:rPr>
          <w:sz w:val="20"/>
          <w:szCs w:val="20"/>
          <w:color w:val="auto"/>
        </w:rPr>
      </w:pPr>
      <w:r>
        <w:rPr>
          <w:rFonts w:ascii="Arial" w:cs="Arial" w:eastAsia="Arial" w:hAnsi="Arial"/>
          <w:sz w:val="19"/>
          <w:szCs w:val="19"/>
          <w:color w:val="auto"/>
        </w:rPr>
        <w:t>“Swing Line Loan” means a Loan made available to the Borrower by the Swing Line Lender pursuant to Section 2.4.</w:t>
      </w:r>
    </w:p>
    <w:p>
      <w:pPr>
        <w:spacing w:after="0" w:line="295" w:lineRule="exact"/>
        <w:rPr>
          <w:sz w:val="20"/>
          <w:szCs w:val="20"/>
          <w:color w:val="auto"/>
        </w:rPr>
      </w:pPr>
    </w:p>
    <w:p>
      <w:pPr>
        <w:jc w:val="both"/>
        <w:ind w:left="4" w:firstLine="648"/>
        <w:spacing w:after="0" w:line="250" w:lineRule="auto"/>
        <w:rPr>
          <w:sz w:val="20"/>
          <w:szCs w:val="20"/>
          <w:color w:val="auto"/>
        </w:rPr>
      </w:pPr>
      <w:r>
        <w:rPr>
          <w:rFonts w:ascii="Arial" w:cs="Arial" w:eastAsia="Arial" w:hAnsi="Arial"/>
          <w:sz w:val="22"/>
          <w:szCs w:val="22"/>
          <w:color w:val="auto"/>
        </w:rPr>
        <w:t>“Swing Line Rate” means the Applicable Margin plus the one-month LIBOR rate quoted by the Administrative Agent from Reuters Screen LIBOR01 Page or any successor thereto which may be designated by the Administrative Agent as provided below, which shall be that one- month LIBOR rate in effect and reset each New York Banking Day, adjusted for any reserve requirement</w:t>
      </w:r>
    </w:p>
    <w:p>
      <w:pPr>
        <w:spacing w:after="0" w:line="196"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4"/>
          </w:cols>
          <w:pgMar w:left="356" w:top="375" w:right="239" w:bottom="1440" w:gutter="0" w:footer="0" w:header="0"/>
        </w:sectPr>
      </w:pPr>
    </w:p>
    <w:bookmarkStart w:id="138" w:name="page139"/>
    <w:bookmarkEnd w:id="138"/>
    <w:p>
      <w:pPr>
        <w:jc w:val="both"/>
        <w:spacing w:after="0" w:line="248" w:lineRule="auto"/>
        <w:rPr>
          <w:sz w:val="20"/>
          <w:szCs w:val="20"/>
          <w:color w:val="auto"/>
        </w:rPr>
      </w:pPr>
      <w:r>
        <w:rPr>
          <w:rFonts w:ascii="Arial" w:cs="Arial" w:eastAsia="Arial" w:hAnsi="Arial"/>
          <w:sz w:val="22"/>
          <w:szCs w:val="22"/>
          <w:color w:val="auto"/>
        </w:rPr>
        <w:t>and any subsequent costs arising from a change in government regulation; however, notwithstanding the interest rate specified above, the Swing Line Rate will not be less than the annual rate of 0%. The Administrative Agent’s internal records of applicable interest rates (including without limitation Administrative Agent’s designation of any successor interest rate index if any rate index described above shall become temporarily unavailable or shall cease to exist) shall be determinative in the absence of manifest error.</w:t>
      </w:r>
    </w:p>
    <w:p>
      <w:pPr>
        <w:spacing w:after="0" w:line="23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“Swing Line Sublimit” means the maximum principal amount of Swing Line Loans the Swing Line Lender may have outstanding to the Borrower at any one time, which, as of the date of this Agreement, is $30,000,000.</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“TARGET” means Trans-European Automated Real-time Gross Settlement Express Transfer payment system.</w:t>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“TARGET Day” means any day on which TARGET is open for settlement of payments in euro.</w:t>
      </w:r>
    </w:p>
    <w:p>
      <w:pPr>
        <w:spacing w:after="0" w:line="2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“Taxes” means any and all present or future taxes, duties, levies, imposts, deductions, fees, assessments, charges or withholdings, and any and all liabilities with respect to the foregoing, including interest, additions to tax and penalties applicable thereto.</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“Transferee” is defined in Section 12.3(e).</w:t>
      </w:r>
    </w:p>
    <w:p>
      <w:pPr>
        <w:spacing w:after="0" w:line="2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“Type” means, with respect to any Advance, its nature as a Base Rate Advance or a Eurocurrency Advance and with respect to any Loan, its nature as a Base Rate Loan or a Eurocurrency Loan.</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“Undisclosed Administration” means in relation to a Lender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“U.S. Bank” means U.S. Bank National Association, a national banking association, in its individual capacity, and its successors.</w:t>
      </w:r>
    </w:p>
    <w:p>
      <w:pPr>
        <w:spacing w:after="0" w:line="21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“Wholly-Owned Subsidiary” of a Person means (i) any Subsidiary of which 100% of the beneficial ownership interests shall at the time be owned or controlled, directly or indirectly, by such Person or one or more Wholly-Owned Subsidiaries of such Person, or by such Person and one or more Wholly-Owned Subsidiaries of such Person, or (ii) any partnership, limited liability company, association, joint venture or similar business organization of which 100% of the beneficial ownership interests shall at the time be so owned or controlled.</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“Write-Down and Conversion Powers” means, with respect to any EEA Resolution Authority, the write-down and conversion powers of such EEA Resolution Authority from time to time under the Bail-In Legislation for the applicable EEA Member Country, which write- down and conversion powers are described in the EU Bail-In Legislation Schedule.</w:t>
      </w:r>
    </w:p>
    <w:p>
      <w:pPr>
        <w:spacing w:after="0" w:line="200" w:lineRule="exact"/>
        <w:rPr>
          <w:sz w:val="20"/>
          <w:szCs w:val="20"/>
          <w:color w:val="auto"/>
        </w:rPr>
      </w:pPr>
    </w:p>
    <w:p>
      <w:pPr>
        <w:spacing w:after="0" w:line="23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00"/>
          </w:cols>
          <w:pgMar w:left="360" w:top="375" w:right="239" w:bottom="1440" w:gutter="0" w:footer="0" w:header="0"/>
        </w:sectPr>
      </w:pPr>
    </w:p>
    <w:bookmarkStart w:id="139" w:name="page140"/>
    <w:bookmarkEnd w:id="139"/>
    <w:p>
      <w:pPr>
        <w:spacing w:after="0"/>
        <w:rPr>
          <w:sz w:val="20"/>
          <w:szCs w:val="20"/>
          <w:color w:val="auto"/>
        </w:rPr>
      </w:pPr>
      <w:r>
        <w:rPr>
          <w:rFonts w:ascii="Arial" w:cs="Arial" w:eastAsia="Arial" w:hAnsi="Arial"/>
          <w:sz w:val="22"/>
          <w:szCs w:val="22"/>
          <w:color w:val="auto"/>
        </w:rPr>
        <w:t>The foregoing definitions shall be equally applicable to both the singular and plural forms of the defined terms.</w:t>
      </w:r>
    </w:p>
    <w:p>
      <w:pPr>
        <w:spacing w:after="0" w:line="260" w:lineRule="exact"/>
        <w:rPr>
          <w:sz w:val="20"/>
          <w:szCs w:val="20"/>
          <w:color w:val="auto"/>
        </w:rPr>
      </w:pPr>
    </w:p>
    <w:p>
      <w:pPr>
        <w:jc w:val="both"/>
        <w:ind w:firstLine="1378"/>
        <w:spacing w:after="0" w:line="254"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Loan Classes</w:t>
      </w:r>
      <w:r>
        <w:rPr>
          <w:rFonts w:ascii="Arial" w:cs="Arial" w:eastAsia="Arial" w:hAnsi="Arial"/>
          <w:sz w:val="22"/>
          <w:szCs w:val="22"/>
          <w:color w:val="auto"/>
        </w:rPr>
        <w:t>. For purposes of this Agreement, Loans may be classified and referred to by Class (e.g., a “Revolving Loan”) or by Type (e.g., a “Eurocurrency Loan”) or by Class and Type (e.g., a “Eurocurrency Revolving Loan”). Advances also may be classified and referred to by Class (e.g., a “Revolving Advance”) or by Type (e.g., a “Eurocurrency Advance”) or by Class and Type (e.g., a “Eurocurrency Revolving Advance”).</w:t>
      </w:r>
    </w:p>
    <w:p>
      <w:pPr>
        <w:spacing w:after="0" w:line="226" w:lineRule="exact"/>
        <w:rPr>
          <w:sz w:val="20"/>
          <w:szCs w:val="20"/>
          <w:color w:val="auto"/>
        </w:rPr>
      </w:pPr>
    </w:p>
    <w:p>
      <w:pPr>
        <w:jc w:val="both"/>
        <w:ind w:firstLine="1378"/>
        <w:spacing w:after="0" w:line="260"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Computation of Time Periods</w:t>
      </w:r>
      <w:r>
        <w:rPr>
          <w:rFonts w:ascii="Arial" w:cs="Arial" w:eastAsia="Arial" w:hAnsi="Arial"/>
          <w:sz w:val="22"/>
          <w:szCs w:val="22"/>
          <w:color w:val="auto"/>
        </w:rPr>
        <w:t>. In this Agreement, in the computation of a period of time from a specified date to a later specified date, unless otherwise stated the word “from” means “from and including” and the word “to” or “until” each means “to but excluding”.</w:t>
      </w:r>
    </w:p>
    <w:p>
      <w:pPr>
        <w:spacing w:after="0" w:line="218" w:lineRule="exact"/>
        <w:rPr>
          <w:sz w:val="20"/>
          <w:szCs w:val="20"/>
          <w:color w:val="auto"/>
        </w:rPr>
      </w:pPr>
    </w:p>
    <w:p>
      <w:pPr>
        <w:jc w:val="both"/>
        <w:ind w:firstLine="1378"/>
        <w:spacing w:after="0" w:line="286"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u w:val="single" w:color="auto"/>
          <w:color w:val="auto"/>
        </w:rPr>
        <w:t>Other Definitional Terms; Interpretative Provisions</w:t>
      </w:r>
      <w:r>
        <w:rPr>
          <w:rFonts w:ascii="Arial" w:cs="Arial" w:eastAsia="Arial" w:hAnsi="Arial"/>
          <w:sz w:val="19"/>
          <w:szCs w:val="19"/>
          <w:color w:val="auto"/>
        </w:rPr>
        <w:t>. The words “hereof,” “herein” and “hereunder” and words of similar import when used in this Agreement shall refer to this Agreement as a whole and not to any particular provision of this Agreement. References to Sections, Exhibits, schedules and like references are to this Agreement unless otherwise expressly provided. The words “include,” “includes” and “including” shall be deemed to be followed by the phrase “without limitation.” The term “shall” shall have the same meaning as the term “will”. Unless the context in which used herein otherwise clearly requires, “or” has the inclusive meaning represented by the phrase “and/or.” All incorporation by reference of covenants, terms, definitions or other provisions from other agreements are incorporated into this Agreement as if such provisions were fully set forth herein, and such incorporation shall include all necessary definitions and related provisions from such other agreements but including only amendments thereto agreed to by the Lenders, and shall survive any termination of such other agreements until the Obligations under this Agreement and the other Loan Documents are irrevocably paid in full (other than inchoate indemnity obligations and Obligations that have been Cash Collateralized), all Facility LCs have expired without renewal or been returned to LC Issuer, and the commitments of the Lenders to advance funds to the Borrower are terminated.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any successor law or regulation. References to any document, instrument or agreement (a) shall include all exhibits, schedules and other attachments thereto, (b) shall include all documents, instruments or agreements issued or executed in replacement thereof, to the extent permitted hereby and (c) shall mean such document, instrument or agreement, or replacement or predecessor thereto, as amended, supplemented, restated or otherwise modified from time to time to the extent not otherwise stated herein or prohibited hereby and in effect at any given time.</w:t>
      </w:r>
    </w:p>
    <w:p>
      <w:pPr>
        <w:spacing w:after="0" w:line="287" w:lineRule="exact"/>
        <w:rPr>
          <w:sz w:val="20"/>
          <w:szCs w:val="20"/>
          <w:color w:val="auto"/>
        </w:rPr>
      </w:pPr>
    </w:p>
    <w:p>
      <w:pPr>
        <w:ind w:left="6020"/>
        <w:spacing w:after="0"/>
        <w:rPr>
          <w:sz w:val="20"/>
          <w:szCs w:val="20"/>
          <w:color w:val="auto"/>
        </w:rPr>
      </w:pPr>
      <w:r>
        <w:rPr>
          <w:rFonts w:ascii="Arial" w:cs="Arial" w:eastAsia="Arial" w:hAnsi="Arial"/>
          <w:sz w:val="22"/>
          <w:szCs w:val="22"/>
          <w:b w:val="1"/>
          <w:bCs w:val="1"/>
          <w:u w:val="single" w:color="auto"/>
          <w:color w:val="auto"/>
        </w:rPr>
        <w:t>ARTICLE II THE CREDITS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380"/>
        <w:spacing w:after="0"/>
        <w:tabs>
          <w:tab w:leader="none" w:pos="1860" w:val="left"/>
          <w:tab w:leader="none" w:pos="47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u w:val="single" w:color="auto"/>
          <w:color w:val="auto"/>
        </w:rPr>
        <w:t>Revolving Loan Commitment</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From and including the date of this</w:t>
      </w:r>
    </w:p>
    <w:p>
      <w:pPr>
        <w:spacing w:after="0" w:line="2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Agreement and prior to the Facility Termination Date, each Lender severally agrees, on the terms and conditions set forth in this Agreement, to make Revolving Loans to the Borrower in Dollars and participate in Facility LCs issued upon the request of the Borrower,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after giving effect to the making of each such Loan and the issuance of each such Facility LC, the amount of such Lender’s Revolving Exposure shall not exceed its Revolving Commitment. All Loans shall be made in Dollars. Subject to the terms of this Agreement, the Borrower may borrow, repay and reborrow the Revolving Loans at any time prior to the Facility Termination Date. Unless previously</w:t>
      </w:r>
    </w:p>
    <w:p>
      <w:pPr>
        <w:spacing w:after="0" w:line="20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00"/>
          </w:cols>
          <w:pgMar w:left="360" w:top="375" w:right="239" w:bottom="1440" w:gutter="0" w:footer="0" w:header="0"/>
        </w:sectPr>
      </w:pPr>
    </w:p>
    <w:bookmarkStart w:id="140" w:name="page141"/>
    <w:bookmarkEnd w:id="140"/>
    <w:p>
      <w:pPr>
        <w:jc w:val="both"/>
        <w:spacing w:after="0" w:line="263" w:lineRule="auto"/>
        <w:rPr>
          <w:sz w:val="20"/>
          <w:szCs w:val="20"/>
          <w:color w:val="auto"/>
        </w:rPr>
      </w:pPr>
      <w:r>
        <w:rPr>
          <w:rFonts w:ascii="Arial" w:cs="Arial" w:eastAsia="Arial" w:hAnsi="Arial"/>
          <w:sz w:val="22"/>
          <w:szCs w:val="22"/>
          <w:color w:val="auto"/>
        </w:rPr>
        <w:t>terminated, the Revolving Commitment shall terminate on the Facility Termination Date. The LC Issuer will issue Facility LCs hereunder on the terms and conditions set forth in Section 2.19.</w:t>
      </w:r>
    </w:p>
    <w:p>
      <w:pPr>
        <w:spacing w:after="0" w:line="215" w:lineRule="exact"/>
        <w:rPr>
          <w:sz w:val="20"/>
          <w:szCs w:val="20"/>
          <w:color w:val="auto"/>
        </w:rPr>
      </w:pPr>
    </w:p>
    <w:p>
      <w:pPr>
        <w:jc w:val="right"/>
        <w:spacing w:after="0"/>
        <w:tabs>
          <w:tab w:leader="none" w:pos="9340" w:val="left"/>
          <w:tab w:leader="none" w:pos="36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u w:val="single" w:color="auto"/>
          <w:color w:val="auto"/>
        </w:rPr>
        <w:t>Determination of Amounts; Required Payments; Termination</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Administrative Agent will determine</w:t>
      </w:r>
    </w:p>
    <w:p>
      <w:pPr>
        <w:spacing w:after="0" w:line="22"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the amount of: (a) each Advance as of the date two (2) Business Days prior to the Borrowing Date or, if applicable, date of conversion/continuation of such Advance, and (b) all outstanding Advances on and as of the last Business Day of each quarter and on any other Business Day elected by the Administrative Agent in its discretion or upon instruction by the Required Lenders. Each day upon or as of which the Administrative Agent determines amounts as described in the preceding clauses (a) and (b) is herein described as a “Computation Date” with respect to each Advance for which the amount is determined on or as of such day. If at any time the amount of the Aggregate Revolving Exposures exceeds the Aggregate Revolving Commitments, the Borrower shall immediately make a payment on the Loans or Cash Collateralize LC Obligations in an account with the Administrative Agent pursuant to Section 2.19(k) sufficient to eliminate such excess. The Aggregate Revolving</w:t>
      </w:r>
    </w:p>
    <w:p>
      <w:pPr>
        <w:spacing w:after="0" w:line="241" w:lineRule="exact"/>
        <w:rPr>
          <w:sz w:val="20"/>
          <w:szCs w:val="20"/>
          <w:color w:val="auto"/>
        </w:rPr>
      </w:pPr>
    </w:p>
    <w:p>
      <w:pPr>
        <w:ind w:right="700"/>
        <w:spacing w:after="0" w:line="263" w:lineRule="auto"/>
        <w:rPr>
          <w:sz w:val="20"/>
          <w:szCs w:val="20"/>
          <w:color w:val="auto"/>
        </w:rPr>
      </w:pPr>
      <w:r>
        <w:rPr>
          <w:rFonts w:ascii="Arial" w:cs="Arial" w:eastAsia="Arial" w:hAnsi="Arial"/>
          <w:sz w:val="22"/>
          <w:szCs w:val="22"/>
          <w:color w:val="auto"/>
        </w:rPr>
        <w:t>Exposure and all other unpaid Obligations under this Agreement and the other Loan Documents shall be paid in full by the Borrower on the Facility Termination Date.</w:t>
      </w:r>
    </w:p>
    <w:p>
      <w:pPr>
        <w:spacing w:after="0" w:line="215" w:lineRule="exact"/>
        <w:rPr>
          <w:sz w:val="20"/>
          <w:szCs w:val="20"/>
          <w:color w:val="auto"/>
        </w:rPr>
      </w:pPr>
    </w:p>
    <w:p>
      <w:pPr>
        <w:jc w:val="both"/>
        <w:ind w:firstLine="1378"/>
        <w:spacing w:after="0" w:line="270" w:lineRule="auto"/>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u w:val="single" w:color="auto"/>
          <w:color w:val="auto"/>
        </w:rPr>
        <w:t>Ratable Loans; Types of Advances</w:t>
      </w:r>
      <w:r>
        <w:rPr>
          <w:rFonts w:ascii="Arial" w:cs="Arial" w:eastAsia="Arial" w:hAnsi="Arial"/>
          <w:sz w:val="21"/>
          <w:szCs w:val="21"/>
          <w:color w:val="auto"/>
        </w:rPr>
        <w:t>. Each Advance hereunder (other than any Swing Line Loan) shall consist of Revolving Loans made from the several Lenders ratably according to their Pro Rata Shares. The Advances may be Base Rate Advances or Eurocurrency Advances, or a combination thereof, selected by the Borrower in accordance with Sections 2.8 and 2.9, or Swing Line Loans selected by the Borrower in accordance with Section 2.4.</w:t>
      </w:r>
    </w:p>
    <w:p>
      <w:pPr>
        <w:spacing w:after="0" w:line="210" w:lineRule="exact"/>
        <w:rPr>
          <w:sz w:val="20"/>
          <w:szCs w:val="20"/>
          <w:color w:val="auto"/>
        </w:rPr>
      </w:pPr>
    </w:p>
    <w:p>
      <w:pPr>
        <w:ind w:left="1380"/>
        <w:spacing w:after="0"/>
        <w:tabs>
          <w:tab w:leader="none" w:pos="190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Swing Line Loans</w:t>
      </w:r>
      <w:r>
        <w:rPr>
          <w:rFonts w:ascii="Arial" w:cs="Arial" w:eastAsia="Arial" w:hAnsi="Arial"/>
          <w:sz w:val="19"/>
          <w:szCs w:val="19"/>
          <w:color w:val="auto"/>
        </w:rPr>
        <w:t>.</w:t>
      </w:r>
    </w:p>
    <w:p>
      <w:pPr>
        <w:spacing w:after="0" w:line="206" w:lineRule="exact"/>
        <w:rPr>
          <w:sz w:val="20"/>
          <w:szCs w:val="20"/>
          <w:color w:val="auto"/>
        </w:rPr>
      </w:pPr>
    </w:p>
    <w:p>
      <w:pPr>
        <w:jc w:val="both"/>
        <w:ind w:firstLine="1049"/>
        <w:spacing w:after="0" w:line="289" w:lineRule="auto"/>
        <w:tabs>
          <w:tab w:leader="none" w:pos="1473"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Amount of Swing Line Loans; Interest Rate</w:t>
      </w:r>
      <w:r>
        <w:rPr>
          <w:rFonts w:ascii="Arial" w:cs="Arial" w:eastAsia="Arial" w:hAnsi="Arial"/>
          <w:sz w:val="19"/>
          <w:szCs w:val="19"/>
          <w:color w:val="auto"/>
        </w:rPr>
        <w:t xml:space="preserve">. Upon the satisfaction of the conditions precedent set forth in Section 4.2 and, if such Swing Line Loan is to be made on the date of the initial Advance hereunder, the satisfaction of the conditions precedent set forth in Section 4.1 as well, from and including the date of this Agreement and prior to the Facility Termination Date, the Swing Line Lender may, at its option, on the terms and conditions set forth in this Agreement, make Swing Line Loans in Dollars to the Borrower from time to time in an aggregate principal amount not to exceed the Swing Line Sublimit,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Revolving Exposure shall not at any time exceed the Aggregate Revolving Commitment,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at no time shall the sum of (i) the Swing Line Loans, </w:t>
      </w:r>
      <w:r>
        <w:rPr>
          <w:rFonts w:ascii="Arial" w:cs="Arial" w:eastAsia="Arial" w:hAnsi="Arial"/>
          <w:sz w:val="19"/>
          <w:szCs w:val="19"/>
          <w:i w:val="1"/>
          <w:iCs w:val="1"/>
          <w:color w:val="auto"/>
        </w:rPr>
        <w:t>plus</w:t>
      </w:r>
      <w:r>
        <w:rPr>
          <w:rFonts w:ascii="Arial" w:cs="Arial" w:eastAsia="Arial" w:hAnsi="Arial"/>
          <w:sz w:val="19"/>
          <w:szCs w:val="19"/>
          <w:color w:val="auto"/>
        </w:rPr>
        <w:t xml:space="preserve"> (ii) the outstanding Revolving Loans made by the Swing Line Lender pursuant to Section 2.1, </w:t>
      </w:r>
      <w:r>
        <w:rPr>
          <w:rFonts w:ascii="Arial" w:cs="Arial" w:eastAsia="Arial" w:hAnsi="Arial"/>
          <w:sz w:val="19"/>
          <w:szCs w:val="19"/>
          <w:i w:val="1"/>
          <w:iCs w:val="1"/>
          <w:color w:val="auto"/>
        </w:rPr>
        <w:t>plus</w:t>
      </w:r>
      <w:r>
        <w:rPr>
          <w:rFonts w:ascii="Arial" w:cs="Arial" w:eastAsia="Arial" w:hAnsi="Arial"/>
          <w:sz w:val="19"/>
          <w:szCs w:val="19"/>
          <w:color w:val="auto"/>
        </w:rPr>
        <w:t xml:space="preserve"> (iii) the Swing Line Lender’s Pro Rata Share of the LC Obligations, exceed the Swing Line Lender’s Revolving Commitment at such time. Subject to the terms of this Agreement (including, without limitation the discretion of the Swing Line Lender), the Borrower may borrow, repay and reborrow Swing Line Loans at any time prior to the Facility Termination Date. Swing Line Loans shall accrue interest at the Swing Line Rate and shall be subject to the other conditions and limitations set forth in this Article II.</w:t>
      </w:r>
    </w:p>
    <w:p>
      <w:pPr>
        <w:spacing w:after="0" w:line="200" w:lineRule="exact"/>
        <w:rPr>
          <w:rFonts w:ascii="Arial" w:cs="Arial" w:eastAsia="Arial" w:hAnsi="Arial"/>
          <w:sz w:val="19"/>
          <w:szCs w:val="19"/>
          <w:color w:val="auto"/>
        </w:rPr>
      </w:pPr>
    </w:p>
    <w:p>
      <w:pPr>
        <w:spacing w:after="0" w:line="255" w:lineRule="exact"/>
        <w:rPr>
          <w:rFonts w:ascii="Arial" w:cs="Arial" w:eastAsia="Arial" w:hAnsi="Arial"/>
          <w:sz w:val="19"/>
          <w:szCs w:val="19"/>
          <w:color w:val="auto"/>
        </w:rPr>
      </w:pPr>
    </w:p>
    <w:p>
      <w:pPr>
        <w:jc w:val="both"/>
        <w:ind w:firstLine="1049"/>
        <w:spacing w:after="0" w:line="260" w:lineRule="auto"/>
        <w:tabs>
          <w:tab w:leader="none" w:pos="1485"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Borrowing Notice</w:t>
      </w:r>
      <w:r>
        <w:rPr>
          <w:rFonts w:ascii="Arial" w:cs="Arial" w:eastAsia="Arial" w:hAnsi="Arial"/>
          <w:sz w:val="22"/>
          <w:szCs w:val="22"/>
          <w:color w:val="auto"/>
        </w:rPr>
        <w:t>. In order to borrow a Swing Line Loan, the Borrower shall deliver to the Administrative Agent and the Swing Line Lender irrevocable notice (a “</w:t>
      </w:r>
      <w:r>
        <w:rPr>
          <w:rFonts w:ascii="Arial" w:cs="Arial" w:eastAsia="Arial" w:hAnsi="Arial"/>
          <w:sz w:val="22"/>
          <w:szCs w:val="22"/>
          <w:u w:val="single" w:color="auto"/>
          <w:color w:val="auto"/>
        </w:rPr>
        <w:t>Swing Line Borrowing Notice</w:t>
      </w:r>
      <w:r>
        <w:rPr>
          <w:rFonts w:ascii="Arial" w:cs="Arial" w:eastAsia="Arial" w:hAnsi="Arial"/>
          <w:sz w:val="22"/>
          <w:szCs w:val="22"/>
          <w:color w:val="auto"/>
        </w:rPr>
        <w:t>”) not later than noon (Pacific Standard Time) on the Borrowing Date of each</w:t>
      </w:r>
    </w:p>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00"/>
          </w:cols>
          <w:pgMar w:left="360" w:top="375" w:right="239" w:bottom="1440" w:gutter="0" w:footer="0" w:header="0"/>
        </w:sectPr>
      </w:pPr>
    </w:p>
    <w:bookmarkStart w:id="141" w:name="page142"/>
    <w:bookmarkEnd w:id="141"/>
    <w:p>
      <w:pPr>
        <w:ind w:left="4"/>
        <w:spacing w:after="0" w:line="263" w:lineRule="auto"/>
        <w:rPr>
          <w:sz w:val="20"/>
          <w:szCs w:val="20"/>
          <w:color w:val="auto"/>
        </w:rPr>
      </w:pPr>
      <w:r>
        <w:rPr>
          <w:rFonts w:ascii="Arial" w:cs="Arial" w:eastAsia="Arial" w:hAnsi="Arial"/>
          <w:sz w:val="22"/>
          <w:szCs w:val="22"/>
          <w:color w:val="auto"/>
        </w:rPr>
        <w:t>Swing Line Loan, specifying (i) the applicable Borrowing Date (which date shall be a Business Day), and (ii) the aggregate amount of the requested Swing Line Loan.</w:t>
      </w:r>
    </w:p>
    <w:p>
      <w:pPr>
        <w:spacing w:after="0" w:line="215" w:lineRule="exact"/>
        <w:rPr>
          <w:sz w:val="20"/>
          <w:szCs w:val="20"/>
          <w:color w:val="auto"/>
        </w:rPr>
      </w:pPr>
    </w:p>
    <w:p>
      <w:pPr>
        <w:jc w:val="both"/>
        <w:ind w:left="4" w:firstLine="1049"/>
        <w:spacing w:after="0" w:line="291" w:lineRule="auto"/>
        <w:tabs>
          <w:tab w:leader="none" w:pos="1639" w:val="left"/>
        </w:tabs>
        <w:numPr>
          <w:ilvl w:val="1"/>
          <w:numId w:val="53"/>
        </w:numPr>
        <w:rPr>
          <w:rFonts w:ascii="Arial" w:cs="Arial" w:eastAsia="Arial" w:hAnsi="Arial"/>
          <w:sz w:val="19"/>
          <w:szCs w:val="19"/>
          <w:color w:val="auto"/>
        </w:rPr>
      </w:pPr>
      <w:r>
        <w:rPr>
          <w:rFonts w:ascii="Arial" w:cs="Arial" w:eastAsia="Arial" w:hAnsi="Arial"/>
          <w:sz w:val="19"/>
          <w:szCs w:val="19"/>
          <w:u w:val="single" w:color="auto"/>
          <w:color w:val="auto"/>
        </w:rPr>
        <w:t>Making of Swing Line Loans; Participations</w:t>
      </w:r>
      <w:r>
        <w:rPr>
          <w:rFonts w:ascii="Arial" w:cs="Arial" w:eastAsia="Arial" w:hAnsi="Arial"/>
          <w:sz w:val="19"/>
          <w:szCs w:val="19"/>
          <w:color w:val="auto"/>
        </w:rPr>
        <w:t>. Not later than 2:00 p.m. (Pacific Standard Time) on the applicable Borrowing Date, the Swing Line Lender shall make available the Swing Line Loan, in funds immediately available, to the Administrative Agent at its address specified pursuant to Article XIII. The Administrative Agent will promptly make the funds so received from the Swing Line Lender available to the Borrower on the Borrowing Date at the Administrative Agent’s aforesaid address. Each Swing Line Loan shall be refinanced into a Revolving Loan within 10 Business Days and, upon such refinance, the Swing Line Lender shall be deemed, without further action by any party hereto, to have unconditionally and irrevocably sold to each Lender and each Lender shall be deemed, without further action by any party hereto, to have unconditionally and irrevocably purchased from the Swing Line Lender, a participation in such Revolving Loan in proportion to its Pro Rata Share. Swing Line Loans may not be refinanced by the Swing Line Lender into other Swing Line Loans.</w:t>
      </w:r>
    </w:p>
    <w:p>
      <w:pPr>
        <w:spacing w:after="0" w:line="235" w:lineRule="exact"/>
        <w:rPr>
          <w:rFonts w:ascii="Arial" w:cs="Arial" w:eastAsia="Arial" w:hAnsi="Arial"/>
          <w:sz w:val="19"/>
          <w:szCs w:val="19"/>
          <w:color w:val="auto"/>
        </w:rPr>
      </w:pPr>
    </w:p>
    <w:p>
      <w:pPr>
        <w:jc w:val="both"/>
        <w:ind w:left="4" w:firstLine="1049"/>
        <w:spacing w:after="0" w:line="284" w:lineRule="auto"/>
        <w:tabs>
          <w:tab w:leader="none" w:pos="1530" w:val="left"/>
        </w:tabs>
        <w:numPr>
          <w:ilvl w:val="1"/>
          <w:numId w:val="53"/>
        </w:numPr>
        <w:rPr>
          <w:rFonts w:ascii="Arial" w:cs="Arial" w:eastAsia="Arial" w:hAnsi="Arial"/>
          <w:sz w:val="19"/>
          <w:szCs w:val="19"/>
          <w:color w:val="auto"/>
        </w:rPr>
      </w:pPr>
      <w:r>
        <w:rPr>
          <w:rFonts w:ascii="Arial" w:cs="Arial" w:eastAsia="Arial" w:hAnsi="Arial"/>
          <w:sz w:val="19"/>
          <w:szCs w:val="19"/>
          <w:u w:val="single" w:color="auto"/>
          <w:color w:val="auto"/>
        </w:rPr>
        <w:t>Repayment of Swing Line Loans</w:t>
      </w:r>
      <w:r>
        <w:rPr>
          <w:rFonts w:ascii="Arial" w:cs="Arial" w:eastAsia="Arial" w:hAnsi="Arial"/>
          <w:sz w:val="19"/>
          <w:szCs w:val="19"/>
          <w:color w:val="auto"/>
        </w:rPr>
        <w:t>. Each Swing Line Loan (including, without limitation, any interest accrued and unpaid thereon) shall be paid in full by the Borrower on the date selected by the Administrative Agent. In addition, the Swing Line Lender may at any time in its sole discretion with respect to any outstanding Swing Line Loan, require each Lender to fund the participation acquired by such Lender pursuant to Section 2.4(c) or require each Lender (including the Swing Line Lender) to make a Revolving Loan in the amount of such Lender’s Pro Rata Share of such Swing Line Loan (including, without limitation, any interest accrued and unpaid thereon), for the purpose of repaying such Swing Line Loan. Not later than 1:00 p.m. (Pacific Standard Time) on the date of any notice received pursuant to this Section 2.4(d), each Lender shall make available its required Revolving Loan, in funds immediately available to the Administrative Agent at its address specified pursuant to Article XIII. Unless a Lender shall have notified the Swing Line Lender, prior to the Swing Line Lender’s making any Swing Line Loan, that any applicable condition precedent set forth in Sections 4.1 or 4.2 had not then been satisfied, such Lender’s obligation to make Revolving Loans pursuant to this Section 2.4(d) to repay Swing Line Loans or to fund the participation acquired pursuant to Section 2.4(c) shall be unconditional, continuing, irrevocable and absolute and shall not be affected by any circumstances, including, without limitation, (a) any set-off, counterclaim, recoupment, defense or other right which such Lender may have against the Borrower, the Administrative Agent, the Swing Line Lender or any other Person, (b) the occurrence or continuance of a Default or Event of Default, (c) any adverse change in the condition (financial or otherwise) of the Borrower, or</w:t>
      </w:r>
    </w:p>
    <w:p>
      <w:pPr>
        <w:spacing w:after="0" w:line="2" w:lineRule="exact"/>
        <w:rPr>
          <w:rFonts w:ascii="Arial" w:cs="Arial" w:eastAsia="Arial" w:hAnsi="Arial"/>
          <w:sz w:val="19"/>
          <w:szCs w:val="19"/>
          <w:color w:val="auto"/>
        </w:rPr>
      </w:pPr>
    </w:p>
    <w:p>
      <w:pPr>
        <w:jc w:val="both"/>
        <w:ind w:left="4" w:hanging="4"/>
        <w:spacing w:after="0" w:line="257" w:lineRule="auto"/>
        <w:tabs>
          <w:tab w:leader="none" w:pos="580" w:val="left"/>
        </w:tabs>
        <w:numPr>
          <w:ilvl w:val="0"/>
          <w:numId w:val="54"/>
        </w:numPr>
        <w:rPr>
          <w:rFonts w:ascii="Arial" w:cs="Arial" w:eastAsia="Arial" w:hAnsi="Arial"/>
          <w:sz w:val="21"/>
          <w:szCs w:val="21"/>
          <w:color w:val="auto"/>
        </w:rPr>
      </w:pPr>
      <w:r>
        <w:rPr>
          <w:rFonts w:ascii="Arial" w:cs="Arial" w:eastAsia="Arial" w:hAnsi="Arial"/>
          <w:sz w:val="21"/>
          <w:szCs w:val="21"/>
          <w:color w:val="auto"/>
        </w:rPr>
        <w:t>any other circumstances, happening or event whatsoever. In the event that any Lender fails to make payment to the Administrative Agent of any amount due under this Section 2.4(d), interest shall accrue thereon at the Federal Funds Effective Rate for each day during the period commencing on the date of demand and ending on the date such amount is received and the Administrative Agent shall be entitled to receive, retain and apply against such obligation the principal and interest otherwise payable to such Lender hereunder until the Administrative Agent receives such payment from such Lender or such obligation is otherwise fully satisfied. On the Facility Termination Date, the Borrower shall repay in full the outstanding principal balance of the Swing Line Loans, including any accrued and unpaid interest thereon.</w:t>
      </w:r>
    </w:p>
    <w:p>
      <w:pPr>
        <w:spacing w:after="0" w:line="200" w:lineRule="exact"/>
        <w:rPr>
          <w:sz w:val="20"/>
          <w:szCs w:val="20"/>
          <w:color w:val="auto"/>
        </w:rPr>
      </w:pPr>
    </w:p>
    <w:p>
      <w:pPr>
        <w:spacing w:after="0" w:line="248"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04"/>
          </w:cols>
          <w:pgMar w:left="356" w:top="375" w:right="239" w:bottom="1440" w:gutter="0" w:footer="0" w:header="0"/>
        </w:sectPr>
      </w:pPr>
    </w:p>
    <w:bookmarkStart w:id="142" w:name="page143"/>
    <w:bookmarkEnd w:id="142"/>
    <w:p>
      <w:pPr>
        <w:ind w:left="1380"/>
        <w:spacing w:after="0"/>
        <w:tabs>
          <w:tab w:leader="none" w:pos="190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8"/>
          <w:szCs w:val="18"/>
          <w:u w:val="single" w:color="auto"/>
          <w:color w:val="auto"/>
        </w:rPr>
        <w:t>Other Fees</w:t>
      </w:r>
      <w:r>
        <w:rPr>
          <w:rFonts w:ascii="Arial" w:cs="Arial" w:eastAsia="Arial" w:hAnsi="Arial"/>
          <w:sz w:val="18"/>
          <w:szCs w:val="18"/>
          <w:color w:val="auto"/>
        </w:rPr>
        <w:t>. Reserved.</w:t>
      </w:r>
    </w:p>
    <w:p>
      <w:pPr>
        <w:spacing w:after="0" w:line="206" w:lineRule="exact"/>
        <w:rPr>
          <w:sz w:val="20"/>
          <w:szCs w:val="20"/>
          <w:color w:val="auto"/>
        </w:rPr>
      </w:pPr>
    </w:p>
    <w:p>
      <w:pPr>
        <w:jc w:val="both"/>
        <w:ind w:firstLine="1378"/>
        <w:spacing w:after="0" w:line="276" w:lineRule="auto"/>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Minimum Amount of Each Eurocurrency Advance</w:t>
      </w:r>
      <w:r>
        <w:rPr>
          <w:rFonts w:ascii="Arial" w:cs="Arial" w:eastAsia="Arial" w:hAnsi="Arial"/>
          <w:sz w:val="22"/>
          <w:szCs w:val="22"/>
          <w:color w:val="auto"/>
        </w:rPr>
        <w:t>. Each Eurocurrency Advance shall be in the minimum amount of $500,000.</w:t>
      </w:r>
    </w:p>
    <w:p>
      <w:pPr>
        <w:spacing w:after="0" w:line="201" w:lineRule="exact"/>
        <w:rPr>
          <w:sz w:val="20"/>
          <w:szCs w:val="20"/>
          <w:color w:val="auto"/>
        </w:rPr>
      </w:pPr>
    </w:p>
    <w:p>
      <w:pPr>
        <w:jc w:val="both"/>
        <w:ind w:firstLine="1378"/>
        <w:spacing w:after="0" w:line="247" w:lineRule="auto"/>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u w:val="single" w:color="auto"/>
          <w:color w:val="auto"/>
        </w:rPr>
        <w:t>Optional Principal Payments</w:t>
      </w:r>
      <w:r>
        <w:rPr>
          <w:rFonts w:ascii="Arial" w:cs="Arial" w:eastAsia="Arial" w:hAnsi="Arial"/>
          <w:sz w:val="22"/>
          <w:szCs w:val="22"/>
          <w:color w:val="auto"/>
        </w:rPr>
        <w:t>. The Borrower may from time to time pay, without penalty or premium, all outstanding Base Rate Advances (other than Swing Line Loans), or, in a minimum aggregate amount of $100,000 and incremental amounts in integral multiples of $100,000 (or the aggregate amount of the outstanding Revolving Loans at such time), any portion of the aggregate outstanding Base Rate Advances (other than Swing Line Loans) upon same day notice by 10:00 a.m. (Pacific Standard Time) to the Administrative Agent. The Borrower may at any time pay, without penalty or premium, all outstanding Swing Line Loans, or any portion of the outstanding Swing Line Loans, with notice to the Administrative Agent and the Swing Line Lender by 10:00 a.m. (Pacific Standard Time) on the date of repayment. The Borrower may from time to time pay, subject to the payment of any funding indemnification amounts required by Section 3.4 but without penalty or premium, all or any portion of</w:t>
      </w:r>
    </w:p>
    <w:p>
      <w:pPr>
        <w:spacing w:after="0" w:line="277"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outstanding Eurocurrency Advances upon at least two (2) Business Days’ prior written notice to the Administrative Agent by 10:00 a.m. (Pacific Standard Time).</w:t>
      </w:r>
    </w:p>
    <w:p>
      <w:pPr>
        <w:spacing w:after="0" w:line="215" w:lineRule="exact"/>
        <w:rPr>
          <w:sz w:val="20"/>
          <w:szCs w:val="20"/>
          <w:color w:val="auto"/>
        </w:rPr>
      </w:pPr>
    </w:p>
    <w:p>
      <w:pPr>
        <w:jc w:val="right"/>
        <w:spacing w:after="0" w:line="249" w:lineRule="auto"/>
        <w:rPr>
          <w:sz w:val="20"/>
          <w:szCs w:val="20"/>
          <w:color w:val="auto"/>
        </w:rPr>
      </w:pPr>
      <w:r>
        <w:rPr>
          <w:rFonts w:ascii="Arial" w:cs="Arial" w:eastAsia="Arial" w:hAnsi="Arial"/>
          <w:sz w:val="22"/>
          <w:szCs w:val="22"/>
          <w:color w:val="auto"/>
        </w:rPr>
        <w:t xml:space="preserve">2.8.  </w:t>
      </w:r>
      <w:r>
        <w:rPr>
          <w:rFonts w:ascii="Arial" w:cs="Arial" w:eastAsia="Arial" w:hAnsi="Arial"/>
          <w:sz w:val="22"/>
          <w:szCs w:val="22"/>
          <w:u w:val="single" w:color="auto"/>
          <w:color w:val="auto"/>
        </w:rPr>
        <w:t>Method of Selecting Types and Interest Periods for New Revolving Advances</w:t>
      </w:r>
      <w:r>
        <w:rPr>
          <w:rFonts w:ascii="Arial" w:cs="Arial" w:eastAsia="Arial" w:hAnsi="Arial"/>
          <w:sz w:val="22"/>
          <w:szCs w:val="22"/>
          <w:color w:val="auto"/>
        </w:rPr>
        <w:t>. The Borrower shall select the Type of Advance and, in the case of each Eurocurrency Advance, the Interest Period applicable thereto from time to time. The Borrower shall give the Administrative Agent irrevocable notice in the form of Exhibit D (a “Borrowing Notice”) not later than 10:00 a.m. (Pacific Standard Time) on the Borrowing Date of each Base Rate Revolving Advance (other than a Swing Line Loan), two (2) Business Days before the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Borrowing Date for each Eurocurrency Revolving Advance, specifying:</w:t>
      </w:r>
    </w:p>
    <w:p>
      <w:pPr>
        <w:spacing w:after="0" w:line="242" w:lineRule="exact"/>
        <w:rPr>
          <w:sz w:val="20"/>
          <w:szCs w:val="20"/>
          <w:color w:val="auto"/>
        </w:rPr>
      </w:pPr>
    </w:p>
    <w:p>
      <w:pPr>
        <w:ind w:left="1020" w:hanging="376"/>
        <w:spacing w:after="0"/>
        <w:tabs>
          <w:tab w:leader="none" w:pos="102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Borrowing Date, which shall be a Business Day, of such Advance,</w:t>
      </w:r>
    </w:p>
    <w:p>
      <w:pPr>
        <w:spacing w:after="0" w:line="273" w:lineRule="exact"/>
        <w:rPr>
          <w:rFonts w:ascii="Arial" w:cs="Arial" w:eastAsia="Arial" w:hAnsi="Arial"/>
          <w:sz w:val="22"/>
          <w:szCs w:val="22"/>
          <w:color w:val="auto"/>
        </w:rPr>
      </w:pPr>
    </w:p>
    <w:p>
      <w:pPr>
        <w:ind w:left="1260" w:hanging="616"/>
        <w:spacing w:after="0"/>
        <w:tabs>
          <w:tab w:leader="none" w:pos="12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aggregate amount of such Advance,</w:t>
      </w:r>
    </w:p>
    <w:p>
      <w:pPr>
        <w:spacing w:after="0" w:line="260" w:lineRule="exact"/>
        <w:rPr>
          <w:rFonts w:ascii="Arial" w:cs="Arial" w:eastAsia="Arial" w:hAnsi="Arial"/>
          <w:sz w:val="22"/>
          <w:szCs w:val="22"/>
          <w:color w:val="auto"/>
        </w:rPr>
      </w:pPr>
    </w:p>
    <w:p>
      <w:pPr>
        <w:ind w:left="1260" w:hanging="616"/>
        <w:spacing w:after="0"/>
        <w:tabs>
          <w:tab w:leader="none" w:pos="12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Type of Advance selected, and</w:t>
      </w:r>
    </w:p>
    <w:p>
      <w:pPr>
        <w:spacing w:after="0" w:line="138" w:lineRule="exact"/>
        <w:rPr>
          <w:rFonts w:ascii="Arial" w:cs="Arial" w:eastAsia="Arial" w:hAnsi="Arial"/>
          <w:sz w:val="22"/>
          <w:szCs w:val="22"/>
          <w:color w:val="auto"/>
        </w:rPr>
      </w:pPr>
    </w:p>
    <w:p>
      <w:pPr>
        <w:ind w:left="1140" w:hanging="496"/>
        <w:spacing w:after="0"/>
        <w:tabs>
          <w:tab w:leader="none" w:pos="11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in the case of each Eurocurrency Advance, the Interest Period applicable thereto. Not later than 1:00 p.m. (Pacific</w:t>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color w:val="auto"/>
        </w:rPr>
        <w:t>Standard Time) on each Borrowing Date, each Lender shall</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make available its Loan or Loans in funds immediately available to the Administrative Agent at its address specified pursuant to Article XIII. The Administrative Agent will make the funds so received from the Lenders available to the Borrower at the Administrative Agent’s aforesaid address.</w:t>
      </w:r>
    </w:p>
    <w:p>
      <w:pPr>
        <w:spacing w:after="0" w:line="226" w:lineRule="exact"/>
        <w:rPr>
          <w:sz w:val="20"/>
          <w:szCs w:val="20"/>
          <w:color w:val="auto"/>
        </w:rPr>
      </w:pPr>
    </w:p>
    <w:p>
      <w:pPr>
        <w:jc w:val="right"/>
        <w:ind w:left="400"/>
        <w:spacing w:after="0" w:line="270" w:lineRule="auto"/>
        <w:rPr>
          <w:sz w:val="20"/>
          <w:szCs w:val="20"/>
          <w:color w:val="auto"/>
        </w:rPr>
      </w:pPr>
      <w:r>
        <w:rPr>
          <w:rFonts w:ascii="Arial" w:cs="Arial" w:eastAsia="Arial" w:hAnsi="Arial"/>
          <w:sz w:val="21"/>
          <w:szCs w:val="21"/>
          <w:color w:val="auto"/>
        </w:rPr>
        <w:t xml:space="preserve">2.9.  </w:t>
      </w:r>
      <w:r>
        <w:rPr>
          <w:rFonts w:ascii="Arial" w:cs="Arial" w:eastAsia="Arial" w:hAnsi="Arial"/>
          <w:sz w:val="21"/>
          <w:szCs w:val="21"/>
          <w:u w:val="single" w:color="auto"/>
          <w:color w:val="auto"/>
        </w:rPr>
        <w:t>Conversion and Continuation of Outstanding Advances; Maximum Number of Interest Periods</w:t>
      </w:r>
      <w:r>
        <w:rPr>
          <w:rFonts w:ascii="Arial" w:cs="Arial" w:eastAsia="Arial" w:hAnsi="Arial"/>
          <w:sz w:val="21"/>
          <w:szCs w:val="21"/>
          <w:color w:val="auto"/>
        </w:rPr>
        <w:t>. Base Rate Advances (other than Swing Line Loans) shall continue as Base Rate Advances unless and until such Base Rate Advances are converted into Eurocurrency Advances pursuant to this Section 2.9 or are repaid in accordance with Section 2.7. Each Eurocurrency Advance denominated in Dollars shall continue as a Eurocurrency Advance</w:t>
      </w:r>
    </w:p>
    <w:p>
      <w:pPr>
        <w:spacing w:after="0" w:line="17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00"/>
          </w:cols>
          <w:pgMar w:left="360" w:top="375" w:right="239" w:bottom="1440" w:gutter="0" w:footer="0" w:header="0"/>
        </w:sectPr>
      </w:pPr>
    </w:p>
    <w:bookmarkStart w:id="143" w:name="page144"/>
    <w:bookmarkEnd w:id="143"/>
    <w:p>
      <w:pPr>
        <w:jc w:val="right"/>
        <w:ind w:left="100"/>
        <w:spacing w:after="0" w:line="284" w:lineRule="auto"/>
        <w:rPr>
          <w:sz w:val="20"/>
          <w:szCs w:val="20"/>
          <w:color w:val="auto"/>
        </w:rPr>
      </w:pPr>
      <w:r>
        <w:rPr>
          <w:rFonts w:ascii="Arial" w:cs="Arial" w:eastAsia="Arial" w:hAnsi="Arial"/>
          <w:sz w:val="19"/>
          <w:szCs w:val="19"/>
          <w:color w:val="auto"/>
        </w:rPr>
        <w:t>until the end of the then applicable Interest Period therefor, at which time such Eurocurrency Advance shall be automatically converted into a Base Rate Advance unless (x) such Eurocurrency Advance is or was repaid in accordance with Section 2.7 or (y) the Borrower shall have given the Administrative Agent a Conversion/Continuation Notice (as defined below) requesting that, at the end of such Interest Period, such Eurocurrency Advance continue as a Eurocurrency Advance for the same or another Interest Period. Subject to the terms of Section 2.6, the Borrower may elect from time to time to convert all or any part of a Base Rate Advance (other than a Swing Line Loan) into a Eurocurrency Advance. The Borrower shall give the Administrative Agent irrevocable notice in the form of Exhibit D-2 (a “Conversion/Continuation Notice”) of each conversion of a Base Rate Advance into a Eurocurrency Advance, conversion of a Eurocurrency Advance to a Base Rate Advance, or continuation of a Eurocurrency Advance not later than 10:00 a.m. (Pacific Standard Time) at least two (2) Business Days prior to the date</w:t>
      </w:r>
    </w:p>
    <w:p>
      <w:pPr>
        <w:spacing w:after="0"/>
        <w:rPr>
          <w:sz w:val="20"/>
          <w:szCs w:val="20"/>
          <w:color w:val="auto"/>
        </w:rPr>
      </w:pPr>
      <w:r>
        <w:rPr>
          <w:rFonts w:ascii="Arial" w:cs="Arial" w:eastAsia="Arial" w:hAnsi="Arial"/>
          <w:sz w:val="22"/>
          <w:szCs w:val="22"/>
          <w:color w:val="auto"/>
        </w:rPr>
        <w:t>of the requested conversion or continuation, specifying:</w:t>
      </w:r>
    </w:p>
    <w:p>
      <w:pPr>
        <w:spacing w:after="0" w:line="242" w:lineRule="exact"/>
        <w:rPr>
          <w:sz w:val="20"/>
          <w:szCs w:val="20"/>
          <w:color w:val="auto"/>
        </w:rPr>
      </w:pPr>
    </w:p>
    <w:p>
      <w:pPr>
        <w:ind w:left="1300" w:hanging="656"/>
        <w:spacing w:after="0"/>
        <w:tabs>
          <w:tab w:leader="none" w:pos="13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requested date, which shall be a Business Day, of such conversion or continuation,</w:t>
      </w:r>
    </w:p>
    <w:p>
      <w:pPr>
        <w:spacing w:after="0" w:line="260" w:lineRule="exact"/>
        <w:rPr>
          <w:rFonts w:ascii="Arial" w:cs="Arial" w:eastAsia="Arial" w:hAnsi="Arial"/>
          <w:sz w:val="22"/>
          <w:szCs w:val="22"/>
          <w:color w:val="auto"/>
        </w:rPr>
      </w:pPr>
    </w:p>
    <w:p>
      <w:pPr>
        <w:ind w:left="1300" w:hanging="656"/>
        <w:spacing w:after="0"/>
        <w:tabs>
          <w:tab w:leader="none" w:pos="13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Type of the Advance which is to be converted or continued, and</w:t>
      </w:r>
    </w:p>
    <w:p>
      <w:pPr>
        <w:spacing w:after="0" w:line="300" w:lineRule="exact"/>
        <w:rPr>
          <w:rFonts w:ascii="Arial" w:cs="Arial" w:eastAsia="Arial" w:hAnsi="Arial"/>
          <w:sz w:val="22"/>
          <w:szCs w:val="22"/>
          <w:color w:val="auto"/>
        </w:rPr>
      </w:pPr>
    </w:p>
    <w:p>
      <w:pPr>
        <w:ind w:left="1280" w:right="740" w:hanging="636"/>
        <w:spacing w:after="0" w:line="263" w:lineRule="auto"/>
        <w:tabs>
          <w:tab w:leader="none" w:pos="1262"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amount of such Advance which is to be converted into or continued as a Eurocurrency Advance and the duration of the Interest Period applicable thereto.</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After giving effect to all Advances, all conversions of Advances from one Type to another and all continuations of Advances of the same Type, there shall be no more than ten (10) Interest Periods in effect hereunder.</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Notwithstanding anything to the contrary in this Agreement, any Lender may exchange, continue or roll over all or a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229" w:lineRule="exact"/>
        <w:rPr>
          <w:sz w:val="20"/>
          <w:szCs w:val="20"/>
          <w:color w:val="auto"/>
        </w:rPr>
      </w:pPr>
    </w:p>
    <w:p>
      <w:pPr>
        <w:jc w:val="both"/>
        <w:ind w:firstLine="1378"/>
        <w:spacing w:after="0" w:line="260" w:lineRule="auto"/>
        <w:rPr>
          <w:sz w:val="20"/>
          <w:szCs w:val="20"/>
          <w:color w:val="auto"/>
        </w:rPr>
      </w:pPr>
      <w:r>
        <w:rPr>
          <w:rFonts w:ascii="Arial" w:cs="Arial" w:eastAsia="Arial" w:hAnsi="Arial"/>
          <w:sz w:val="21"/>
          <w:szCs w:val="21"/>
          <w:color w:val="auto"/>
        </w:rPr>
        <w:t xml:space="preserve">2.10. </w:t>
      </w:r>
      <w:r>
        <w:rPr>
          <w:rFonts w:ascii="Arial" w:cs="Arial" w:eastAsia="Arial" w:hAnsi="Arial"/>
          <w:sz w:val="21"/>
          <w:szCs w:val="21"/>
          <w:u w:val="single" w:color="auto"/>
          <w:color w:val="auto"/>
        </w:rPr>
        <w:t>Interest Rates</w:t>
      </w:r>
      <w:r>
        <w:rPr>
          <w:rFonts w:ascii="Arial" w:cs="Arial" w:eastAsia="Arial" w:hAnsi="Arial"/>
          <w:sz w:val="21"/>
          <w:szCs w:val="21"/>
          <w:color w:val="auto"/>
        </w:rPr>
        <w:t xml:space="preserve">. Each Base Rate Advance (other than a Swing Line Loan) shall bear interest on the outstanding principal amount thereof, for each day from and including the date such Advance is made or is automatically converted from a Eurocurrency Advance into a Base Rate Advance pursuant to Section 2.9, to but excluding the date it becomes due or is converted into a Eurocurrency Advance pursuant to Section 2.9 hereof, at a rate per annum equal to the Base Rate for such day; </w:t>
      </w:r>
      <w:r>
        <w:rPr>
          <w:rFonts w:ascii="Arial" w:cs="Arial" w:eastAsia="Arial" w:hAnsi="Arial"/>
          <w:sz w:val="21"/>
          <w:szCs w:val="21"/>
          <w:u w:val="single" w:color="auto"/>
          <w:color w:val="auto"/>
        </w:rPr>
        <w:t>provided</w:t>
      </w:r>
      <w:r>
        <w:rPr>
          <w:rFonts w:ascii="Arial" w:cs="Arial" w:eastAsia="Arial" w:hAnsi="Arial"/>
          <w:sz w:val="21"/>
          <w:szCs w:val="21"/>
          <w:color w:val="auto"/>
        </w:rPr>
        <w:t>, that if a Base Rate Advance is due as a result of an Event of Default or is otherwise outstanding during the continuance of an Event of Default, the Base Rate shall continue to apply thereto plus such other amounts as required under Section 2.11. Each Swing Line Loan shall bear interest on the outstanding principal amount thereof, for each day from and including the day such Swing Line Loan is made to but excluding the date it is paid, at a rate per annum equal to the Swing Line Rate for such day. Changes in the rate of interest on that portion of any Advance maintained as a Base Rate Advance will take effect simultaneously with each change in the Alternate Base Rate. Each Eurocurrency Advance shall bear interest on the outstanding principal amount thereof from and including the first day of the Interest Period applicable thereto to (but not including)</w:t>
      </w:r>
    </w:p>
    <w:p>
      <w:pPr>
        <w:spacing w:after="0" w:line="19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00"/>
          </w:cols>
          <w:pgMar w:left="360" w:top="375" w:right="239" w:bottom="1440" w:gutter="0" w:footer="0" w:header="0"/>
        </w:sectPr>
      </w:pPr>
    </w:p>
    <w:bookmarkStart w:id="144" w:name="page145"/>
    <w:bookmarkEnd w:id="144"/>
    <w:p>
      <w:pPr>
        <w:jc w:val="both"/>
        <w:spacing w:after="0" w:line="253" w:lineRule="auto"/>
        <w:rPr>
          <w:sz w:val="20"/>
          <w:szCs w:val="20"/>
          <w:color w:val="auto"/>
        </w:rPr>
      </w:pPr>
      <w:r>
        <w:rPr>
          <w:rFonts w:ascii="Arial" w:cs="Arial" w:eastAsia="Arial" w:hAnsi="Arial"/>
          <w:sz w:val="22"/>
          <w:szCs w:val="22"/>
          <w:color w:val="auto"/>
        </w:rPr>
        <w:t>the last day of such Interest Period at the interest rate determined by the Administrative Agent as applicable to such Eurocurrency Advance based upon the Borrower’s selections under Sections 2.8 and 2.9 and the Pricing Schedule. No Interest Period may end after the Facility Termination Date.</w:t>
      </w:r>
    </w:p>
    <w:p>
      <w:pPr>
        <w:spacing w:after="0" w:line="226" w:lineRule="exact"/>
        <w:rPr>
          <w:sz w:val="20"/>
          <w:szCs w:val="20"/>
          <w:color w:val="auto"/>
        </w:rPr>
      </w:pPr>
    </w:p>
    <w:p>
      <w:pPr>
        <w:jc w:val="both"/>
        <w:ind w:firstLine="1378"/>
        <w:spacing w:after="0" w:line="259" w:lineRule="auto"/>
        <w:rPr>
          <w:sz w:val="20"/>
          <w:szCs w:val="20"/>
          <w:color w:val="auto"/>
        </w:rPr>
      </w:pPr>
      <w:r>
        <w:rPr>
          <w:rFonts w:ascii="Arial" w:cs="Arial" w:eastAsia="Arial" w:hAnsi="Arial"/>
          <w:sz w:val="21"/>
          <w:szCs w:val="21"/>
          <w:color w:val="auto"/>
        </w:rPr>
        <w:t xml:space="preserve">2.11. </w:t>
      </w:r>
      <w:r>
        <w:rPr>
          <w:rFonts w:ascii="Arial" w:cs="Arial" w:eastAsia="Arial" w:hAnsi="Arial"/>
          <w:sz w:val="21"/>
          <w:szCs w:val="21"/>
          <w:u w:val="single" w:color="auto"/>
          <w:color w:val="auto"/>
        </w:rPr>
        <w:t>Rates Applicable After Event of Default</w:t>
      </w:r>
      <w:r>
        <w:rPr>
          <w:rFonts w:ascii="Arial" w:cs="Arial" w:eastAsia="Arial" w:hAnsi="Arial"/>
          <w:sz w:val="21"/>
          <w:szCs w:val="21"/>
          <w:color w:val="auto"/>
        </w:rPr>
        <w:t xml:space="preserve">. Notwithstanding anything to the contrary contained in Sections 2.8, 2.9, or 2.10, during the continuance of a Default or Event of Default the Required Lenders may, at their option, by notice from the Administrative Agent to the Borrower (which notice may be revoked at the option of the Required Lenders notwithstanding any provision of Section 8.3 requiring unanimous consent of the Lenders to changes in interest rates), declare that no Advance may be made as, converted into or continued as a Eurocurrency Advance. During the continuance of an Event of Default the Required Lenders may, at their option, by notice from the Administrative Agent to the Borrower (which notice may be revoked at the option of the Required Lenders notwithstanding any provision of Section 8.3 requiring unanimous consent of the Lenders to changes in interest rates), declare that (i) each Eurocurrency Advance shall bear interest for the remainder of the applicable Interest Period at the rate otherwise applicable to such Interest Period </w:t>
      </w:r>
      <w:r>
        <w:rPr>
          <w:rFonts w:ascii="Arial" w:cs="Arial" w:eastAsia="Arial" w:hAnsi="Arial"/>
          <w:sz w:val="21"/>
          <w:szCs w:val="21"/>
          <w:i w:val="1"/>
          <w:iCs w:val="1"/>
          <w:color w:val="auto"/>
        </w:rPr>
        <w:t>plus</w:t>
      </w:r>
      <w:r>
        <w:rPr>
          <w:rFonts w:ascii="Arial" w:cs="Arial" w:eastAsia="Arial" w:hAnsi="Arial"/>
          <w:sz w:val="21"/>
          <w:szCs w:val="21"/>
          <w:color w:val="auto"/>
        </w:rPr>
        <w:t xml:space="preserve"> 2.00% per annum, (ii) each Base Rate Advance shall bear interest at a rate per annum equal to the Base Rate in effect from time to time </w:t>
      </w:r>
      <w:r>
        <w:rPr>
          <w:rFonts w:ascii="Arial" w:cs="Arial" w:eastAsia="Arial" w:hAnsi="Arial"/>
          <w:sz w:val="21"/>
          <w:szCs w:val="21"/>
          <w:i w:val="1"/>
          <w:iCs w:val="1"/>
          <w:color w:val="auto"/>
        </w:rPr>
        <w:t>plus</w:t>
      </w:r>
      <w:r>
        <w:rPr>
          <w:rFonts w:ascii="Arial" w:cs="Arial" w:eastAsia="Arial" w:hAnsi="Arial"/>
          <w:sz w:val="21"/>
          <w:szCs w:val="21"/>
          <w:color w:val="auto"/>
        </w:rPr>
        <w:t xml:space="preserve"> 2.00% per annum, and (ii) the LC Fee shall be increased by 2.00% per annum,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during the continuance of an Event of Default under Sections 7.2, 7.6 or 7.7, the</w:t>
      </w:r>
    </w:p>
    <w:p>
      <w:pPr>
        <w:spacing w:after="0" w:line="26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interest rates set forth in clauses (i) and (ii) above and the increase in the LC Fee set forth in clause (iii) above shall be applicable automatically to all Credit Extensions without any election or action on the part of the Administrative Agent or any Lender. After an Event of Default has been waived, the interest rate applicable to advances and the LC Fee shall revert to the rates applicable prior to the occurrence of an Event of Default.</w:t>
      </w:r>
    </w:p>
    <w:p>
      <w:pPr>
        <w:spacing w:after="0" w:line="229"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 xml:space="preserve">2.12. </w:t>
      </w:r>
      <w:r>
        <w:rPr>
          <w:rFonts w:ascii="Arial" w:cs="Arial" w:eastAsia="Arial" w:hAnsi="Arial"/>
          <w:sz w:val="22"/>
          <w:szCs w:val="22"/>
          <w:u w:val="single" w:color="auto"/>
          <w:color w:val="auto"/>
        </w:rPr>
        <w:t>Method of Payment</w:t>
      </w:r>
      <w:r>
        <w:rPr>
          <w:rFonts w:ascii="Arial" w:cs="Arial" w:eastAsia="Arial" w:hAnsi="Arial"/>
          <w:sz w:val="22"/>
          <w:szCs w:val="22"/>
          <w:color w:val="auto"/>
        </w:rPr>
        <w:t>.</w:t>
      </w:r>
    </w:p>
    <w:p>
      <w:pPr>
        <w:spacing w:after="0" w:line="206" w:lineRule="exact"/>
        <w:rPr>
          <w:sz w:val="20"/>
          <w:szCs w:val="20"/>
          <w:color w:val="auto"/>
        </w:rPr>
      </w:pPr>
    </w:p>
    <w:p>
      <w:pPr>
        <w:jc w:val="both"/>
        <w:ind w:firstLine="1049"/>
        <w:spacing w:after="0" w:line="288" w:lineRule="auto"/>
        <w:tabs>
          <w:tab w:leader="none" w:pos="1487" w:val="left"/>
        </w:tabs>
        <w:numPr>
          <w:ilvl w:val="0"/>
          <w:numId w:val="57"/>
        </w:numPr>
        <w:rPr>
          <w:rFonts w:ascii="Arial" w:cs="Arial" w:eastAsia="Arial" w:hAnsi="Arial"/>
          <w:sz w:val="19"/>
          <w:szCs w:val="19"/>
          <w:color w:val="auto"/>
        </w:rPr>
      </w:pPr>
      <w:r>
        <w:rPr>
          <w:rFonts w:ascii="Arial" w:cs="Arial" w:eastAsia="Arial" w:hAnsi="Arial"/>
          <w:sz w:val="19"/>
          <w:szCs w:val="19"/>
          <w:color w:val="auto"/>
        </w:rPr>
        <w:t>Each Advance shall be repaid and each payment of interest thereon shall be paid in Dollars. All payments of the Obligations under this Agreement and the other Loan Documents shall be made, without setoff, deduction, or counterclaim, in immediately available funds to the Administrative Agent at the Administrative Agent’s address specified pursuant to Article XIII, or at any other Lending Installation of the Administrative Agent specified in writing by the Administrative Agent to the Borrower, by noon (Pacific Standard Time) on the date when due and shall (except (i) with respect to repayments of Swing Line Loans, (ii) in the case of Reimbursement Obligations for which the LC Issuer has not been fully indemnified by the Lenders, or (iii) as otherwise specifically required hereunder) be applied ratably by the Administrative Agent among the Lenders. Each payment delivered to the Administrative Agent for the account of any Lender shall be delivered promptly by the Administrative Agent to such Lender in the same type of funds that the Administrative Agent received at its address specified pursuant to Article XIII or at any Lending Installation specified in a notice received by the Administrative Agent from such Lender. The Administrative Agent is hereby authorized to charge the account of the Borrower maintained with U.S. Bank for each payment of principal, interest, Reimbursement Obligations and fees as it becomes due hereunder. Each reference to the Administrative Agent in this Section 2.12 shall also be deemed to refer, and shall apply equally, to the LC Issuer, in the case of payments required to be made by the Borrower to the LC Issuer pursuant to Section 2.19(f).</w:t>
      </w:r>
    </w:p>
    <w:p>
      <w:pPr>
        <w:spacing w:after="0" w:line="200" w:lineRule="exact"/>
        <w:rPr>
          <w:sz w:val="20"/>
          <w:szCs w:val="20"/>
          <w:color w:val="auto"/>
        </w:rPr>
      </w:pPr>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00"/>
          </w:cols>
          <w:pgMar w:left="360" w:top="375" w:right="239" w:bottom="1440" w:gutter="0" w:footer="0" w:header="0"/>
        </w:sectPr>
      </w:pPr>
    </w:p>
    <w:bookmarkStart w:id="145" w:name="page146"/>
    <w:bookmarkEnd w:id="145"/>
    <w:p>
      <w:pPr>
        <w:ind w:left="4" w:right="20" w:firstLine="1049"/>
        <w:spacing w:after="0" w:line="276" w:lineRule="auto"/>
        <w:tabs>
          <w:tab w:leader="none" w:pos="1611"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Borrower hereby unconditionally promises to pay to the Administrative Agent for the account of each Lender the then unpaid principal amount of each Revolving Loan on the Facility Termination Date.</w:t>
      </w:r>
    </w:p>
    <w:p>
      <w:pPr>
        <w:spacing w:after="0" w:line="201" w:lineRule="exact"/>
        <w:rPr>
          <w:sz w:val="20"/>
          <w:szCs w:val="20"/>
          <w:color w:val="auto"/>
        </w:rPr>
      </w:pPr>
    </w:p>
    <w:p>
      <w:pPr>
        <w:ind w:left="1384"/>
        <w:spacing w:after="0"/>
        <w:rPr>
          <w:sz w:val="20"/>
          <w:szCs w:val="20"/>
          <w:color w:val="auto"/>
        </w:rPr>
      </w:pPr>
      <w:r>
        <w:rPr>
          <w:rFonts w:ascii="Arial" w:cs="Arial" w:eastAsia="Arial" w:hAnsi="Arial"/>
          <w:sz w:val="22"/>
          <w:szCs w:val="22"/>
          <w:color w:val="auto"/>
        </w:rPr>
        <w:t xml:space="preserve">2.13. </w:t>
      </w:r>
      <w:r>
        <w:rPr>
          <w:rFonts w:ascii="Arial" w:cs="Arial" w:eastAsia="Arial" w:hAnsi="Arial"/>
          <w:sz w:val="22"/>
          <w:szCs w:val="22"/>
          <w:u w:val="single" w:color="auto"/>
          <w:color w:val="auto"/>
        </w:rPr>
        <w:t>Noteless Agreement; Evidence of Indebtedness</w:t>
      </w:r>
      <w:r>
        <w:rPr>
          <w:rFonts w:ascii="Arial" w:cs="Arial" w:eastAsia="Arial" w:hAnsi="Arial"/>
          <w:sz w:val="22"/>
          <w:szCs w:val="22"/>
          <w:color w:val="auto"/>
        </w:rPr>
        <w:t>.</w:t>
      </w:r>
    </w:p>
    <w:p>
      <w:pPr>
        <w:spacing w:after="0" w:line="206" w:lineRule="exact"/>
        <w:rPr>
          <w:sz w:val="20"/>
          <w:szCs w:val="20"/>
          <w:color w:val="auto"/>
        </w:rPr>
      </w:pPr>
    </w:p>
    <w:p>
      <w:pPr>
        <w:jc w:val="both"/>
        <w:ind w:left="4" w:firstLine="1049"/>
        <w:spacing w:after="0" w:line="271" w:lineRule="auto"/>
        <w:tabs>
          <w:tab w:leader="none" w:pos="2175" w:val="left"/>
        </w:tabs>
        <w:numPr>
          <w:ilvl w:val="1"/>
          <w:numId w:val="59"/>
        </w:numPr>
        <w:rPr>
          <w:rFonts w:ascii="Arial" w:cs="Arial" w:eastAsia="Arial" w:hAnsi="Arial"/>
          <w:sz w:val="21"/>
          <w:szCs w:val="21"/>
          <w:color w:val="auto"/>
        </w:rPr>
      </w:pPr>
      <w:r>
        <w:rPr>
          <w:rFonts w:ascii="Arial" w:cs="Arial" w:eastAsia="Arial" w:hAnsi="Arial"/>
          <w:sz w:val="21"/>
          <w:szCs w:val="21"/>
          <w:color w:val="auto"/>
        </w:rPr>
        <w:t>Each Lender shall maintain in accordance with its usual practice an account or accounts evidencing the Indebtedness of the Borrower to such Lender resulting from each Loan made by such Lender from time to time, including the amounts of principal and interest payable and paid to such Lender from time to time hereunder.</w:t>
      </w:r>
    </w:p>
    <w:p>
      <w:pPr>
        <w:spacing w:after="0" w:line="208" w:lineRule="exact"/>
        <w:rPr>
          <w:rFonts w:ascii="Arial" w:cs="Arial" w:eastAsia="Arial" w:hAnsi="Arial"/>
          <w:sz w:val="21"/>
          <w:szCs w:val="21"/>
          <w:color w:val="auto"/>
        </w:rPr>
      </w:pPr>
    </w:p>
    <w:p>
      <w:pPr>
        <w:jc w:val="both"/>
        <w:ind w:left="4" w:firstLine="1049"/>
        <w:spacing w:after="0" w:line="263" w:lineRule="auto"/>
        <w:tabs>
          <w:tab w:leader="none" w:pos="2187" w:val="left"/>
        </w:tabs>
        <w:numPr>
          <w:ilvl w:val="1"/>
          <w:numId w:val="59"/>
        </w:numPr>
        <w:rPr>
          <w:rFonts w:ascii="Arial" w:cs="Arial" w:eastAsia="Arial" w:hAnsi="Arial"/>
          <w:sz w:val="21"/>
          <w:szCs w:val="21"/>
          <w:color w:val="auto"/>
        </w:rPr>
      </w:pPr>
      <w:r>
        <w:rPr>
          <w:rFonts w:ascii="Arial" w:cs="Arial" w:eastAsia="Arial" w:hAnsi="Arial"/>
          <w:sz w:val="21"/>
          <w:szCs w:val="21"/>
          <w:color w:val="auto"/>
        </w:rPr>
        <w:t>The Administrative Agent shall also maintain accounts in which it will record (i) the amount of each Loan made hereunder and Type thereof and the Interest Period with respect thereto, (ii) the amount of any principal or interest due and payable or to become due and payable from the Borrower to each Lender hereunder, (iii) the original stated amount of each Facility LC and the amount of LC Obligations outstanding at any time, and (iv) the amount of any sum received by the Administrative Agent hereunder from the Borrower and each Lender’s share thereof.</w:t>
      </w:r>
    </w:p>
    <w:p>
      <w:pPr>
        <w:spacing w:after="0" w:line="256" w:lineRule="exact"/>
        <w:rPr>
          <w:rFonts w:ascii="Arial" w:cs="Arial" w:eastAsia="Arial" w:hAnsi="Arial"/>
          <w:sz w:val="21"/>
          <w:szCs w:val="21"/>
          <w:color w:val="auto"/>
        </w:rPr>
      </w:pPr>
    </w:p>
    <w:p>
      <w:pPr>
        <w:ind w:left="1944" w:hanging="891"/>
        <w:spacing w:after="0"/>
        <w:tabs>
          <w:tab w:leader="none" w:pos="1944"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entries maintained in the accounts maintained pursuant to paragraphs</w:t>
      </w:r>
    </w:p>
    <w:p>
      <w:pPr>
        <w:spacing w:after="0" w:line="21" w:lineRule="exact"/>
        <w:rPr>
          <w:rFonts w:ascii="Arial" w:cs="Arial" w:eastAsia="Arial" w:hAnsi="Arial"/>
          <w:sz w:val="22"/>
          <w:szCs w:val="22"/>
          <w:color w:val="auto"/>
        </w:rPr>
      </w:pPr>
    </w:p>
    <w:p>
      <w:pPr>
        <w:jc w:val="both"/>
        <w:ind w:left="4" w:hanging="4"/>
        <w:spacing w:after="0" w:line="302" w:lineRule="auto"/>
        <w:tabs>
          <w:tab w:leader="none" w:pos="541"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and (b) above shall be </w:t>
      </w:r>
      <w:r>
        <w:rPr>
          <w:rFonts w:ascii="Arial" w:cs="Arial" w:eastAsia="Arial" w:hAnsi="Arial"/>
          <w:sz w:val="19"/>
          <w:szCs w:val="19"/>
          <w:i w:val="1"/>
          <w:iCs w:val="1"/>
          <w:color w:val="auto"/>
        </w:rPr>
        <w:t>prima facie</w:t>
      </w:r>
      <w:r>
        <w:rPr>
          <w:rFonts w:ascii="Arial" w:cs="Arial" w:eastAsia="Arial" w:hAnsi="Arial"/>
          <w:sz w:val="19"/>
          <w:szCs w:val="19"/>
          <w:color w:val="auto"/>
        </w:rPr>
        <w:t xml:space="preserve"> evidence of the existence and amounts of the Obligations therein recorded;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failure of the Administrative Agent or any Lender to maintain such accounts or any error therein shall not in any</w:t>
      </w:r>
      <w:r>
        <w:rPr>
          <w:rFonts w:ascii="Arial" w:cs="Arial" w:eastAsia="Arial" w:hAnsi="Arial"/>
          <w:sz w:val="19"/>
          <w:szCs w:val="19"/>
          <w:i w:val="1"/>
          <w:iCs w:val="1"/>
          <w:color w:val="auto"/>
        </w:rPr>
        <w:t xml:space="preserve"> </w:t>
      </w:r>
      <w:r>
        <w:rPr>
          <w:rFonts w:ascii="Arial" w:cs="Arial" w:eastAsia="Arial" w:hAnsi="Arial"/>
          <w:sz w:val="19"/>
          <w:szCs w:val="19"/>
          <w:color w:val="auto"/>
        </w:rPr>
        <w:t>manner affect the obligation of the Borrower to repay the Obligations in accordance with their terms.</w:t>
      </w:r>
    </w:p>
    <w:p>
      <w:pPr>
        <w:spacing w:after="0" w:line="183" w:lineRule="exact"/>
        <w:rPr>
          <w:rFonts w:ascii="Arial" w:cs="Arial" w:eastAsia="Arial" w:hAnsi="Arial"/>
          <w:sz w:val="19"/>
          <w:szCs w:val="19"/>
          <w:color w:val="auto"/>
        </w:rPr>
      </w:pPr>
    </w:p>
    <w:p>
      <w:pPr>
        <w:jc w:val="both"/>
        <w:ind w:left="4" w:firstLine="1049"/>
        <w:spacing w:after="0" w:line="259" w:lineRule="auto"/>
        <w:tabs>
          <w:tab w:leader="none" w:pos="1363" w:val="left"/>
        </w:tabs>
        <w:numPr>
          <w:ilvl w:val="1"/>
          <w:numId w:val="60"/>
        </w:numPr>
        <w:rPr>
          <w:rFonts w:ascii="Arial" w:cs="Arial" w:eastAsia="Arial" w:hAnsi="Arial"/>
          <w:sz w:val="21"/>
          <w:szCs w:val="21"/>
          <w:color w:val="auto"/>
        </w:rPr>
      </w:pPr>
      <w:r>
        <w:rPr>
          <w:rFonts w:ascii="Arial" w:cs="Arial" w:eastAsia="Arial" w:hAnsi="Arial"/>
          <w:sz w:val="21"/>
          <w:szCs w:val="21"/>
          <w:color w:val="auto"/>
        </w:rPr>
        <w:t>Upon written request of a Lender, such Lender’s Loans (including the Swing Line Lender) will be evidenced by a promissory note representing its Revolving Loans, and Swing Line Loans, respectively, substantially in the form of Exhibit E (with appropriate changes for notes evidencing Swing Line Loans) (each a “Note”). In such event, the Borrower shall prepare, execute and deliver to each Lender such Note or Notes payable to the order of such Lender in a form supplied by the Administrative Agent. The Loans evidenced by such Notes and interest thereon shall at all times (prior to any assignment pursuant to Section 12.3) be represented by one or more Notes payable to the order of the payee named therein, except to the extent that any such Lender subsequently returns any such Note for cancellation and requests that such Loans once again be evidenced as described in clauses (b) (i) and (ii) above.</w:t>
      </w:r>
    </w:p>
    <w:p>
      <w:pPr>
        <w:spacing w:after="0" w:line="225" w:lineRule="exact"/>
        <w:rPr>
          <w:sz w:val="20"/>
          <w:szCs w:val="20"/>
          <w:color w:val="auto"/>
        </w:rPr>
      </w:pPr>
    </w:p>
    <w:p>
      <w:pPr>
        <w:jc w:val="both"/>
        <w:ind w:left="4" w:firstLine="1378"/>
        <w:spacing w:after="0" w:line="292" w:lineRule="auto"/>
        <w:rPr>
          <w:sz w:val="20"/>
          <w:szCs w:val="20"/>
          <w:color w:val="auto"/>
        </w:rPr>
      </w:pPr>
      <w:r>
        <w:rPr>
          <w:rFonts w:ascii="Arial" w:cs="Arial" w:eastAsia="Arial" w:hAnsi="Arial"/>
          <w:sz w:val="19"/>
          <w:szCs w:val="19"/>
          <w:color w:val="auto"/>
        </w:rPr>
        <w:t xml:space="preserve">2.14. </w:t>
      </w:r>
      <w:r>
        <w:rPr>
          <w:rFonts w:ascii="Arial" w:cs="Arial" w:eastAsia="Arial" w:hAnsi="Arial"/>
          <w:sz w:val="19"/>
          <w:szCs w:val="19"/>
          <w:u w:val="single" w:color="auto"/>
          <w:color w:val="auto"/>
        </w:rPr>
        <w:t>Telephonic Notices</w:t>
      </w:r>
      <w:r>
        <w:rPr>
          <w:rFonts w:ascii="Arial" w:cs="Arial" w:eastAsia="Arial" w:hAnsi="Arial"/>
          <w:sz w:val="19"/>
          <w:szCs w:val="19"/>
          <w:color w:val="auto"/>
        </w:rPr>
        <w:t>. The Borrower hereby authorizes the Lenders and the Administrative Agent to extend, convert or continue Advances, effect selections of Agreed Currencies and Types of Advances and to transfer funds based on telephonic notices made by any Person or Persons the Administrative Agent or any Lender in good faith believes to be acting on behalf of the Borrower, it being understood that the foregoing authorization is specifically intended to allow Borrowing Notices and Conversion/Continuation Notices to be given telephonically. The Borrower agrees to deliver promptly to the Administrative Agent a written confirmation (which may include e-mail) of each telephonic notice authenticated by an Authorized Officer. If the written confirmation differs in any material respect from the action taken by the Administrative Agent and the Lenders, the records of the Administrative Agent and the Lenders shall govern absent manifest</w:t>
      </w:r>
    </w:p>
    <w:p>
      <w:pPr>
        <w:spacing w:after="0" w:line="163"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04"/>
          </w:cols>
          <w:pgMar w:left="356" w:top="631" w:right="239" w:bottom="1440" w:gutter="0" w:footer="0" w:header="0"/>
        </w:sectPr>
      </w:pPr>
    </w:p>
    <w:bookmarkStart w:id="146" w:name="page147"/>
    <w:bookmarkEnd w:id="146"/>
    <w:p>
      <w:pPr>
        <w:jc w:val="both"/>
        <w:ind w:left="40" w:right="20"/>
        <w:spacing w:after="0" w:line="263" w:lineRule="auto"/>
        <w:rPr>
          <w:sz w:val="20"/>
          <w:szCs w:val="20"/>
          <w:color w:val="auto"/>
        </w:rPr>
      </w:pPr>
      <w:r>
        <w:rPr>
          <w:rFonts w:ascii="Arial" w:cs="Arial" w:eastAsia="Arial" w:hAnsi="Arial"/>
          <w:sz w:val="22"/>
          <w:szCs w:val="22"/>
          <w:color w:val="auto"/>
        </w:rPr>
        <w:t>error. The parties agree to prepare appropriate documentation to correct any such error within ten (10) days after discovery by any party to this Agreement.</w:t>
      </w:r>
    </w:p>
    <w:p>
      <w:pPr>
        <w:spacing w:after="0" w:line="215" w:lineRule="exact"/>
        <w:rPr>
          <w:sz w:val="20"/>
          <w:szCs w:val="20"/>
          <w:color w:val="auto"/>
        </w:rPr>
      </w:pPr>
    </w:p>
    <w:p>
      <w:pPr>
        <w:jc w:val="both"/>
        <w:ind w:left="40" w:firstLine="1378"/>
        <w:spacing w:after="0" w:line="289" w:lineRule="auto"/>
        <w:rPr>
          <w:sz w:val="20"/>
          <w:szCs w:val="20"/>
          <w:color w:val="auto"/>
        </w:rPr>
      </w:pPr>
      <w:r>
        <w:rPr>
          <w:rFonts w:ascii="Arial" w:cs="Arial" w:eastAsia="Arial" w:hAnsi="Arial"/>
          <w:sz w:val="19"/>
          <w:szCs w:val="19"/>
          <w:color w:val="auto"/>
        </w:rPr>
        <w:t xml:space="preserve">2.15. </w:t>
      </w:r>
      <w:r>
        <w:rPr>
          <w:rFonts w:ascii="Arial" w:cs="Arial" w:eastAsia="Arial" w:hAnsi="Arial"/>
          <w:sz w:val="19"/>
          <w:szCs w:val="19"/>
          <w:u w:val="single" w:color="auto"/>
          <w:color w:val="auto"/>
        </w:rPr>
        <w:t>Interest Payment Dates; Interest and Fee Basis</w:t>
      </w:r>
      <w:r>
        <w:rPr>
          <w:rFonts w:ascii="Arial" w:cs="Arial" w:eastAsia="Arial" w:hAnsi="Arial"/>
          <w:sz w:val="19"/>
          <w:szCs w:val="19"/>
          <w:color w:val="auto"/>
        </w:rPr>
        <w:t>. Interest accrued on each Base Rate Advance and each Swing Line Loan shall be payable on each Payment Date, commencing with the first such Payment Date to occur after the date hereof and at maturity. Interest accrued on each Eurocurrency Advance shall be payable on the last day of its applicable Interest Period, on any date on which the Eurocurrency Advance is prepaid, whether by acceleration or otherwise, and at maturity. Interest accrued on each Eurocurrency Advance having an Interest Period longer than three (3) months shall also be payable on the last day of each three-month interval during such Interest Period. Interest accrued pursuant to Section 2.11 shall be payable on demand. Interest on all Advances and fees shall be calculated for actual days elapsed on the basis of a 360-day year, except that interest computed by reference to the Alternate Base Rate shall be calculated for actual days elapsed on the basis of a 365/366-day year. Interest shall be payable for the day an Advance is made but not for the day of any payment on the amount paid if payment is received prior to noon (Pacific Standard Time) at the place of payment. If any payment of principal of or interest on an Advance shall become due on a day (other than a Payment Date) which is not a Business Day, such payment shall be made on the next succeeding Business Day.</w:t>
      </w:r>
    </w:p>
    <w:p>
      <w:pPr>
        <w:spacing w:after="0" w:line="200" w:lineRule="exact"/>
        <w:rPr>
          <w:sz w:val="20"/>
          <w:szCs w:val="20"/>
          <w:color w:val="auto"/>
        </w:rPr>
      </w:pPr>
    </w:p>
    <w:p>
      <w:pPr>
        <w:spacing w:after="0" w:line="296" w:lineRule="exact"/>
        <w:rPr>
          <w:sz w:val="20"/>
          <w:szCs w:val="20"/>
          <w:color w:val="auto"/>
        </w:rPr>
      </w:pPr>
    </w:p>
    <w:p>
      <w:pPr>
        <w:ind w:left="760" w:right="180" w:firstLine="648"/>
        <w:spacing w:after="0" w:line="258" w:lineRule="auto"/>
        <w:rPr>
          <w:sz w:val="20"/>
          <w:szCs w:val="20"/>
          <w:color w:val="auto"/>
        </w:rPr>
      </w:pPr>
      <w:r>
        <w:rPr>
          <w:rFonts w:ascii="Arial" w:cs="Arial" w:eastAsia="Arial" w:hAnsi="Arial"/>
          <w:sz w:val="22"/>
          <w:szCs w:val="22"/>
          <w:color w:val="auto"/>
        </w:rPr>
        <w:t xml:space="preserve">2.16. </w:t>
      </w:r>
      <w:r>
        <w:rPr>
          <w:rFonts w:ascii="Arial" w:cs="Arial" w:eastAsia="Arial" w:hAnsi="Arial"/>
          <w:sz w:val="22"/>
          <w:szCs w:val="22"/>
          <w:u w:val="single" w:color="auto"/>
          <w:color w:val="auto"/>
        </w:rPr>
        <w:t>Notification of Advances, Interest Rates, Prepayments and Revolving Commitment Reductions</w:t>
      </w:r>
      <w:r>
        <w:rPr>
          <w:rFonts w:ascii="Arial" w:cs="Arial" w:eastAsia="Arial" w:hAnsi="Arial"/>
          <w:sz w:val="22"/>
          <w:szCs w:val="22"/>
          <w:color w:val="auto"/>
        </w:rPr>
        <w:t>. Promptly after receipt thereof, the Administrative Agent will</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notify each Lender of the contents of each Borrowing Notice, Swing Line Borrowing Notice, Conversion/Continuation Notice, and repayment notice received by it hereunder. Promptly after notice from the LC Issuer, the Administrative Agent will notify each Lender of the contents of each request for issuance of a Facility LC hereunder. The Administrative Agent will notify each Lender of the interest rate applicable to each Eurocurrency Advance promptly upon determination of such interest rate and will give each Lender prompt notice of each change in the Alternate Base Rate.</w:t>
      </w:r>
    </w:p>
    <w:p>
      <w:pPr>
        <w:spacing w:after="0" w:line="224" w:lineRule="exact"/>
        <w:rPr>
          <w:sz w:val="20"/>
          <w:szCs w:val="20"/>
          <w:color w:val="auto"/>
        </w:rPr>
      </w:pPr>
    </w:p>
    <w:p>
      <w:pPr>
        <w:jc w:val="both"/>
        <w:ind w:firstLine="1378"/>
        <w:spacing w:after="0" w:line="292" w:lineRule="auto"/>
        <w:rPr>
          <w:sz w:val="20"/>
          <w:szCs w:val="20"/>
          <w:color w:val="auto"/>
        </w:rPr>
      </w:pPr>
      <w:r>
        <w:rPr>
          <w:rFonts w:ascii="Arial" w:cs="Arial" w:eastAsia="Arial" w:hAnsi="Arial"/>
          <w:sz w:val="19"/>
          <w:szCs w:val="19"/>
          <w:color w:val="auto"/>
        </w:rPr>
        <w:t xml:space="preserve">2.17. </w:t>
      </w:r>
      <w:r>
        <w:rPr>
          <w:rFonts w:ascii="Arial" w:cs="Arial" w:eastAsia="Arial" w:hAnsi="Arial"/>
          <w:sz w:val="19"/>
          <w:szCs w:val="19"/>
          <w:u w:val="single" w:color="auto"/>
          <w:color w:val="auto"/>
        </w:rPr>
        <w:t>Lending Installations</w:t>
      </w:r>
      <w:r>
        <w:rPr>
          <w:rFonts w:ascii="Arial" w:cs="Arial" w:eastAsia="Arial" w:hAnsi="Arial"/>
          <w:sz w:val="19"/>
          <w:szCs w:val="19"/>
          <w:color w:val="auto"/>
        </w:rPr>
        <w:t>. Each Lender may book its Advances and its participation in any LC Obligations and the LC Issuer may book the Facility LCs at any Lending Installation selected by such Lender or the LC Issuer, as the case may be, and may change its Lending Installation from time to time. All terms of this Agreement shall apply to any such Lending Installation and the Loans, Facility LCs, participations in LC Obligations and any Notes issued hereunder shall be deemed held by each Lender or the LC Issuer, as the case may be, for the benefit of any such Lending Installation. Each Lender and the LC Issuer may, by written notice to the Administrative Agent and the Borrower in accordance with Article XIII, designate replacement or additional Lending Installations through which Loans will be made by it or Facility LCs will be issued by it and for whose account Loan payments or payments with respect to Facility LCs are to be made.</w:t>
      </w:r>
    </w:p>
    <w:p>
      <w:pPr>
        <w:spacing w:after="0" w:line="196" w:lineRule="exact"/>
        <w:rPr>
          <w:sz w:val="20"/>
          <w:szCs w:val="20"/>
          <w:color w:val="auto"/>
        </w:rPr>
      </w:pPr>
    </w:p>
    <w:p>
      <w:pPr>
        <w:jc w:val="both"/>
        <w:ind w:firstLine="1378"/>
        <w:spacing w:after="0" w:line="266" w:lineRule="auto"/>
        <w:rPr>
          <w:sz w:val="20"/>
          <w:szCs w:val="20"/>
          <w:color w:val="auto"/>
        </w:rPr>
      </w:pPr>
      <w:r>
        <w:rPr>
          <w:rFonts w:ascii="Arial" w:cs="Arial" w:eastAsia="Arial" w:hAnsi="Arial"/>
          <w:sz w:val="21"/>
          <w:szCs w:val="21"/>
          <w:color w:val="auto"/>
        </w:rPr>
        <w:t xml:space="preserve">2.18. </w:t>
      </w:r>
      <w:r>
        <w:rPr>
          <w:rFonts w:ascii="Arial" w:cs="Arial" w:eastAsia="Arial" w:hAnsi="Arial"/>
          <w:sz w:val="21"/>
          <w:szCs w:val="21"/>
          <w:u w:val="single" w:color="auto"/>
          <w:color w:val="auto"/>
        </w:rPr>
        <w:t>Non-Receipt of Funds by the Administrative Agent</w:t>
      </w:r>
      <w:r>
        <w:rPr>
          <w:rFonts w:ascii="Arial" w:cs="Arial" w:eastAsia="Arial" w:hAnsi="Arial"/>
          <w:sz w:val="21"/>
          <w:szCs w:val="21"/>
          <w:color w:val="auto"/>
        </w:rPr>
        <w:t>. Unless the Borrower or a Lender, as the case may be, notifies the Administrative Agent prior to the date on which it is scheduled to make payment to the Administrative Agent of (i) in the case of a Lender, the proceeds of a Loan or (ii) in the case of the Borrower, a payment of principal, interest or fees to the Administrative Agent for the account of the Lenders, that it does not intend to make such payment, the Administrative Agent may assume that such payment has been made. The Administrative Agent</w:t>
      </w:r>
    </w:p>
    <w:p>
      <w:pPr>
        <w:spacing w:after="0" w:line="18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320" w:top="375" w:right="239" w:bottom="1440" w:gutter="0" w:footer="0" w:header="0"/>
        </w:sectPr>
      </w:pPr>
    </w:p>
    <w:bookmarkStart w:id="147" w:name="page148"/>
    <w:bookmarkEnd w:id="147"/>
    <w:p>
      <w:pPr>
        <w:jc w:val="both"/>
        <w:spacing w:after="0" w:line="290" w:lineRule="auto"/>
        <w:rPr>
          <w:sz w:val="20"/>
          <w:szCs w:val="20"/>
          <w:color w:val="auto"/>
        </w:rPr>
      </w:pPr>
      <w:r>
        <w:rPr>
          <w:rFonts w:ascii="Arial" w:cs="Arial" w:eastAsia="Arial" w:hAnsi="Arial"/>
          <w:sz w:val="19"/>
          <w:szCs w:val="19"/>
          <w:color w:val="auto"/>
        </w:rPr>
        <w:t>may, but shall not be obligated to, make the amount of such payment available to the intended recipient in reliance upon such assumption. If such Lender or the Borrower, as the case may be, has not in fact made such payment to the Administrative Agent, the recipient of such payment shall, on demand by the Administrative Agent, repay to the Administrative Agent the amount so made available together with interest thereon in respect of each day during the period commencing on the date such amount was so made available by the Administrative Agent until the date the Administrative Agent recovers such amount at a rate per annum equal to (x) in the case of payment by a Lender, the greater of the Federal Funds Effective Rate and a rate determined by the Administrative Agent in accordance with banking industry rules on interbank compensation or (y) in the case of payment by the Borrower, the interest rate applicable to the relevant Loan.</w:t>
      </w:r>
    </w:p>
    <w:p>
      <w:pPr>
        <w:spacing w:after="0" w:line="197"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 xml:space="preserve">2.19. </w:t>
      </w:r>
      <w:r>
        <w:rPr>
          <w:rFonts w:ascii="Arial" w:cs="Arial" w:eastAsia="Arial" w:hAnsi="Arial"/>
          <w:sz w:val="22"/>
          <w:szCs w:val="22"/>
          <w:u w:val="single" w:color="auto"/>
          <w:color w:val="auto"/>
        </w:rPr>
        <w:t>Facility LCs</w:t>
      </w:r>
      <w:r>
        <w:rPr>
          <w:rFonts w:ascii="Arial" w:cs="Arial" w:eastAsia="Arial" w:hAnsi="Arial"/>
          <w:sz w:val="22"/>
          <w:szCs w:val="22"/>
          <w:color w:val="auto"/>
        </w:rPr>
        <w:t>.</w:t>
      </w:r>
    </w:p>
    <w:p>
      <w:pPr>
        <w:spacing w:after="0" w:line="206" w:lineRule="exact"/>
        <w:rPr>
          <w:sz w:val="20"/>
          <w:szCs w:val="20"/>
          <w:color w:val="auto"/>
        </w:rPr>
      </w:pPr>
    </w:p>
    <w:p>
      <w:pPr>
        <w:jc w:val="both"/>
        <w:ind w:firstLine="1062"/>
        <w:spacing w:after="0" w:line="265" w:lineRule="auto"/>
        <w:tabs>
          <w:tab w:leader="none" w:pos="2158"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Issuance</w:t>
      </w:r>
      <w:r>
        <w:rPr>
          <w:rFonts w:ascii="Arial" w:cs="Arial" w:eastAsia="Arial" w:hAnsi="Arial"/>
          <w:sz w:val="21"/>
          <w:szCs w:val="21"/>
          <w:color w:val="auto"/>
        </w:rPr>
        <w:t>. The LC Issuer hereby agrees, on the terms and conditions set forth in this Agreement, to issue standby Letters of Credit denominated in Dollars or other Agreed Currencies (each, a “Facility LC”) and to renew, extend, increase, decrease or otherwise modify each Facility LC (“Modify,” and each such action a “Modification”), from time to time from and including the date of this Agreement and prior to the Facility Termination Date upon</w:t>
      </w:r>
    </w:p>
    <w:p>
      <w:pPr>
        <w:spacing w:after="0" w:line="257" w:lineRule="exact"/>
        <w:rPr>
          <w:sz w:val="20"/>
          <w:szCs w:val="20"/>
          <w:color w:val="auto"/>
        </w:rPr>
      </w:pPr>
    </w:p>
    <w:p>
      <w:pPr>
        <w:ind w:left="40" w:right="20"/>
        <w:spacing w:after="0" w:line="251" w:lineRule="auto"/>
        <w:rPr>
          <w:sz w:val="20"/>
          <w:szCs w:val="20"/>
          <w:color w:val="auto"/>
        </w:rPr>
      </w:pPr>
      <w:r>
        <w:rPr>
          <w:rFonts w:ascii="Arial" w:cs="Arial" w:eastAsia="Arial" w:hAnsi="Arial"/>
          <w:sz w:val="22"/>
          <w:szCs w:val="22"/>
          <w:color w:val="auto"/>
        </w:rPr>
        <w:t xml:space="preserve">the request of the Borrower;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immediately after each such Facility LC is issued or Modified, (i) the aggregate amount of the outstanding LC Obligations shall not exceed</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9"/>
          <w:szCs w:val="19"/>
          <w:color w:val="auto"/>
        </w:rPr>
        <w:t>$4,500,000, (ii) the aggregate amount of the Revolving Exposures shall not exceed the aggregate Revolving Commitments, and</w:t>
      </w:r>
    </w:p>
    <w:p>
      <w:pPr>
        <w:spacing w:after="0" w:line="38" w:lineRule="exact"/>
        <w:rPr>
          <w:sz w:val="20"/>
          <w:szCs w:val="20"/>
          <w:color w:val="auto"/>
        </w:rPr>
      </w:pPr>
    </w:p>
    <w:p>
      <w:pPr>
        <w:ind w:left="40" w:right="20" w:hanging="4"/>
        <w:spacing w:after="0" w:line="255" w:lineRule="auto"/>
        <w:tabs>
          <w:tab w:leader="none" w:pos="442"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Aggregate Revolving Exposure shall not exceed the Aggregate Revolving Commitment. No Facility LC shall have an expiry date later than the earlier to occur of (x) the fifth Business Day prior to the Facility Termination Date and (y) one</w:t>
      </w:r>
    </w:p>
    <w:p>
      <w:pPr>
        <w:ind w:left="40"/>
        <w:spacing w:after="0"/>
        <w:rPr>
          <w:rFonts w:ascii="Arial" w:cs="Arial" w:eastAsia="Arial" w:hAnsi="Arial"/>
          <w:sz w:val="21"/>
          <w:szCs w:val="21"/>
          <w:color w:val="auto"/>
        </w:rPr>
      </w:pPr>
      <w:r>
        <w:rPr>
          <w:rFonts w:ascii="Arial" w:cs="Arial" w:eastAsia="Arial" w:hAnsi="Arial"/>
          <w:sz w:val="22"/>
          <w:szCs w:val="22"/>
          <w:color w:val="auto"/>
        </w:rPr>
        <w:t>(1) year after its issuance.</w:t>
      </w:r>
    </w:p>
    <w:p>
      <w:pPr>
        <w:spacing w:after="0" w:line="242" w:lineRule="exact"/>
        <w:rPr>
          <w:rFonts w:ascii="Arial" w:cs="Arial" w:eastAsia="Arial" w:hAnsi="Arial"/>
          <w:sz w:val="21"/>
          <w:szCs w:val="21"/>
          <w:color w:val="auto"/>
        </w:rPr>
      </w:pPr>
    </w:p>
    <w:p>
      <w:pPr>
        <w:jc w:val="both"/>
        <w:ind w:left="40" w:firstLine="1049"/>
        <w:spacing w:after="0" w:line="248" w:lineRule="auto"/>
        <w:tabs>
          <w:tab w:leader="none" w:pos="2210" w:val="left"/>
        </w:tabs>
        <w:numPr>
          <w:ilvl w:val="1"/>
          <w:numId w:val="62"/>
        </w:numPr>
        <w:rPr>
          <w:rFonts w:ascii="Arial" w:cs="Arial" w:eastAsia="Arial" w:hAnsi="Arial"/>
          <w:sz w:val="22"/>
          <w:szCs w:val="22"/>
          <w:color w:val="auto"/>
        </w:rPr>
      </w:pPr>
      <w:r>
        <w:rPr>
          <w:rFonts w:ascii="Arial" w:cs="Arial" w:eastAsia="Arial" w:hAnsi="Arial"/>
          <w:sz w:val="22"/>
          <w:szCs w:val="22"/>
          <w:u w:val="single" w:color="auto"/>
          <w:color w:val="auto"/>
        </w:rPr>
        <w:t>Participations</w:t>
      </w:r>
      <w:r>
        <w:rPr>
          <w:rFonts w:ascii="Arial" w:cs="Arial" w:eastAsia="Arial" w:hAnsi="Arial"/>
          <w:sz w:val="22"/>
          <w:szCs w:val="22"/>
          <w:color w:val="auto"/>
        </w:rPr>
        <w:t>. Upon the issuance or Modification by the LC Issuer of a Facility LC, the LC Issuer shall be deemed, without further action by any party hereto, to have unconditionally and irrevocably sold to each Lender, and each Lender shall be deemed, without further action by any party hereto, to have unconditionally and irrevocably purchased from the LC Issuer, a participation in such Facility LC (and each Modification thereof) and the related LC Obligations in proportion to its Pro Rata Share.</w:t>
      </w:r>
    </w:p>
    <w:p>
      <w:pPr>
        <w:spacing w:after="0" w:line="232" w:lineRule="exact"/>
        <w:rPr>
          <w:rFonts w:ascii="Arial" w:cs="Arial" w:eastAsia="Arial" w:hAnsi="Arial"/>
          <w:sz w:val="22"/>
          <w:szCs w:val="22"/>
          <w:color w:val="auto"/>
        </w:rPr>
      </w:pPr>
    </w:p>
    <w:p>
      <w:pPr>
        <w:jc w:val="both"/>
        <w:ind w:left="40" w:firstLine="1049"/>
        <w:spacing w:after="0" w:line="287" w:lineRule="auto"/>
        <w:tabs>
          <w:tab w:leader="none" w:pos="2198" w:val="left"/>
        </w:tabs>
        <w:numPr>
          <w:ilvl w:val="1"/>
          <w:numId w:val="62"/>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xml:space="preserve">. Subject to Section 2.19(a), the Borrower shall give the Administrative Agent notice prior to noon (Pacific Standard Time) at least three (3) Business Days prior to the proposed date of issuance or Modification of each Facility LC, specifying the beneficiary, the proposed date of issuance (or Modification) and the expiry date of such Facility LC, and describing the proposed terms of such Facility LC and the nature of the transactions proposed to be supported thereby. Upon receipt of such notice, the Administrative Agent shall promptly notify the LC Issuer and each Lender of the contents thereof and of the amount of such Lender’s participation in such proposed Facility LC. The issuance or Modification by the LC Issuer of any Facility LC shall, in addition to the conditions precedent set forth in Article IV, be subject to the conditions precedent that such Facility LC shall be satisfactory to the LC Issuer and that the Borrower shall have executed and delivered such application agreement and/or such other instruments and agreements relating to such Facility LC as the LC Issuer shall have reasonably requested (each, a “Facility LC Application”). The LC Issuer shall have no independent duty to ascertain whether the conditions set forth in Article IV have been satisfied;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LC Issuer shall not issue a Facility LC if, on or before the proposed date of issuance, the LC Issuer shall have</w:t>
      </w:r>
    </w:p>
    <w:p>
      <w:pPr>
        <w:spacing w:after="0" w:line="200" w:lineRule="exact"/>
        <w:rPr>
          <w:sz w:val="20"/>
          <w:szCs w:val="20"/>
          <w:color w:val="auto"/>
        </w:rPr>
      </w:pPr>
    </w:p>
    <w:p>
      <w:pPr>
        <w:spacing w:after="0" w:line="22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320" w:top="374" w:right="239" w:bottom="1440" w:gutter="0" w:footer="0" w:header="0"/>
        </w:sectPr>
      </w:pPr>
    </w:p>
    <w:bookmarkStart w:id="148" w:name="page149"/>
    <w:bookmarkEnd w:id="148"/>
    <w:p>
      <w:pPr>
        <w:jc w:val="both"/>
        <w:spacing w:after="0" w:line="253" w:lineRule="auto"/>
        <w:rPr>
          <w:sz w:val="20"/>
          <w:szCs w:val="20"/>
          <w:color w:val="auto"/>
        </w:rPr>
      </w:pPr>
      <w:r>
        <w:rPr>
          <w:rFonts w:ascii="Arial" w:cs="Arial" w:eastAsia="Arial" w:hAnsi="Arial"/>
          <w:sz w:val="22"/>
          <w:szCs w:val="22"/>
          <w:color w:val="auto"/>
        </w:rPr>
        <w:t>received notice from the Administrative Agent or the Required Lenders that any such condition has not been satisfied or waived. In the event of any conflict between the terms of this Agreement and the terms of any Facility LC Application, the terms of this Agreement shall control.</w:t>
      </w:r>
    </w:p>
    <w:p>
      <w:pPr>
        <w:spacing w:after="0" w:line="226" w:lineRule="exact"/>
        <w:rPr>
          <w:sz w:val="20"/>
          <w:szCs w:val="20"/>
          <w:color w:val="auto"/>
        </w:rPr>
      </w:pPr>
    </w:p>
    <w:p>
      <w:pPr>
        <w:jc w:val="both"/>
        <w:ind w:firstLine="1049"/>
        <w:spacing w:after="0" w:line="259" w:lineRule="auto"/>
        <w:tabs>
          <w:tab w:leader="none" w:pos="2170"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LC Fees</w:t>
      </w:r>
      <w:r>
        <w:rPr>
          <w:rFonts w:ascii="Arial" w:cs="Arial" w:eastAsia="Arial" w:hAnsi="Arial"/>
          <w:sz w:val="21"/>
          <w:szCs w:val="21"/>
          <w:color w:val="auto"/>
        </w:rPr>
        <w:t>. The Borrower shall pay to the Administrative Agent, for the account of the Lenders ratably in accordance with their respective Pro Rata Shares, with respect to each Facility LC, a letter of credit fee at a per annum rate equal to the Applicable Margin for Eurocurrency Loans in effect from time to time on the face amount of such Facility LC for the period from the date of issuance to the scheduled expiration date of such Facility LC, such fee to be payable in arrears on each Payment Date (the “LC Fee”). The Borrower shall also pay to the LC Issuer for its own account (x) a fronting fee in an amount equal to 0.125% per annum of the average daily undrawn stated amount under such Facility LC, such fee payable in arrears on each Payment Date and (y) on demand, all amendment, drawing and other fees regularly charged by the LC Issuer to its letter of credit customers and all out-of-pocket expenses incurred by the LC Issuer in connection with the issuance, Modification, administration or payment of any Facility LC.</w:t>
      </w:r>
    </w:p>
    <w:p>
      <w:pPr>
        <w:spacing w:after="0" w:line="261" w:lineRule="exact"/>
        <w:rPr>
          <w:rFonts w:ascii="Arial" w:cs="Arial" w:eastAsia="Arial" w:hAnsi="Arial"/>
          <w:sz w:val="21"/>
          <w:szCs w:val="21"/>
          <w:color w:val="auto"/>
        </w:rPr>
      </w:pPr>
    </w:p>
    <w:p>
      <w:pPr>
        <w:jc w:val="both"/>
        <w:ind w:firstLine="1049"/>
        <w:spacing w:after="0" w:line="285" w:lineRule="auto"/>
        <w:tabs>
          <w:tab w:leader="none" w:pos="2171"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Administration; Reimbursement by Lenders</w:t>
      </w:r>
      <w:r>
        <w:rPr>
          <w:rFonts w:ascii="Arial" w:cs="Arial" w:eastAsia="Arial" w:hAnsi="Arial"/>
          <w:sz w:val="19"/>
          <w:szCs w:val="19"/>
          <w:color w:val="auto"/>
        </w:rPr>
        <w:t xml:space="preserve">. Upon receipt of any demand for payment under any Facility LC from the beneficiary of such Facility LC, the LC Issuer shall notify the Administrative Agent and the Administrative Agent shall promptly notify the Borrower and each other Lender as to the amount to be paid by the LC Issuer as a result of such demand and the proposed payment date (the “LC Payment Date”). The responsibility of the LC Issuer to the Borrower and each Lender shall be only to determine that the documents (including each demand for payment) delivered under each Facility LC in connection with such presentment shall be in conformity in all material respects with such Facility LC. The LC Issuer shall endeavor to exercise the same care in the issuance and administration of the Facility LCs as it does with respect to letters of credit in which no participations are granted, it being understood that in the absence of any gross negligence, bad faith or willful misconduct by the LC Issuer, </w:t>
      </w:r>
      <w:r>
        <w:rPr>
          <w:rFonts w:ascii="Arial" w:cs="Arial" w:eastAsia="Arial" w:hAnsi="Arial"/>
          <w:sz w:val="19"/>
          <w:szCs w:val="19"/>
          <w:u w:val="single" w:color="auto"/>
          <w:color w:val="auto"/>
        </w:rPr>
        <w:t>each</w:t>
      </w:r>
      <w:r>
        <w:rPr>
          <w:rFonts w:ascii="Arial" w:cs="Arial" w:eastAsia="Arial" w:hAnsi="Arial"/>
          <w:sz w:val="19"/>
          <w:szCs w:val="19"/>
          <w:color w:val="auto"/>
        </w:rPr>
        <w:t xml:space="preserve"> Lender shall be unconditionally and irrevocably liable without regard to the occurrence of any Event of Default or any condition precedent whatsoever, to reimburse the LC Issuer on demand for (i) such Lender’s Pro Rata Share of the amount of each payment made by the LC Issuer under each Facility LC to the extent such amount is not reimbursed by the Borrower pursuant to Section 2.19(f) below and there are not funds available in the Facility LC Collateral Account to cover the same, </w:t>
      </w:r>
      <w:r>
        <w:rPr>
          <w:rFonts w:ascii="Arial" w:cs="Arial" w:eastAsia="Arial" w:hAnsi="Arial"/>
          <w:sz w:val="19"/>
          <w:szCs w:val="19"/>
          <w:i w:val="1"/>
          <w:iCs w:val="1"/>
          <w:color w:val="auto"/>
        </w:rPr>
        <w:t>plus</w:t>
      </w:r>
      <w:r>
        <w:rPr>
          <w:rFonts w:ascii="Arial" w:cs="Arial" w:eastAsia="Arial" w:hAnsi="Arial"/>
          <w:sz w:val="19"/>
          <w:szCs w:val="19"/>
          <w:color w:val="auto"/>
        </w:rPr>
        <w:t xml:space="preserve"> (ii) interest on the foregoing amount to be reimbursed by such Lender, for each day from the date of the LC Issuer’s demand for such reimbursement (or, if such demand is made after 10:00 a.m. (Pacific Standard Time) on such date, from the next succeeding Business Day) to the date on which such Lender pays the amount to be reimbursed by it at the greater of the Federal Funds Effective Rate and a rate determined by the Administrative Agent in accordance with banking industry rules on interbank compensation.</w:t>
      </w:r>
    </w:p>
    <w:p>
      <w:pPr>
        <w:spacing w:after="0" w:line="200" w:lineRule="exact"/>
        <w:rPr>
          <w:rFonts w:ascii="Arial" w:cs="Arial" w:eastAsia="Arial" w:hAnsi="Arial"/>
          <w:sz w:val="19"/>
          <w:szCs w:val="19"/>
          <w:color w:val="auto"/>
        </w:rPr>
      </w:pPr>
    </w:p>
    <w:p>
      <w:pPr>
        <w:spacing w:after="0" w:line="267" w:lineRule="exact"/>
        <w:rPr>
          <w:rFonts w:ascii="Arial" w:cs="Arial" w:eastAsia="Arial" w:hAnsi="Arial"/>
          <w:sz w:val="19"/>
          <w:szCs w:val="19"/>
          <w:color w:val="auto"/>
        </w:rPr>
      </w:pPr>
    </w:p>
    <w:p>
      <w:pPr>
        <w:jc w:val="both"/>
        <w:ind w:firstLine="1049"/>
        <w:spacing w:after="0" w:line="259" w:lineRule="auto"/>
        <w:tabs>
          <w:tab w:leader="none" w:pos="2147"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Reimbursement by Borrower</w:t>
      </w:r>
      <w:r>
        <w:rPr>
          <w:rFonts w:ascii="Arial" w:cs="Arial" w:eastAsia="Arial" w:hAnsi="Arial"/>
          <w:sz w:val="21"/>
          <w:szCs w:val="21"/>
          <w:color w:val="auto"/>
        </w:rPr>
        <w:t xml:space="preserve">. The Borrower shall be irrevocably and unconditionally obligated to reimburse the LC Issuer on or before the applicable LC Payment Date for any amounts to be paid by the LC Issuer upon any drawing under any Facility LC, without presentment, demand, protest or other formalities of any kind;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neither the Borrower nor any Lender shall hereby be precluded from asserting any claim for direct (but not consequential) damages suffered by the Borrower or such Lender to the extent, but only to the extent, caused by (i) the willful misconduct, bad faith or gross negligence of the LC Issuer in determining whether a request presented under any Facility LC issued by it complied with the terms of such Facility LC or (ii) the LC Issuer’s failure to pay under any Facility LC issued by it after the presentation to it of a request strictly complying with the terms and conditions of such Facility LC. All such amounts paid by the LC Issuer and remaining unpaid by the Borrower shall bear interest, payable on demand,</w:t>
      </w:r>
    </w:p>
    <w:p>
      <w:pPr>
        <w:spacing w:after="0" w:line="18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00"/>
          </w:cols>
          <w:pgMar w:left="360" w:top="375" w:right="239" w:bottom="1440" w:gutter="0" w:footer="0" w:header="0"/>
        </w:sectPr>
      </w:pPr>
    </w:p>
    <w:bookmarkStart w:id="149" w:name="page150"/>
    <w:bookmarkEnd w:id="149"/>
    <w:p>
      <w:pPr>
        <w:jc w:val="both"/>
        <w:spacing w:after="0" w:line="259" w:lineRule="auto"/>
        <w:rPr>
          <w:sz w:val="20"/>
          <w:szCs w:val="20"/>
          <w:color w:val="auto"/>
        </w:rPr>
      </w:pPr>
      <w:r>
        <w:rPr>
          <w:rFonts w:ascii="Arial" w:cs="Arial" w:eastAsia="Arial" w:hAnsi="Arial"/>
          <w:sz w:val="21"/>
          <w:szCs w:val="21"/>
          <w:color w:val="auto"/>
        </w:rPr>
        <w:t xml:space="preserve">for each day until paid at a rate per annum equal </w:t>
      </w:r>
      <w:r>
        <w:rPr>
          <w:rFonts w:ascii="Arial" w:cs="Arial" w:eastAsia="Arial" w:hAnsi="Arial"/>
          <w:sz w:val="21"/>
          <w:szCs w:val="21"/>
          <w:u w:val="single" w:color="auto"/>
          <w:color w:val="auto"/>
        </w:rPr>
        <w:t>to</w:t>
      </w:r>
      <w:r>
        <w:rPr>
          <w:rFonts w:ascii="Arial" w:cs="Arial" w:eastAsia="Arial" w:hAnsi="Arial"/>
          <w:sz w:val="21"/>
          <w:szCs w:val="21"/>
          <w:color w:val="auto"/>
        </w:rPr>
        <w:t xml:space="preserve"> (x) the rate applicable to Base Rate Advances for such day if such day falls on or before the applicable LC Payment Date and (y) the sum of 2.00% per annum </w:t>
      </w:r>
      <w:r>
        <w:rPr>
          <w:rFonts w:ascii="Arial" w:cs="Arial" w:eastAsia="Arial" w:hAnsi="Arial"/>
          <w:sz w:val="21"/>
          <w:szCs w:val="21"/>
          <w:i w:val="1"/>
          <w:iCs w:val="1"/>
          <w:color w:val="auto"/>
        </w:rPr>
        <w:t>plus</w:t>
      </w:r>
      <w:r>
        <w:rPr>
          <w:rFonts w:ascii="Arial" w:cs="Arial" w:eastAsia="Arial" w:hAnsi="Arial"/>
          <w:sz w:val="21"/>
          <w:szCs w:val="21"/>
          <w:color w:val="auto"/>
        </w:rPr>
        <w:t xml:space="preserve"> the rate applicable to Base Rate Advances for such day if such day falls after such LC Payment Date. The LC Issuer will pay to each Lender ratably in accordance with its Pro Rata Share all amounts received by it from the Borrower for application in payment, in whole or in part, of the Reimbursement Obligation in respect of any Facility LC issued by the LC Issuer, but only to the extent such Lender has made payment to the LC Issuer in respect of such Facility LC pursuant to Section 2.19(e). Subject to the terms and conditions of this Agreement (including without limitation the submission of a Borrowing Notice in compliance with Section 2.8 and the satisfaction of the applicable conditions precedent set forth in Article IV), the Borrower may request an Advance hereunder for the purpose of satisfying any Reimbursement Obligation.</w:t>
      </w:r>
    </w:p>
    <w:p>
      <w:pPr>
        <w:spacing w:after="0" w:line="261" w:lineRule="exact"/>
        <w:rPr>
          <w:sz w:val="20"/>
          <w:szCs w:val="20"/>
          <w:color w:val="auto"/>
        </w:rPr>
      </w:pPr>
    </w:p>
    <w:p>
      <w:pPr>
        <w:jc w:val="both"/>
        <w:ind w:firstLine="1049"/>
        <w:spacing w:after="0" w:line="286" w:lineRule="auto"/>
        <w:tabs>
          <w:tab w:leader="none" w:pos="2183"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The Borrower’s obligations under this Section 2.19 shall be absolute and unconditional under any and all circumstances and irrespective of any setoff, counterclaim or defense to payment which the Borrower may have or have had against the LC Issuer, any Lender or any beneficiary of a Facility LC. The Borrower further agrees with the LC Issuer and the Lenders that the LC Issuer and the Lenders shall not be responsible for, and the Borrower’s Reimbursement Obligation in respect of any Facility LC shall not be affected by, among other things, the validity or genuineness of documents or of any endorsements thereon, even if such documents should in fact prove to be in any or all respects invalid, fraudulent or forged, or any dispute between or among the Borrower, any of its Affiliates, the beneficiary of any Facility LC or any financing institution or other party to whom any Facility LC may be transferred or any claims or defenses whatsoever of the Borrower or of any of its Affiliates against the beneficiary of any Facility LC or any such transferee. The LC Issuer shall not be liable for any error, omission, interruption or delay in transmission, dispatch or delivery of any message or advice, however transmitted, in connection with any Facility LC. The Borrower agrees that any action taken or omitted by the LC Issuer or any Lender under or in connection with each Facility LC and the related drafts and documents, if done without gross negligence, bad faith or willful misconduct, shall be binding upon the Borrower and shall not put the LC Issuer or any Lender under any liability to the Borrower. Nothing in this Section 2.19(g) is intended to limit the right of the Borrower to make a claim against the LC Issuer for damages as contemplated by the proviso to the first sentence of Section 2.19(f).</w:t>
      </w:r>
    </w:p>
    <w:p>
      <w:pPr>
        <w:spacing w:after="0" w:line="200" w:lineRule="exact"/>
        <w:rPr>
          <w:rFonts w:ascii="Arial" w:cs="Arial" w:eastAsia="Arial" w:hAnsi="Arial"/>
          <w:sz w:val="19"/>
          <w:szCs w:val="19"/>
          <w:color w:val="auto"/>
        </w:rPr>
      </w:pPr>
    </w:p>
    <w:p>
      <w:pPr>
        <w:jc w:val="both"/>
        <w:ind w:firstLine="1049"/>
        <w:spacing w:after="0" w:line="258" w:lineRule="auto"/>
        <w:tabs>
          <w:tab w:leader="none" w:pos="2183"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Actions of LC Issuer</w:t>
      </w:r>
      <w:r>
        <w:rPr>
          <w:rFonts w:ascii="Arial" w:cs="Arial" w:eastAsia="Arial" w:hAnsi="Arial"/>
          <w:sz w:val="21"/>
          <w:szCs w:val="21"/>
          <w:color w:val="auto"/>
        </w:rPr>
        <w:t>. The LC Issuer shall be entitled to rely, and shall be fully protected in relying, upon any Facility LC, draft, writing, resolution, notice, consent, certificate, affidavit, letter, cablegram, telegram, facsimile, telex, teletype or electronic mail message, statement, order or other document believed by it to be genuine and correct and to have been signed, sent or made by the proper Person or Persons, and upon advice and statements of legal counsel, independent accountants and other experts selected by the LC Issuer. The LC Issuer shall be fully justified in failing or refusing to take any action under this Agreement unless it shall first have received such advice or concurrence of the Required Lenders as it reasonably deems appropriate or it shall first be indemnified to its reasonable satisfaction by the Lenders against any and all liability and expense which may be incurred by it by reason of taking or continuing to take any such action. Notwithstanding any other provision of this Section 2.19, the LC Issuer shall in all cases be fully protected in acting, or in refraining from acting, under this Agreement in accordance with a request</w:t>
      </w:r>
    </w:p>
    <w:p>
      <w:pPr>
        <w:spacing w:after="0" w:line="19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360" w:top="375" w:right="239" w:bottom="1440" w:gutter="0" w:footer="0" w:header="0"/>
        </w:sectPr>
      </w:pPr>
    </w:p>
    <w:bookmarkStart w:id="150" w:name="page151"/>
    <w:bookmarkEnd w:id="150"/>
    <w:p>
      <w:pPr>
        <w:ind w:left="4"/>
        <w:spacing w:after="0" w:line="263" w:lineRule="auto"/>
        <w:rPr>
          <w:sz w:val="20"/>
          <w:szCs w:val="20"/>
          <w:color w:val="auto"/>
        </w:rPr>
      </w:pPr>
      <w:r>
        <w:rPr>
          <w:rFonts w:ascii="Arial" w:cs="Arial" w:eastAsia="Arial" w:hAnsi="Arial"/>
          <w:sz w:val="22"/>
          <w:szCs w:val="22"/>
          <w:color w:val="auto"/>
        </w:rPr>
        <w:t>of the Required Lenders, and such request and any action taken or failure to act pursuant thereto shall be binding upon the Lenders and any future holders of a participation in any Facility LC.</w:t>
      </w:r>
    </w:p>
    <w:p>
      <w:pPr>
        <w:spacing w:after="0" w:line="215" w:lineRule="exact"/>
        <w:rPr>
          <w:sz w:val="20"/>
          <w:szCs w:val="20"/>
          <w:color w:val="auto"/>
        </w:rPr>
      </w:pPr>
    </w:p>
    <w:p>
      <w:pPr>
        <w:jc w:val="both"/>
        <w:ind w:left="4" w:firstLine="1049"/>
        <w:spacing w:after="0" w:line="259" w:lineRule="auto"/>
        <w:tabs>
          <w:tab w:leader="none" w:pos="2139"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Indemnification</w:t>
      </w:r>
      <w:r>
        <w:rPr>
          <w:rFonts w:ascii="Arial" w:cs="Arial" w:eastAsia="Arial" w:hAnsi="Arial"/>
          <w:sz w:val="21"/>
          <w:szCs w:val="21"/>
          <w:color w:val="auto"/>
        </w:rPr>
        <w:t>. The Borrower hereby agrees to indemnify and hold harmless each Lender, the LC Issuer and the Administrative Agent, and their respective directors, officers, agents and employees from and against any and all claims and damages, losses, liabilities, costs or expenses (including reasonable counsel fees and disbursements) which such Lender, the LC Issuer or the Administrative Agent may incur (or which may be claimed against such Lender, the LC Issuer or the Administrative Agent by any Person whatsoever) by reason of or in connection with the issuance, execution and delivery or transfer of or payment or failure to pay under any Facility LC or any actual or proposed use of any Facility LC, including, without limitation, any claims, damages, losses, liabilities, costs or expenses (including reasonable counsel fees and disbursements) which the LC Issuer may incur (i) by reason of or in</w:t>
      </w:r>
    </w:p>
    <w:p>
      <w:pPr>
        <w:spacing w:after="0" w:line="265" w:lineRule="exact"/>
        <w:rPr>
          <w:sz w:val="20"/>
          <w:szCs w:val="20"/>
          <w:color w:val="auto"/>
        </w:rPr>
      </w:pPr>
    </w:p>
    <w:p>
      <w:pPr>
        <w:jc w:val="both"/>
        <w:ind w:left="4"/>
        <w:spacing w:after="0" w:line="284" w:lineRule="auto"/>
        <w:rPr>
          <w:sz w:val="20"/>
          <w:szCs w:val="20"/>
          <w:color w:val="auto"/>
        </w:rPr>
      </w:pPr>
      <w:r>
        <w:rPr>
          <w:rFonts w:ascii="Arial" w:cs="Arial" w:eastAsia="Arial" w:hAnsi="Arial"/>
          <w:sz w:val="19"/>
          <w:szCs w:val="19"/>
          <w:color w:val="auto"/>
        </w:rPr>
        <w:t xml:space="preserve">connection with the failure of any other Lender to fulfill or comply with its obligations to the LC Issuer hereunder (but nothing herein contained shall affect any rights the Borrower may have against any Defaulting Lender) or (ii) by reason of or on account of the LC Issuer issuing any Facility LC which specifies that the term “Beneficiary” included therein includes any successor by operation of law of the named Beneficiary, but which Facility LC does not require that any drawing by any such successor Beneficiary be accompanied by a copy of a legal document, satisfactory to the LC Issuer, evidencing the appointment of such successor Beneficiary;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shall not be required to indemnify any Lender, the LC Issuer or the Administrative Agent for any claims, damages, losses, liabilities, costs or expenses to the extent, but only to the extent, caused by</w:t>
      </w:r>
    </w:p>
    <w:p>
      <w:pPr>
        <w:spacing w:after="0" w:line="4" w:lineRule="exact"/>
        <w:rPr>
          <w:sz w:val="20"/>
          <w:szCs w:val="20"/>
          <w:color w:val="auto"/>
        </w:rPr>
      </w:pPr>
    </w:p>
    <w:p>
      <w:pPr>
        <w:jc w:val="both"/>
        <w:ind w:left="4" w:hanging="4"/>
        <w:spacing w:after="0" w:line="260" w:lineRule="auto"/>
        <w:tabs>
          <w:tab w:leader="none" w:pos="325" w:val="left"/>
        </w:tabs>
        <w:numPr>
          <w:ilvl w:val="0"/>
          <w:numId w:val="66"/>
        </w:numPr>
        <w:rPr>
          <w:rFonts w:ascii="Arial" w:cs="Arial" w:eastAsia="Arial" w:hAnsi="Arial"/>
          <w:sz w:val="21"/>
          <w:szCs w:val="21"/>
          <w:color w:val="auto"/>
        </w:rPr>
      </w:pPr>
      <w:r>
        <w:rPr>
          <w:rFonts w:ascii="Arial" w:cs="Arial" w:eastAsia="Arial" w:hAnsi="Arial"/>
          <w:sz w:val="21"/>
          <w:szCs w:val="21"/>
          <w:color w:val="auto"/>
        </w:rPr>
        <w:t>the willful misconduct, bad faith or gross negligence of the LC Issuer in determining whether a request presented under any Facility LC complied with the terms of such Facility LC or (y) the LC Issuer’s failure to pay under any Facility LC after the presentation to it of a request strictly complying with the terms and conditions of such Facility LC. Nothing in this Section 2.19(i) is intended to limit the obligations of the Borrower under any other provision of this Agreement.</w:t>
      </w:r>
    </w:p>
    <w:p>
      <w:pPr>
        <w:spacing w:after="0" w:line="218" w:lineRule="exact"/>
        <w:rPr>
          <w:rFonts w:ascii="Arial" w:cs="Arial" w:eastAsia="Arial" w:hAnsi="Arial"/>
          <w:sz w:val="21"/>
          <w:szCs w:val="21"/>
          <w:color w:val="auto"/>
        </w:rPr>
      </w:pPr>
    </w:p>
    <w:p>
      <w:pPr>
        <w:jc w:val="both"/>
        <w:ind w:left="4" w:firstLine="1049"/>
        <w:spacing w:after="0" w:line="246" w:lineRule="auto"/>
        <w:tabs>
          <w:tab w:leader="none" w:pos="2126" w:val="left"/>
        </w:tabs>
        <w:numPr>
          <w:ilvl w:val="1"/>
          <w:numId w:val="66"/>
        </w:numPr>
        <w:rPr>
          <w:rFonts w:ascii="Arial" w:cs="Arial" w:eastAsia="Arial" w:hAnsi="Arial"/>
          <w:sz w:val="22"/>
          <w:szCs w:val="22"/>
          <w:color w:val="auto"/>
        </w:rPr>
      </w:pPr>
      <w:r>
        <w:rPr>
          <w:rFonts w:ascii="Arial" w:cs="Arial" w:eastAsia="Arial" w:hAnsi="Arial"/>
          <w:sz w:val="22"/>
          <w:szCs w:val="22"/>
          <w:u w:val="single" w:color="auto"/>
          <w:color w:val="auto"/>
        </w:rPr>
        <w:t>Lenders’ Indemnification</w:t>
      </w:r>
      <w:r>
        <w:rPr>
          <w:rFonts w:ascii="Arial" w:cs="Arial" w:eastAsia="Arial" w:hAnsi="Arial"/>
          <w:sz w:val="22"/>
          <w:szCs w:val="22"/>
          <w:color w:val="auto"/>
        </w:rPr>
        <w:t>. Each Lender shall, ratably in accordance with its Pro Rata Share, indemnify the LC Issuer, its affiliates and their respective directors, officers, agents and employees (to the extent not reimbursed by the Borrower) against any cost, expense (including reasonable counsel fees and disbursements), claim, demand, action, loss or liability (except such as result from such indemnitees’ gross negligence or willful misconduct or the LC Issuer’s failure to pay under any Facility LC after the presentation to it of a request strictly complying with the terms and conditions of the Facility LC) that such indemnitees may suffer or incur in connection with this Section 2.19 or any action taken or omitted by such indemnitees hereunder.</w:t>
      </w:r>
    </w:p>
    <w:p>
      <w:pPr>
        <w:spacing w:after="0" w:line="237" w:lineRule="exact"/>
        <w:rPr>
          <w:rFonts w:ascii="Arial" w:cs="Arial" w:eastAsia="Arial" w:hAnsi="Arial"/>
          <w:sz w:val="22"/>
          <w:szCs w:val="22"/>
          <w:color w:val="auto"/>
        </w:rPr>
      </w:pPr>
    </w:p>
    <w:p>
      <w:pPr>
        <w:jc w:val="both"/>
        <w:ind w:left="4" w:firstLine="1049"/>
        <w:spacing w:after="0" w:line="246" w:lineRule="auto"/>
        <w:tabs>
          <w:tab w:leader="none" w:pos="2174" w:val="left"/>
        </w:tabs>
        <w:numPr>
          <w:ilvl w:val="1"/>
          <w:numId w:val="66"/>
        </w:numPr>
        <w:rPr>
          <w:rFonts w:ascii="Arial" w:cs="Arial" w:eastAsia="Arial" w:hAnsi="Arial"/>
          <w:sz w:val="22"/>
          <w:szCs w:val="22"/>
          <w:color w:val="auto"/>
        </w:rPr>
      </w:pPr>
      <w:r>
        <w:rPr>
          <w:rFonts w:ascii="Arial" w:cs="Arial" w:eastAsia="Arial" w:hAnsi="Arial"/>
          <w:sz w:val="22"/>
          <w:szCs w:val="22"/>
          <w:u w:val="single" w:color="auto"/>
          <w:color w:val="auto"/>
        </w:rPr>
        <w:t>Facility LC Collateral Account</w:t>
      </w:r>
      <w:r>
        <w:rPr>
          <w:rFonts w:ascii="Arial" w:cs="Arial" w:eastAsia="Arial" w:hAnsi="Arial"/>
          <w:sz w:val="22"/>
          <w:szCs w:val="22"/>
          <w:color w:val="auto"/>
        </w:rPr>
        <w:t>. The Borrower agrees that it will, upon the request of the Administrative Agent or the Required Lenders after the occurrence and during the continuance of an Event of Default and until the final expiration date of any Facility LC and thereafter as long as any amount is payable to the LC Issuer or the Lenders in respect of any Facility LC, maintain a special collateral account pursuant to arrangements satisfactory to the Administrative Agent (the “Facility LC Collateral Account”), in the name of such Borrower but under the sole dominion and control of the Administrative Agent, for the benefit of the Lenders and in which such Borrower shall have no interest other than as set forth in Section 8.1. The Borrower hereby pledges,</w:t>
      </w:r>
    </w:p>
    <w:p>
      <w:pPr>
        <w:spacing w:after="0" w:line="204"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04"/>
          </w:cols>
          <w:pgMar w:left="356" w:top="375" w:right="239" w:bottom="1440" w:gutter="0" w:footer="0" w:header="0"/>
        </w:sectPr>
      </w:pPr>
    </w:p>
    <w:bookmarkStart w:id="151" w:name="page152"/>
    <w:bookmarkEnd w:id="151"/>
    <w:p>
      <w:pPr>
        <w:jc w:val="both"/>
        <w:ind w:left="4"/>
        <w:spacing w:after="0" w:line="246" w:lineRule="auto"/>
        <w:rPr>
          <w:sz w:val="20"/>
          <w:szCs w:val="20"/>
          <w:color w:val="auto"/>
        </w:rPr>
      </w:pPr>
      <w:r>
        <w:rPr>
          <w:rFonts w:ascii="Arial" w:cs="Arial" w:eastAsia="Arial" w:hAnsi="Arial"/>
          <w:sz w:val="22"/>
          <w:szCs w:val="22"/>
          <w:color w:val="auto"/>
        </w:rPr>
        <w:t xml:space="preserve">assigns and grants to the Administrative Agent, on behalf of and for the ratable benefit of the Lenders and the LC Issuer, a security interest in all of the Borrower’s right, title and interest in and to all funds which may from time to time be on deposit in the Facility LC Collateral Account to secure the prompt </w:t>
      </w:r>
      <w:r>
        <w:rPr>
          <w:rFonts w:ascii="Arial" w:cs="Arial" w:eastAsia="Arial" w:hAnsi="Arial"/>
          <w:sz w:val="22"/>
          <w:szCs w:val="22"/>
          <w:u w:val="single" w:color="auto"/>
          <w:color w:val="auto"/>
        </w:rPr>
        <w:t>and</w:t>
      </w:r>
      <w:r>
        <w:rPr>
          <w:rFonts w:ascii="Arial" w:cs="Arial" w:eastAsia="Arial" w:hAnsi="Arial"/>
          <w:sz w:val="22"/>
          <w:szCs w:val="22"/>
          <w:color w:val="auto"/>
        </w:rPr>
        <w:t xml:space="preserve"> complete payment and performance of the Obligations. The Administrative Agent will invest any funds on deposit from time to time in the Facility LC Collateral Account in certificates of deposit of U.S. Bank having a maturity not exceeding thirty (30) days. Nothing in this Section 2.19(k) shall either obligate the Administrative Agent to require the Borrower to deposit any funds in the Facility LC Collateral Account or limit the right of the Administrative Agent to release any funds held in the Facility LC Collateral Account in each case other than as required by Section 2.22 or Section 8.1.</w:t>
      </w:r>
    </w:p>
    <w:p>
      <w:pPr>
        <w:spacing w:after="0" w:line="235" w:lineRule="exact"/>
        <w:rPr>
          <w:sz w:val="20"/>
          <w:szCs w:val="20"/>
          <w:color w:val="auto"/>
        </w:rPr>
      </w:pPr>
    </w:p>
    <w:p>
      <w:pPr>
        <w:ind w:left="2124" w:hanging="1071"/>
        <w:spacing w:after="0"/>
        <w:tabs>
          <w:tab w:leader="none" w:pos="2124"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Rights as a Lender</w:t>
      </w:r>
      <w:r>
        <w:rPr>
          <w:rFonts w:ascii="Arial" w:cs="Arial" w:eastAsia="Arial" w:hAnsi="Arial"/>
          <w:sz w:val="19"/>
          <w:szCs w:val="19"/>
          <w:color w:val="auto"/>
        </w:rPr>
        <w:t>. In its capacity as a Lender, the LC Issuer shall have the same rights and obligations as</w:t>
      </w:r>
    </w:p>
    <w:p>
      <w:pPr>
        <w:spacing w:after="0" w:line="56" w:lineRule="exact"/>
        <w:rPr>
          <w:rFonts w:ascii="Arial" w:cs="Arial" w:eastAsia="Arial" w:hAnsi="Arial"/>
          <w:sz w:val="19"/>
          <w:szCs w:val="19"/>
          <w:color w:val="auto"/>
        </w:rPr>
      </w:pPr>
    </w:p>
    <w:p>
      <w:pPr>
        <w:ind w:left="4"/>
        <w:spacing w:after="0"/>
        <w:rPr>
          <w:rFonts w:ascii="Arial" w:cs="Arial" w:eastAsia="Arial" w:hAnsi="Arial"/>
          <w:sz w:val="19"/>
          <w:szCs w:val="19"/>
          <w:color w:val="auto"/>
        </w:rPr>
      </w:pPr>
      <w:r>
        <w:rPr>
          <w:rFonts w:ascii="Arial" w:cs="Arial" w:eastAsia="Arial" w:hAnsi="Arial"/>
          <w:sz w:val="22"/>
          <w:szCs w:val="22"/>
          <w:color w:val="auto"/>
        </w:rPr>
        <w:t>any other Lender.</w:t>
      </w:r>
    </w:p>
    <w:p>
      <w:pPr>
        <w:spacing w:after="0" w:line="282" w:lineRule="exact"/>
        <w:rPr>
          <w:rFonts w:ascii="Arial" w:cs="Arial" w:eastAsia="Arial" w:hAnsi="Arial"/>
          <w:sz w:val="19"/>
          <w:szCs w:val="19"/>
          <w:color w:val="auto"/>
        </w:rPr>
      </w:pPr>
    </w:p>
    <w:p>
      <w:pPr>
        <w:jc w:val="both"/>
        <w:ind w:left="4" w:firstLine="1049"/>
        <w:spacing w:after="0" w:line="253" w:lineRule="auto"/>
        <w:tabs>
          <w:tab w:leader="none" w:pos="2234"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Separate Reimbursement Agreement</w:t>
      </w:r>
      <w:r>
        <w:rPr>
          <w:rFonts w:ascii="Arial" w:cs="Arial" w:eastAsia="Arial" w:hAnsi="Arial"/>
          <w:sz w:val="22"/>
          <w:szCs w:val="22"/>
          <w:color w:val="auto"/>
        </w:rPr>
        <w:t>. In the event the LC Issuer enters into a separate reimbursement agreement with the Borrower covering the Facility LCs and the terms of such reimbursement agreement conflict with or contradict the terms of this Agreement, the terms of this Agreement shall control.</w:t>
      </w:r>
    </w:p>
    <w:p>
      <w:pPr>
        <w:spacing w:after="0" w:line="226" w:lineRule="exact"/>
        <w:rPr>
          <w:sz w:val="20"/>
          <w:szCs w:val="20"/>
          <w:color w:val="auto"/>
        </w:rPr>
      </w:pPr>
    </w:p>
    <w:p>
      <w:pPr>
        <w:jc w:val="both"/>
        <w:ind w:left="4" w:firstLine="1378"/>
        <w:spacing w:after="0" w:line="286" w:lineRule="auto"/>
        <w:rPr>
          <w:sz w:val="20"/>
          <w:szCs w:val="20"/>
          <w:color w:val="auto"/>
        </w:rPr>
      </w:pPr>
      <w:r>
        <w:rPr>
          <w:rFonts w:ascii="Arial" w:cs="Arial" w:eastAsia="Arial" w:hAnsi="Arial"/>
          <w:sz w:val="19"/>
          <w:szCs w:val="19"/>
          <w:color w:val="auto"/>
        </w:rPr>
        <w:t xml:space="preserve">2.20. </w:t>
      </w:r>
      <w:r>
        <w:rPr>
          <w:rFonts w:ascii="Arial" w:cs="Arial" w:eastAsia="Arial" w:hAnsi="Arial"/>
          <w:sz w:val="19"/>
          <w:szCs w:val="19"/>
          <w:u w:val="single" w:color="auto"/>
          <w:color w:val="auto"/>
        </w:rPr>
        <w:t>Replacement of Lender</w:t>
      </w:r>
      <w:r>
        <w:rPr>
          <w:rFonts w:ascii="Arial" w:cs="Arial" w:eastAsia="Arial" w:hAnsi="Arial"/>
          <w:sz w:val="19"/>
          <w:szCs w:val="19"/>
          <w:color w:val="auto"/>
        </w:rPr>
        <w:t xml:space="preserve">. If the Borrower is required pursuant to Sections 3.1, 3.2 or 3.5 to make any additional payment to any Lender or if any Lender’s obligation to make or continue, or to convert Base Rate Advances into Eurocurrency Advances shall be suspended pursuant to Section 3.3 or if any Lender defaults in its obligation to make a Loan, reimburse the LC Issuer pursuant to Section 2.19(e) or the Swing Line Lender pursuant to Section 2.4(d) or declines to approve an amendment or waiver that is approved by the Required Lenders or otherwise becomes a Defaulting Lender (any Lender so affected an “Affected Lender”), the Borrower may elect, if such amounts continue to be charged or such suspension is still effective, to replace such Affected Lender as a Lender party to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Default or Event of Default shall have occurred and be continuing at the time of such replacement,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concurrently with such replacement,</w:t>
      </w:r>
    </w:p>
    <w:p>
      <w:pPr>
        <w:spacing w:after="0" w:line="1" w:lineRule="exact"/>
        <w:rPr>
          <w:sz w:val="20"/>
          <w:szCs w:val="20"/>
          <w:color w:val="auto"/>
        </w:rPr>
      </w:pPr>
    </w:p>
    <w:p>
      <w:pPr>
        <w:jc w:val="both"/>
        <w:ind w:left="4" w:hanging="4"/>
        <w:spacing w:after="0" w:line="256" w:lineRule="auto"/>
        <w:tabs>
          <w:tab w:leader="none" w:pos="305" w:val="left"/>
        </w:tabs>
        <w:numPr>
          <w:ilvl w:val="0"/>
          <w:numId w:val="68"/>
        </w:numPr>
        <w:rPr>
          <w:rFonts w:ascii="Arial" w:cs="Arial" w:eastAsia="Arial" w:hAnsi="Arial"/>
          <w:sz w:val="21"/>
          <w:szCs w:val="21"/>
          <w:color w:val="auto"/>
        </w:rPr>
      </w:pPr>
      <w:r>
        <w:rPr>
          <w:rFonts w:ascii="Arial" w:cs="Arial" w:eastAsia="Arial" w:hAnsi="Arial"/>
          <w:sz w:val="21"/>
          <w:szCs w:val="21"/>
          <w:color w:val="auto"/>
        </w:rPr>
        <w:t>another bank or other entity which is reasonably satisfactory to the Borrower and the Administrative Agent and, to the Borrower’s and the Administrative Agent’s reasonable satisfaction, which other bank or entity does not suffer from and is not impacted by the issue or event causing the replacement of the Affected Lender, shall agree, as of such date, to purchase for cash at par the Advances and other Obligations due to the Affected Lender under this Agreement and the other Loan Documents pursuant to an assignment substantially in the form of Exhibit C and to become a Lender for all purposes under this Agreement and to assume all obligations of the Affected Lender to be terminated as of such date and to comply with the requirements of Section 12.3 applicable to assignments, and (ii) the Borrower shall pay to such Affected Lender in same day funds on the day of such replacement (A) all interest, fees and other amounts then accrued but unpaid to such Affected Lender by the Borrower hereunder to and including the date of termination, including without limitation payments due to such Affected Lender under Sections 3.1, 3.2, 3.4 and 3.5, and (B) an amount, if any, equal to the payment which would have been due to such Lender on the day of such replacement under Section 3.4 had the Loans of such Affected Lender been prepaid on such date rather than sold to the replacement Lender.</w:t>
      </w:r>
    </w:p>
    <w:p>
      <w:pPr>
        <w:spacing w:after="0" w:line="227" w:lineRule="exact"/>
        <w:rPr>
          <w:sz w:val="20"/>
          <w:szCs w:val="20"/>
          <w:color w:val="auto"/>
        </w:rPr>
      </w:pPr>
    </w:p>
    <w:p>
      <w:pPr>
        <w:jc w:val="both"/>
        <w:ind w:left="4" w:firstLine="1378"/>
        <w:spacing w:after="0" w:line="320" w:lineRule="auto"/>
        <w:rPr>
          <w:sz w:val="20"/>
          <w:szCs w:val="20"/>
          <w:color w:val="auto"/>
        </w:rPr>
      </w:pPr>
      <w:r>
        <w:rPr>
          <w:rFonts w:ascii="Arial" w:cs="Arial" w:eastAsia="Arial" w:hAnsi="Arial"/>
          <w:sz w:val="19"/>
          <w:szCs w:val="19"/>
          <w:color w:val="auto"/>
        </w:rPr>
        <w:t xml:space="preserve">2.21. </w:t>
      </w:r>
      <w:r>
        <w:rPr>
          <w:rFonts w:ascii="Arial" w:cs="Arial" w:eastAsia="Arial" w:hAnsi="Arial"/>
          <w:sz w:val="19"/>
          <w:szCs w:val="19"/>
          <w:u w:val="single" w:color="auto"/>
          <w:color w:val="auto"/>
        </w:rPr>
        <w:t>Limitation of Interest</w:t>
      </w:r>
      <w:r>
        <w:rPr>
          <w:rFonts w:ascii="Arial" w:cs="Arial" w:eastAsia="Arial" w:hAnsi="Arial"/>
          <w:sz w:val="19"/>
          <w:szCs w:val="19"/>
          <w:color w:val="auto"/>
        </w:rPr>
        <w:t>. The Borrower, the Administrative Agent and the Lenders intend to strictly comply with all applicable laws, including applicable usury laws. Accordingly, the provisions of this Section 2.21 shall govern and control over every other provision of this Agreement or any other Loan Document which conflicts or is inconsistent with this Section</w:t>
      </w:r>
    </w:p>
    <w:p>
      <w:pPr>
        <w:spacing w:after="0" w:line="133"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04"/>
          </w:cols>
          <w:pgMar w:left="356" w:top="374" w:right="239" w:bottom="1440" w:gutter="0" w:footer="0" w:header="0"/>
        </w:sectPr>
      </w:pPr>
    </w:p>
    <w:bookmarkStart w:id="152" w:name="page153"/>
    <w:bookmarkEnd w:id="152"/>
    <w:p>
      <w:pPr>
        <w:jc w:val="both"/>
        <w:ind w:left="40"/>
        <w:spacing w:after="0" w:line="290" w:lineRule="auto"/>
        <w:rPr>
          <w:sz w:val="20"/>
          <w:szCs w:val="20"/>
          <w:color w:val="auto"/>
        </w:rPr>
      </w:pPr>
      <w:r>
        <w:rPr>
          <w:rFonts w:ascii="Arial" w:cs="Arial" w:eastAsia="Arial" w:hAnsi="Arial"/>
          <w:sz w:val="19"/>
          <w:szCs w:val="19"/>
          <w:color w:val="auto"/>
        </w:rPr>
        <w:t xml:space="preserve">2.21, even if such provision declares that it controls. As used in this Section 2.21, the term “interest” includes the aggregate of all charges, fees, benefits or other compensation which constitute interest under applicable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maximum extent permitted by applicable law, (a) any non-principal payment shall be characterized as an expense or as compensation for something other than the use, forbearance or detention of money and not as interest, and (b) all interest at any time contracted for, reserved, charged or received shall be amortized, prorated, allocated and spread, in equal parts during the full term of this Agreement. In no event shall the Borrower or any other Person be obligated to pay, or any Lender have any right or privilege to reserve, receive or retain, (a) any interest in excess of the maximum amount of nonusurious interest permitted under the applicable laws (if any) of the United States or of any applicable state, or (b) total interest in excess of the amount which such Lender could lawfully</w:t>
      </w:r>
    </w:p>
    <w:p>
      <w:pPr>
        <w:spacing w:after="0" w:line="238"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 xml:space="preserve">have contracted for, reserved, received, retained or charged had the interest been calculated for the full term of this Agreement at the Highest Lawful Rate. On each day, if any, that the interest rate (the “Stated Rate”) called for under this Agreement or any other Loan Document exceeds the Highest Lawful Rate, the rate at which interest shall accrue shall automatically be fixed by operation of this sentence at the Highest Lawful Rate for that day, and shall remain fixed at the Highest Lawful Rate for each day thereafter until the total amount of interest accrued equals the total amount of interest which would have accrued if there were no such ceiling rate as is imposed by this sentence. Thereafter, interest shall accrue at the Stated Rate unless and until the Stated Rate again exceeds the Highest Lawful Rate when the provisions of the immediately preceding sentence shall again automatically operate to limit the interest accrual rate. The daily interest rates to be used in calculating interest at the Highest Lawful Rate shall be determined by dividing the applicable Highest Lawful Rate per annum by the number of days in the calendar year for which such calculation is being made. None of the terms and provisions contained in this Agreement or in any other Loan Document which directly or indirectly relate to interest shall ever be construed without reference to this Section 2.21, or be construed to create a contract to pay for the use, forbearance or detention of money at an interest rate in excess of the Highest Lawful Rate. If the term of any Loan or any other Obligation outstanding hereunder or under the other Loan Documents is shortened by reason of acceleration of maturity as a result of any Event of Default or by any other cause, or by reason of any required or permitted prepayment, and if for that (or any other) reason any Lender at any time, including but not limited to, the stated maturity, is owed or receives (and/or has received) interest in excess of interest calculated at the Highest Lawful Rate, then and in any such event all of any such excess interest shall be canceled automatically as of the date of such acceleration, prepayment or other event which produces the excess, and, if such excess interest has been paid to such Lender, it shall be credited </w:t>
      </w:r>
      <w:r>
        <w:rPr>
          <w:rFonts w:ascii="Arial" w:cs="Arial" w:eastAsia="Arial" w:hAnsi="Arial"/>
          <w:sz w:val="19"/>
          <w:szCs w:val="19"/>
          <w:i w:val="1"/>
          <w:iCs w:val="1"/>
          <w:color w:val="auto"/>
        </w:rPr>
        <w:t>pro tanto</w:t>
      </w:r>
      <w:r>
        <w:rPr>
          <w:rFonts w:ascii="Arial" w:cs="Arial" w:eastAsia="Arial" w:hAnsi="Arial"/>
          <w:sz w:val="19"/>
          <w:szCs w:val="19"/>
          <w:color w:val="auto"/>
        </w:rPr>
        <w:t xml:space="preserve"> against the then-outstanding principal balance of the Borrower’s Obligations to such Lender, effective as of the date or dates when the event occurs which causes it to be excess interest, until such excess is exhausted or all of such principal has been fully paid and satisfied, whichever occurs first, and any remaining balance of such excess shall be promptly refunded to its payor.</w:t>
      </w:r>
    </w:p>
    <w:p>
      <w:pPr>
        <w:spacing w:after="0" w:line="200" w:lineRule="exact"/>
        <w:rPr>
          <w:sz w:val="20"/>
          <w:szCs w:val="20"/>
          <w:color w:val="auto"/>
        </w:rPr>
      </w:pPr>
    </w:p>
    <w:p>
      <w:pPr>
        <w:spacing w:after="0" w:line="256"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 xml:space="preserve">2.22. </w:t>
      </w:r>
      <w:r>
        <w:rPr>
          <w:rFonts w:ascii="Arial" w:cs="Arial" w:eastAsia="Arial" w:hAnsi="Arial"/>
          <w:sz w:val="22"/>
          <w:szCs w:val="22"/>
          <w:u w:val="single" w:color="auto"/>
          <w:color w:val="auto"/>
        </w:rPr>
        <w:t>Defaulting Lenders</w:t>
      </w:r>
      <w:r>
        <w:rPr>
          <w:rFonts w:ascii="Arial" w:cs="Arial" w:eastAsia="Arial" w:hAnsi="Arial"/>
          <w:sz w:val="22"/>
          <w:szCs w:val="22"/>
          <w:color w:val="auto"/>
        </w:rPr>
        <w:t>.</w:t>
      </w:r>
    </w:p>
    <w:p>
      <w:pPr>
        <w:spacing w:after="0" w:line="233" w:lineRule="exact"/>
        <w:rPr>
          <w:sz w:val="20"/>
          <w:szCs w:val="20"/>
          <w:color w:val="auto"/>
        </w:rPr>
      </w:pPr>
    </w:p>
    <w:p>
      <w:pPr>
        <w:jc w:val="both"/>
        <w:ind w:firstLine="1062"/>
        <w:spacing w:after="0" w:line="253" w:lineRule="auto"/>
        <w:tabs>
          <w:tab w:leader="none" w:pos="2158"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Defaulting Lender Adjustments</w:t>
      </w:r>
      <w:r>
        <w:rPr>
          <w:rFonts w:ascii="Arial" w:cs="Arial" w:eastAsia="Arial" w:hAnsi="Arial"/>
          <w:sz w:val="22"/>
          <w:szCs w:val="22"/>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226" w:lineRule="exact"/>
        <w:rPr>
          <w:sz w:val="20"/>
          <w:szCs w:val="20"/>
          <w:color w:val="auto"/>
        </w:rPr>
      </w:pPr>
    </w:p>
    <w:p>
      <w:pPr>
        <w:ind w:left="2600" w:right="20" w:hanging="646"/>
        <w:spacing w:after="0" w:line="263" w:lineRule="auto"/>
        <w:tabs>
          <w:tab w:leader="none" w:pos="2582"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Waivers and Amendments</w:t>
      </w:r>
      <w:r>
        <w:rPr>
          <w:rFonts w:ascii="Arial" w:cs="Arial" w:eastAsia="Arial" w:hAnsi="Arial"/>
          <w:sz w:val="22"/>
          <w:szCs w:val="22"/>
          <w:color w:val="auto"/>
        </w:rPr>
        <w:t>.Such Defaulting Lender’s right to approve or disapprove any amendment, waiver or consent with</w:t>
      </w:r>
    </w:p>
    <w:p>
      <w:pPr>
        <w:spacing w:after="0" w:line="18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320" w:top="375" w:right="239" w:bottom="1440" w:gutter="0" w:footer="0" w:header="0"/>
        </w:sectPr>
      </w:pPr>
    </w:p>
    <w:bookmarkStart w:id="153" w:name="page154"/>
    <w:bookmarkEnd w:id="153"/>
    <w:p>
      <w:pPr>
        <w:ind w:left="1480"/>
        <w:spacing w:after="0"/>
        <w:rPr>
          <w:sz w:val="20"/>
          <w:szCs w:val="20"/>
          <w:color w:val="auto"/>
        </w:rPr>
      </w:pPr>
      <w:r>
        <w:rPr>
          <w:rFonts w:ascii="Arial" w:cs="Arial" w:eastAsia="Arial" w:hAnsi="Arial"/>
          <w:sz w:val="21"/>
          <w:szCs w:val="21"/>
          <w:color w:val="auto"/>
        </w:rPr>
        <w:t>respect to this Agreement shall be restricted as set forth in the definition of Required Lenders.</w:t>
      </w:r>
    </w:p>
    <w:p>
      <w:pPr>
        <w:spacing w:after="0" w:line="272" w:lineRule="exact"/>
        <w:rPr>
          <w:sz w:val="20"/>
          <w:szCs w:val="20"/>
          <w:color w:val="auto"/>
        </w:rPr>
      </w:pPr>
    </w:p>
    <w:p>
      <w:pPr>
        <w:jc w:val="both"/>
        <w:ind w:left="1480" w:hanging="646"/>
        <w:spacing w:after="0" w:line="263" w:lineRule="auto"/>
        <w:tabs>
          <w:tab w:leader="none" w:pos="1462"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Defaulting Lender Waterfall</w:t>
      </w:r>
      <w:r>
        <w:rPr>
          <w:rFonts w:ascii="Arial" w:cs="Arial" w:eastAsia="Arial" w:hAnsi="Arial"/>
          <w:sz w:val="21"/>
          <w:szCs w:val="21"/>
          <w:color w:val="auto"/>
        </w:rPr>
        <w:t xml:space="preserve">. Any payment of principal, interest, fees or other amounts received by the Administrative Agent for the account of such Defaulting Lender (whether voluntary or mandatory, at maturity, pursuant to Article VII or otherwise) or received by the Administrative Agent from a Defaulting Lender pursuant to Section 11.1 shall be applied at such time or times as may be determined by the Administrative Agent as follows: </w:t>
      </w:r>
      <w:r>
        <w:rPr>
          <w:rFonts w:ascii="Arial" w:cs="Arial" w:eastAsia="Arial" w:hAnsi="Arial"/>
          <w:sz w:val="21"/>
          <w:szCs w:val="21"/>
          <w:i w:val="1"/>
          <w:iCs w:val="1"/>
          <w:color w:val="auto"/>
        </w:rPr>
        <w:t>first</w:t>
      </w:r>
      <w:r>
        <w:rPr>
          <w:rFonts w:ascii="Arial" w:cs="Arial" w:eastAsia="Arial" w:hAnsi="Arial"/>
          <w:sz w:val="21"/>
          <w:szCs w:val="21"/>
          <w:color w:val="auto"/>
        </w:rPr>
        <w:t>,</w:t>
      </w:r>
    </w:p>
    <w:p>
      <w:pPr>
        <w:spacing w:after="0" w:line="257" w:lineRule="exact"/>
        <w:rPr>
          <w:sz w:val="20"/>
          <w:szCs w:val="20"/>
          <w:color w:val="auto"/>
        </w:rPr>
      </w:pPr>
    </w:p>
    <w:p>
      <w:pPr>
        <w:jc w:val="both"/>
        <w:ind w:left="1140"/>
        <w:spacing w:after="0" w:line="284" w:lineRule="auto"/>
        <w:rPr>
          <w:sz w:val="20"/>
          <w:szCs w:val="20"/>
          <w:color w:val="auto"/>
        </w:rPr>
      </w:pPr>
      <w:r>
        <w:rPr>
          <w:rFonts w:ascii="Arial" w:cs="Arial" w:eastAsia="Arial" w:hAnsi="Arial"/>
          <w:sz w:val="19"/>
          <w:szCs w:val="19"/>
          <w:color w:val="auto"/>
        </w:rPr>
        <w:t xml:space="preserve">to the payment of any amounts owing by such Defaulting Lender to the Administrative Agent hereunder; </w:t>
      </w:r>
      <w:r>
        <w:rPr>
          <w:rFonts w:ascii="Arial" w:cs="Arial" w:eastAsia="Arial" w:hAnsi="Arial"/>
          <w:sz w:val="19"/>
          <w:szCs w:val="19"/>
          <w:i w:val="1"/>
          <w:iCs w:val="1"/>
          <w:color w:val="auto"/>
        </w:rPr>
        <w:t>second</w:t>
      </w:r>
      <w:r>
        <w:rPr>
          <w:rFonts w:ascii="Arial" w:cs="Arial" w:eastAsia="Arial" w:hAnsi="Arial"/>
          <w:sz w:val="19"/>
          <w:szCs w:val="19"/>
          <w:color w:val="auto"/>
        </w:rPr>
        <w:t xml:space="preserve">, to the payment on a pro rata basis of any amounts owing by such Defaulting Lender to the LC Issuer and Swing Line Lender hereunder; </w:t>
      </w:r>
      <w:r>
        <w:rPr>
          <w:rFonts w:ascii="Arial" w:cs="Arial" w:eastAsia="Arial" w:hAnsi="Arial"/>
          <w:sz w:val="19"/>
          <w:szCs w:val="19"/>
          <w:i w:val="1"/>
          <w:iCs w:val="1"/>
          <w:color w:val="auto"/>
        </w:rPr>
        <w:t>third</w:t>
      </w:r>
      <w:r>
        <w:rPr>
          <w:rFonts w:ascii="Arial" w:cs="Arial" w:eastAsia="Arial" w:hAnsi="Arial"/>
          <w:sz w:val="19"/>
          <w:szCs w:val="19"/>
          <w:color w:val="auto"/>
        </w:rPr>
        <w:t xml:space="preserve">, to Cash Collateralize the LC Issuer’s Fronting Exposure with respect to such Defaulting Lender in accordance with Section 2.22(d); </w:t>
      </w:r>
      <w:r>
        <w:rPr>
          <w:rFonts w:ascii="Arial" w:cs="Arial" w:eastAsia="Arial" w:hAnsi="Arial"/>
          <w:sz w:val="19"/>
          <w:szCs w:val="19"/>
          <w:i w:val="1"/>
          <w:iCs w:val="1"/>
          <w:color w:val="auto"/>
        </w:rPr>
        <w:t>fourth</w:t>
      </w:r>
      <w:r>
        <w:rPr>
          <w:rFonts w:ascii="Arial" w:cs="Arial" w:eastAsia="Arial" w:hAnsi="Arial"/>
          <w:sz w:val="19"/>
          <w:szCs w:val="19"/>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9"/>
          <w:szCs w:val="19"/>
          <w:i w:val="1"/>
          <w:iCs w:val="1"/>
          <w:color w:val="auto"/>
        </w:rPr>
        <w:t>fifth</w:t>
      </w:r>
      <w:r>
        <w:rPr>
          <w:rFonts w:ascii="Arial" w:cs="Arial" w:eastAsia="Arial" w:hAnsi="Arial"/>
          <w:sz w:val="19"/>
          <w:szCs w:val="19"/>
          <w:color w:val="auto"/>
        </w:rPr>
        <w:t xml:space="preserve">, if so determined by the Administrative Agent and the Borrower, to be held in a deposit account (including the Facility LC Collateral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Facility LCs issued under this Agreement, in accordance with Section 2.22(d); </w:t>
      </w:r>
      <w:r>
        <w:rPr>
          <w:rFonts w:ascii="Arial" w:cs="Arial" w:eastAsia="Arial" w:hAnsi="Arial"/>
          <w:sz w:val="19"/>
          <w:szCs w:val="19"/>
          <w:i w:val="1"/>
          <w:iCs w:val="1"/>
          <w:color w:val="auto"/>
        </w:rPr>
        <w:t>sixth</w:t>
      </w:r>
      <w:r>
        <w:rPr>
          <w:rFonts w:ascii="Arial" w:cs="Arial" w:eastAsia="Arial" w:hAnsi="Arial"/>
          <w:sz w:val="19"/>
          <w:szCs w:val="19"/>
          <w:color w:val="auto"/>
        </w:rPr>
        <w:t xml:space="preserve">, to the payment of any amounts owing to the Lenders, the LC Issuer or Swing Line Lender as a result of any judgment of a court of competent jurisdiction obtained by any Lender, the LC Issuer or Swing Line Lender against such Defaulting Lender as a result of such Defaulting Lender’s breach of its obligations under this Agreement; </w:t>
      </w:r>
      <w:r>
        <w:rPr>
          <w:rFonts w:ascii="Arial" w:cs="Arial" w:eastAsia="Arial" w:hAnsi="Arial"/>
          <w:sz w:val="19"/>
          <w:szCs w:val="19"/>
          <w:i w:val="1"/>
          <w:iCs w:val="1"/>
          <w:color w:val="auto"/>
        </w:rPr>
        <w:t>seventh</w:t>
      </w:r>
      <w:r>
        <w:rPr>
          <w:rFonts w:ascii="Arial" w:cs="Arial" w:eastAsia="Arial" w:hAnsi="Arial"/>
          <w:sz w:val="19"/>
          <w:szCs w:val="19"/>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w:t>
      </w:r>
      <w:r>
        <w:rPr>
          <w:rFonts w:ascii="Arial" w:cs="Arial" w:eastAsia="Arial" w:hAnsi="Arial"/>
          <w:sz w:val="19"/>
          <w:szCs w:val="19"/>
          <w:i w:val="1"/>
          <w:iCs w:val="1"/>
          <w:color w:val="auto"/>
        </w:rPr>
        <w:t>eighth</w:t>
      </w:r>
      <w:r>
        <w:rPr>
          <w:rFonts w:ascii="Arial" w:cs="Arial" w:eastAsia="Arial" w:hAnsi="Arial"/>
          <w:sz w:val="19"/>
          <w:szCs w:val="19"/>
          <w:color w:val="auto"/>
        </w:rPr>
        <w:t xml:space="preserve">, if so determined by the Administrative Agent, distributed to the Lenders other than the Defaulting Lender until the ratio of the Revolving Exposure of such Lenders to the Aggregate Revolving Exposures of all Revolving Lenders equals such ratio immediately prior to the Defaulting Lender’s failure to fund any portion of any Loans or participations in Facility LCs or Swing Line Loans; and </w:t>
      </w:r>
      <w:r>
        <w:rPr>
          <w:rFonts w:ascii="Arial" w:cs="Arial" w:eastAsia="Arial" w:hAnsi="Arial"/>
          <w:sz w:val="19"/>
          <w:szCs w:val="19"/>
          <w:i w:val="1"/>
          <w:iCs w:val="1"/>
          <w:color w:val="auto"/>
        </w:rPr>
        <w:t>ninth</w:t>
      </w:r>
      <w:r>
        <w:rPr>
          <w:rFonts w:ascii="Arial" w:cs="Arial" w:eastAsia="Arial" w:hAnsi="Arial"/>
          <w:sz w:val="19"/>
          <w:szCs w:val="19"/>
          <w:color w:val="auto"/>
        </w:rPr>
        <w:t xml:space="preserve">, to such Defaulting Lender or as otherwise directed by a court of competent jurisdiction;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if (x) such payment is a payment of the principal amount of any Loans or Facility LC</w:t>
      </w:r>
      <w:r>
        <w:rPr>
          <w:rFonts w:ascii="Arial" w:cs="Arial" w:eastAsia="Arial" w:hAnsi="Arial"/>
          <w:sz w:val="19"/>
          <w:szCs w:val="19"/>
          <w:i w:val="1"/>
          <w:iCs w:val="1"/>
          <w:color w:val="auto"/>
        </w:rPr>
        <w:t xml:space="preserve"> </w:t>
      </w:r>
      <w:r>
        <w:rPr>
          <w:rFonts w:ascii="Arial" w:cs="Arial" w:eastAsia="Arial" w:hAnsi="Arial"/>
          <w:sz w:val="19"/>
          <w:szCs w:val="19"/>
          <w:color w:val="auto"/>
        </w:rPr>
        <w:t>issuances in respect of which such Defaulting Lender has not fully funded its appropriate share, and (y) such Loans were made or the</w:t>
      </w:r>
    </w:p>
    <w:p>
      <w:pPr>
        <w:spacing w:after="0" w:line="200" w:lineRule="exact"/>
        <w:rPr>
          <w:sz w:val="20"/>
          <w:szCs w:val="20"/>
          <w:color w:val="auto"/>
        </w:rPr>
      </w:pP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220"/>
          </w:cols>
          <w:pgMar w:left="1440" w:top="375" w:right="239" w:bottom="1440" w:gutter="0" w:footer="0" w:header="0"/>
        </w:sectPr>
      </w:pPr>
    </w:p>
    <w:bookmarkStart w:id="154" w:name="page155"/>
    <w:bookmarkEnd w:id="154"/>
    <w:p>
      <w:pPr>
        <w:jc w:val="both"/>
        <w:ind w:left="1140"/>
        <w:spacing w:after="0" w:line="284" w:lineRule="auto"/>
        <w:rPr>
          <w:sz w:val="20"/>
          <w:szCs w:val="20"/>
          <w:color w:val="auto"/>
        </w:rPr>
      </w:pPr>
      <w:r>
        <w:rPr>
          <w:rFonts w:ascii="Arial" w:cs="Arial" w:eastAsia="Arial" w:hAnsi="Arial"/>
          <w:sz w:val="19"/>
          <w:szCs w:val="19"/>
          <w:color w:val="auto"/>
        </w:rPr>
        <w:t>related Facility LCs were issued at a time when the conditions set forth in Section 4.2 were satisfied or waived, such payment shall be applied solely to pay the Credit Extensions of all Non-Defaulting Lenders on a pro rata basis prior to being applied to the payment of any Credit Extensions of such Defaulting Lender until such time as all Loans and funded and unfunded participations in LC Obligations and Swing Line Loans are held by the Lenders pro rata in accordance with the Revolving Commitments without giving effect to Section 2.22(a)(iv). Any payments, prepayments or other amounts paid or payable to a Defaulting Lender that are applied (or held) to pay amounts owed by a Defaulting Lender or to post Cash Collateral pursuant to this Section 2.22(a)(ii) shall be deemed paid to and redirected by such Defaulting Lender, and each Lender irrevocably consents hereto.</w:t>
      </w:r>
    </w:p>
    <w:p>
      <w:pPr>
        <w:jc w:val="both"/>
        <w:ind w:left="1480" w:hanging="646"/>
        <w:spacing w:after="0" w:line="244" w:lineRule="auto"/>
        <w:tabs>
          <w:tab w:leader="none" w:pos="1462"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Certain Fees</w:t>
      </w:r>
      <w:r>
        <w:rPr>
          <w:rFonts w:ascii="Arial" w:cs="Arial" w:eastAsia="Arial" w:hAnsi="Arial"/>
          <w:sz w:val="22"/>
          <w:szCs w:val="22"/>
          <w:color w:val="auto"/>
        </w:rPr>
        <w:t>. Each Defaulting Lender shall be entitled to receive LC Fees for any period during which that Lender is a Defaulting Lender only to the extent allocable to its ratable share of the commitment to fund the stated amount of Facility LCs. LC Fees shall be reallocated among the Lenders to the extent that the Lenders’ commitment to fund the stated amount of Facility LCs is reallocated.</w:t>
      </w:r>
    </w:p>
    <w:p>
      <w:pPr>
        <w:spacing w:after="0" w:line="235" w:lineRule="exact"/>
        <w:rPr>
          <w:rFonts w:ascii="Arial" w:cs="Arial" w:eastAsia="Arial" w:hAnsi="Arial"/>
          <w:sz w:val="22"/>
          <w:szCs w:val="22"/>
          <w:color w:val="auto"/>
        </w:rPr>
      </w:pPr>
    </w:p>
    <w:p>
      <w:pPr>
        <w:jc w:val="both"/>
        <w:ind w:left="1480" w:hanging="646"/>
        <w:spacing w:after="0" w:line="257" w:lineRule="auto"/>
        <w:tabs>
          <w:tab w:leader="none" w:pos="1462"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Reallocation of Participations to Reduce Fronting Exposure</w:t>
      </w:r>
      <w:r>
        <w:rPr>
          <w:rFonts w:ascii="Arial" w:cs="Arial" w:eastAsia="Arial" w:hAnsi="Arial"/>
          <w:sz w:val="21"/>
          <w:szCs w:val="21"/>
          <w:color w:val="auto"/>
        </w:rPr>
        <w:t>. All or any part of such Defaulting Lender’s participation in LC Obligations and Swing Line Loans shall be reallocated among the Non-Defaulting Lenders in accordance with their respective Pro Rata Shares (calculated without regard to such Defaulting Lender’s Revolving Commitment) but only to the extent that (x) the conditions set forth in Section 4.2 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aggregate Revolving Exposure of any Non-Defaulting Lender to exceed such Non-Defaulting Lender’s Revolving Commitment. Subject to Section 9.15,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230" w:lineRule="exact"/>
        <w:rPr>
          <w:rFonts w:ascii="Arial" w:cs="Arial" w:eastAsia="Arial" w:hAnsi="Arial"/>
          <w:sz w:val="21"/>
          <w:szCs w:val="21"/>
          <w:color w:val="auto"/>
        </w:rPr>
      </w:pPr>
    </w:p>
    <w:p>
      <w:pPr>
        <w:jc w:val="both"/>
        <w:ind w:left="1480" w:hanging="646"/>
        <w:spacing w:after="0" w:line="297" w:lineRule="auto"/>
        <w:tabs>
          <w:tab w:leader="none" w:pos="1462"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Cash Collateral, Repayment of Swing Line Loans</w:t>
      </w:r>
      <w:r>
        <w:rPr>
          <w:rFonts w:ascii="Arial" w:cs="Arial" w:eastAsia="Arial" w:hAnsi="Arial"/>
          <w:sz w:val="19"/>
          <w:szCs w:val="19"/>
          <w:color w:val="auto"/>
        </w:rPr>
        <w:t>. If the reallocation described in clause (iv) above cannot, or can only partially, be effected, the Borrower shall, without prejudice to any right or remedy available to it hereunder or under law, (x) first, prepay Swing Line Loans in an amount equal to the Swing Line Lender’s Fronting Exposure and (y) second, Cash Collateralize the LC Issuer’s Fronting Exposure in accordance with the procedures set forth in Section 2.22(d).</w:t>
      </w:r>
    </w:p>
    <w:p>
      <w:pPr>
        <w:spacing w:after="0" w:line="200" w:lineRule="exact"/>
        <w:rPr>
          <w:sz w:val="20"/>
          <w:szCs w:val="20"/>
          <w:color w:val="auto"/>
        </w:rPr>
      </w:pP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220"/>
          </w:cols>
          <w:pgMar w:left="1440" w:top="442" w:right="239" w:bottom="1440" w:gutter="0" w:footer="0" w:header="0"/>
        </w:sectPr>
      </w:pPr>
    </w:p>
    <w:bookmarkStart w:id="155" w:name="page156"/>
    <w:bookmarkEnd w:id="155"/>
    <w:p>
      <w:pPr>
        <w:ind w:right="240" w:firstLine="1062"/>
        <w:spacing w:after="0" w:line="263" w:lineRule="auto"/>
        <w:tabs>
          <w:tab w:leader="none" w:pos="217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Defaulting Lender Cure</w:t>
      </w:r>
      <w:r>
        <w:rPr>
          <w:rFonts w:ascii="Arial" w:cs="Arial" w:eastAsia="Arial" w:hAnsi="Arial"/>
          <w:sz w:val="22"/>
          <w:szCs w:val="22"/>
          <w:color w:val="auto"/>
        </w:rPr>
        <w:t>. If the Borrower, the Administrative Agent, the Swing Line Lender and the LC Issuer agree in writing that a Lender is no longer a Defaulting</w:t>
      </w:r>
    </w:p>
    <w:p>
      <w:pPr>
        <w:spacing w:after="0" w:line="256" w:lineRule="exact"/>
        <w:rPr>
          <w:sz w:val="20"/>
          <w:szCs w:val="20"/>
          <w:color w:val="auto"/>
        </w:rPr>
      </w:pPr>
    </w:p>
    <w:p>
      <w:pPr>
        <w:jc w:val="both"/>
        <w:ind w:left="40"/>
        <w:spacing w:after="0" w:line="288" w:lineRule="auto"/>
        <w:rPr>
          <w:sz w:val="20"/>
          <w:szCs w:val="20"/>
          <w:color w:val="auto"/>
        </w:rPr>
      </w:pPr>
      <w:r>
        <w:rPr>
          <w:rFonts w:ascii="Arial" w:cs="Arial" w:eastAsia="Arial" w:hAnsi="Arial"/>
          <w:sz w:val="19"/>
          <w:szCs w:val="19"/>
          <w:color w:val="auto"/>
        </w:rPr>
        <w:t xml:space="preserve">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Facility LCs and Swing Line Loans to be held pro rata by the Lenders in accordance with the Revolving Commitments (without giving effect to Section 2.22(a)(iv)), whereupon such Lender will cease to be a Defaulting Lender;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01" w:lineRule="exact"/>
        <w:rPr>
          <w:sz w:val="20"/>
          <w:szCs w:val="20"/>
          <w:color w:val="auto"/>
        </w:rPr>
      </w:pPr>
    </w:p>
    <w:p>
      <w:pPr>
        <w:jc w:val="both"/>
        <w:ind w:left="40" w:right="20" w:firstLine="1049"/>
        <w:spacing w:after="0" w:line="265" w:lineRule="auto"/>
        <w:tabs>
          <w:tab w:leader="none" w:pos="2211"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New Swing Line Loans/Facility LCs</w:t>
      </w:r>
      <w:r>
        <w:rPr>
          <w:rFonts w:ascii="Arial" w:cs="Arial" w:eastAsia="Arial" w:hAnsi="Arial"/>
          <w:sz w:val="21"/>
          <w:szCs w:val="21"/>
          <w:color w:val="auto"/>
        </w:rPr>
        <w:t>. So long as any Lender is a Defaulting Lender, (i) the Swing Line Lender shall not be required to fund any Swing Line Loans unless it is satisfied that it will have no Fronting Exposure after giving effect to such Swing Line Loan and (ii) the LC Issuer shall not be required to issue, extend, renew or increase any Facility LC unless it is satisfied that it will have no Fronting Exposure after giving effect thereto.</w:t>
      </w:r>
    </w:p>
    <w:p>
      <w:pPr>
        <w:spacing w:after="0" w:line="216" w:lineRule="exact"/>
        <w:rPr>
          <w:rFonts w:ascii="Arial" w:cs="Arial" w:eastAsia="Arial" w:hAnsi="Arial"/>
          <w:sz w:val="21"/>
          <w:szCs w:val="21"/>
          <w:color w:val="auto"/>
        </w:rPr>
      </w:pPr>
    </w:p>
    <w:p>
      <w:pPr>
        <w:jc w:val="both"/>
        <w:ind w:left="40" w:firstLine="1049"/>
        <w:spacing w:after="0" w:line="248" w:lineRule="auto"/>
        <w:tabs>
          <w:tab w:leader="none" w:pos="2223"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Cash Collateral</w:t>
      </w:r>
      <w:r>
        <w:rPr>
          <w:rFonts w:ascii="Arial" w:cs="Arial" w:eastAsia="Arial" w:hAnsi="Arial"/>
          <w:sz w:val="22"/>
          <w:szCs w:val="22"/>
          <w:color w:val="auto"/>
        </w:rPr>
        <w:t>. At any time that there shall exist a Defaulting Lender, within one (1) Business Day following the written request of the Administrative Agent or the LC Issuer (with a copy to the Administrative Agent) the Borrower shall Cash Collateralize the LC Issuer’s Fronting Exposure with respect to such Defaulting Lender (determined after giving effect to Section 2.22(a)(iv) and any Cash Collateral provided by such Defaulting Lender) in an amount not less than the Minimum Collateral Amount.</w:t>
      </w:r>
    </w:p>
    <w:p>
      <w:pPr>
        <w:spacing w:after="0" w:line="232" w:lineRule="exact"/>
        <w:rPr>
          <w:rFonts w:ascii="Arial" w:cs="Arial" w:eastAsia="Arial" w:hAnsi="Arial"/>
          <w:sz w:val="22"/>
          <w:szCs w:val="22"/>
          <w:color w:val="auto"/>
        </w:rPr>
      </w:pPr>
    </w:p>
    <w:p>
      <w:pPr>
        <w:jc w:val="both"/>
        <w:ind w:left="2620" w:hanging="639"/>
        <w:spacing w:after="0" w:line="258" w:lineRule="auto"/>
        <w:tabs>
          <w:tab w:leader="none" w:pos="2602" w:val="left"/>
        </w:tabs>
        <w:numPr>
          <w:ilvl w:val="1"/>
          <w:numId w:val="74"/>
        </w:numPr>
        <w:rPr>
          <w:rFonts w:ascii="Arial" w:cs="Arial" w:eastAsia="Arial" w:hAnsi="Arial"/>
          <w:sz w:val="21"/>
          <w:szCs w:val="21"/>
          <w:color w:val="auto"/>
        </w:rPr>
      </w:pPr>
      <w:r>
        <w:rPr>
          <w:rFonts w:ascii="Arial" w:cs="Arial" w:eastAsia="Arial" w:hAnsi="Arial"/>
          <w:sz w:val="21"/>
          <w:szCs w:val="21"/>
          <w:u w:val="single" w:color="auto"/>
          <w:color w:val="auto"/>
        </w:rPr>
        <w:t>Grant of Security Interest</w:t>
      </w:r>
      <w:r>
        <w:rPr>
          <w:rFonts w:ascii="Arial" w:cs="Arial" w:eastAsia="Arial" w:hAnsi="Arial"/>
          <w:sz w:val="21"/>
          <w:szCs w:val="21"/>
          <w:color w:val="auto"/>
        </w:rPr>
        <w:t>. The Borrower, and to the extent provided by any Defaulting Lender, such Defaulting Lender, hereby grants to the Administrative Agent, for the benefit of the LC Issuer, and agrees to maintain, a first priority security interest in all such Cash Collateral as security for the Defaulting Lender’s obligation to fund participations in respect of LC Obligations, to be applied pursuant to clause (ii) below. If at any time the Administrative Agent determines that Cash Collateral is subject to any right or claim of any Person other than the Administrative Agent and the LC Issuer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223" w:lineRule="exact"/>
        <w:rPr>
          <w:rFonts w:ascii="Arial" w:cs="Arial" w:eastAsia="Arial" w:hAnsi="Arial"/>
          <w:sz w:val="21"/>
          <w:szCs w:val="21"/>
          <w:color w:val="auto"/>
        </w:rPr>
      </w:pPr>
    </w:p>
    <w:p>
      <w:pPr>
        <w:ind w:left="2620" w:hanging="639"/>
        <w:spacing w:after="0" w:line="263" w:lineRule="auto"/>
        <w:tabs>
          <w:tab w:leader="none" w:pos="2602" w:val="left"/>
        </w:tabs>
        <w:numPr>
          <w:ilvl w:val="1"/>
          <w:numId w:val="74"/>
        </w:numPr>
        <w:rPr>
          <w:rFonts w:ascii="Arial" w:cs="Arial" w:eastAsia="Arial" w:hAnsi="Arial"/>
          <w:sz w:val="22"/>
          <w:szCs w:val="22"/>
          <w:color w:val="auto"/>
        </w:rPr>
      </w:pPr>
      <w:r>
        <w:rPr>
          <w:rFonts w:ascii="Arial" w:cs="Arial" w:eastAsia="Arial" w:hAnsi="Arial"/>
          <w:sz w:val="22"/>
          <w:szCs w:val="22"/>
          <w:u w:val="single" w:color="auto"/>
          <w:color w:val="auto"/>
        </w:rPr>
        <w:t>Application</w:t>
      </w:r>
      <w:r>
        <w:rPr>
          <w:rFonts w:ascii="Arial" w:cs="Arial" w:eastAsia="Arial" w:hAnsi="Arial"/>
          <w:sz w:val="22"/>
          <w:szCs w:val="22"/>
          <w:color w:val="auto"/>
        </w:rPr>
        <w:t>. Notwithstanding anything to the contrary contained in this Agreement, Cash Collateral provided under this Section</w:t>
      </w:r>
    </w:p>
    <w:p>
      <w:pPr>
        <w:spacing w:after="0" w:line="200" w:lineRule="exact"/>
        <w:rPr>
          <w:sz w:val="20"/>
          <w:szCs w:val="20"/>
          <w:color w:val="auto"/>
        </w:rPr>
      </w:pPr>
    </w:p>
    <w:p>
      <w:pPr>
        <w:spacing w:after="0" w:line="21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320" w:top="375" w:right="239" w:bottom="1440" w:gutter="0" w:footer="0" w:header="0"/>
        </w:sectPr>
      </w:pPr>
    </w:p>
    <w:bookmarkStart w:id="156" w:name="page157"/>
    <w:bookmarkEnd w:id="156"/>
    <w:p>
      <w:pPr>
        <w:jc w:val="both"/>
        <w:ind w:left="2600"/>
        <w:spacing w:after="0" w:line="248" w:lineRule="auto"/>
        <w:rPr>
          <w:sz w:val="20"/>
          <w:szCs w:val="20"/>
          <w:color w:val="auto"/>
        </w:rPr>
      </w:pPr>
      <w:r>
        <w:rPr>
          <w:rFonts w:ascii="Arial" w:cs="Arial" w:eastAsia="Arial" w:hAnsi="Arial"/>
          <w:sz w:val="22"/>
          <w:szCs w:val="22"/>
          <w:color w:val="auto"/>
        </w:rPr>
        <w:t>2.22 in respect of Facility LCs shall be applied to the satisfaction of the Defaulting Lender’s obligation to fund participations in respect of LC Obligations (including, as to Cash Collateral provided by a Defaulting Lender, any interest accrued on such obligation) for which the Cash Collateral was so provided, prior to any other application of such Property as may otherwise be provided for herein.</w:t>
      </w:r>
    </w:p>
    <w:p>
      <w:pPr>
        <w:spacing w:after="0" w:line="233" w:lineRule="exact"/>
        <w:rPr>
          <w:sz w:val="20"/>
          <w:szCs w:val="20"/>
          <w:color w:val="auto"/>
        </w:rPr>
      </w:pPr>
    </w:p>
    <w:p>
      <w:pPr>
        <w:jc w:val="both"/>
        <w:ind w:left="2600" w:hanging="646"/>
        <w:spacing w:after="0" w:line="289" w:lineRule="auto"/>
        <w:tabs>
          <w:tab w:leader="none" w:pos="2582"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Termination of Requirement</w:t>
      </w:r>
      <w:r>
        <w:rPr>
          <w:rFonts w:ascii="Arial" w:cs="Arial" w:eastAsia="Arial" w:hAnsi="Arial"/>
          <w:sz w:val="19"/>
          <w:szCs w:val="19"/>
          <w:color w:val="auto"/>
        </w:rPr>
        <w:t xml:space="preserve">. Cash Collateral (or the appropriate portion thereof) provided to reduce the LC Issuer’s Fronting Exposure shall no longer be required to be held as Cash Collateral pursuant to this Section 2.22(d) following (i) the elimination of the applicable Fronting Exposure (including by the termination of Defaulting Lender status of the applicable Lender), or (ii) the determination by the Administrative Agent and the LC Issuer that there exists excess Cash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subject to this Section 2.22 the Person providing Cash Collateral and the LC Issuer may agree that Cash Collateral shall be held to support future anticipated Fronting Exposure or other obligations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to the extent that such Cash Collateral was provided by the Borrower, such Cash Collateral shall remain subject to the security interest granted pursuant to the Loan Documents.</w:t>
      </w:r>
    </w:p>
    <w:p>
      <w:pPr>
        <w:spacing w:after="0" w:line="198" w:lineRule="exact"/>
        <w:rPr>
          <w:sz w:val="20"/>
          <w:szCs w:val="20"/>
          <w:color w:val="auto"/>
        </w:rPr>
      </w:pPr>
    </w:p>
    <w:p>
      <w:pPr>
        <w:jc w:val="both"/>
        <w:ind w:firstLine="1378"/>
        <w:spacing w:after="0" w:line="286" w:lineRule="auto"/>
        <w:rPr>
          <w:sz w:val="20"/>
          <w:szCs w:val="20"/>
          <w:color w:val="auto"/>
        </w:rPr>
      </w:pPr>
      <w:r>
        <w:rPr>
          <w:rFonts w:ascii="Arial" w:cs="Arial" w:eastAsia="Arial" w:hAnsi="Arial"/>
          <w:sz w:val="19"/>
          <w:szCs w:val="19"/>
          <w:color w:val="auto"/>
        </w:rPr>
        <w:t xml:space="preserve">2.23. </w:t>
      </w:r>
      <w:r>
        <w:rPr>
          <w:rFonts w:ascii="Arial" w:cs="Arial" w:eastAsia="Arial" w:hAnsi="Arial"/>
          <w:sz w:val="19"/>
          <w:szCs w:val="19"/>
          <w:u w:val="single" w:color="auto"/>
          <w:color w:val="auto"/>
        </w:rPr>
        <w:t>Judgment Currency</w:t>
      </w:r>
      <w:r>
        <w:rPr>
          <w:rFonts w:ascii="Arial" w:cs="Arial" w:eastAsia="Arial" w:hAnsi="Arial"/>
          <w:sz w:val="19"/>
          <w:szCs w:val="19"/>
          <w:color w:val="auto"/>
        </w:rPr>
        <w:t>. If for the purposes of obtaining judgment in any court it is necessary to convert a sum due from the Borrower hereunder in the currency expressed to be payable herein (the “specified currency”)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offices on the Business Day preceding that on which final, non-appealable judgment is given. The obligations of the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the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11.2, such Lender or the Administrative Agent, as the case may be, agrees to remit such excess to the Borrower.</w:t>
      </w:r>
    </w:p>
    <w:p>
      <w:pPr>
        <w:spacing w:after="0" w:line="200" w:lineRule="exact"/>
        <w:rPr>
          <w:sz w:val="20"/>
          <w:szCs w:val="20"/>
          <w:color w:val="auto"/>
        </w:rPr>
      </w:pPr>
    </w:p>
    <w:p>
      <w:pPr>
        <w:spacing w:after="0" w:line="396"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u w:val="single" w:color="auto"/>
          <w:color w:val="auto"/>
        </w:rPr>
        <w:t>ARTICLE III</w:t>
      </w:r>
    </w:p>
    <w:p>
      <w:pPr>
        <w:spacing w:after="0" w:line="314" w:lineRule="exact"/>
        <w:rPr>
          <w:sz w:val="20"/>
          <w:szCs w:val="20"/>
          <w:color w:val="auto"/>
        </w:rPr>
      </w:pPr>
    </w:p>
    <w:p>
      <w:pPr>
        <w:ind w:left="4640"/>
        <w:spacing w:after="0"/>
        <w:rPr>
          <w:sz w:val="20"/>
          <w:szCs w:val="20"/>
          <w:color w:val="auto"/>
        </w:rPr>
      </w:pPr>
      <w:r>
        <w:rPr>
          <w:rFonts w:ascii="Arial" w:cs="Arial" w:eastAsia="Arial" w:hAnsi="Arial"/>
          <w:sz w:val="22"/>
          <w:szCs w:val="22"/>
          <w:b w:val="1"/>
          <w:bCs w:val="1"/>
          <w:u w:val="single" w:color="auto"/>
          <w:color w:val="auto"/>
        </w:rPr>
        <w:t>YIELD PROTECTION; TAXES</w:t>
      </w:r>
    </w:p>
    <w:p>
      <w:pPr>
        <w:spacing w:after="0" w:line="199" w:lineRule="exact"/>
        <w:rPr>
          <w:sz w:val="20"/>
          <w:szCs w:val="20"/>
          <w:color w:val="auto"/>
        </w:rPr>
      </w:pPr>
    </w:p>
    <w:p>
      <w:pPr>
        <w:ind w:left="1380"/>
        <w:spacing w:after="0"/>
        <w:tabs>
          <w:tab w:leader="none" w:pos="18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Yield Protection</w:t>
      </w:r>
      <w:r>
        <w:rPr>
          <w:rFonts w:ascii="Arial" w:cs="Arial" w:eastAsia="Arial" w:hAnsi="Arial"/>
          <w:sz w:val="19"/>
          <w:szCs w:val="19"/>
          <w:color w:val="auto"/>
        </w:rPr>
        <w:t>. If, on or after the date of this Agreement, there occurs any Change in Law which:</w:t>
      </w:r>
    </w:p>
    <w:p>
      <w:pPr>
        <w:spacing w:after="0" w:line="200" w:lineRule="exact"/>
        <w:rPr>
          <w:sz w:val="20"/>
          <w:szCs w:val="20"/>
          <w:color w:val="auto"/>
        </w:rPr>
      </w:pPr>
    </w:p>
    <w:p>
      <w:pPr>
        <w:spacing w:after="0" w:line="29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320" w:top="442" w:right="239" w:bottom="1440" w:gutter="0" w:footer="0" w:header="0"/>
        </w:sectPr>
      </w:pPr>
    </w:p>
    <w:bookmarkStart w:id="157" w:name="page158"/>
    <w:bookmarkEnd w:id="157"/>
    <w:p>
      <w:pPr>
        <w:jc w:val="both"/>
        <w:ind w:firstLine="1062"/>
        <w:spacing w:after="0" w:line="312" w:lineRule="auto"/>
        <w:tabs>
          <w:tab w:leader="none" w:pos="2171" w:val="left"/>
        </w:tabs>
        <w:numPr>
          <w:ilvl w:val="0"/>
          <w:numId w:val="76"/>
        </w:numPr>
        <w:rPr>
          <w:rFonts w:ascii="Arial" w:cs="Arial" w:eastAsia="Arial" w:hAnsi="Arial"/>
          <w:sz w:val="19"/>
          <w:szCs w:val="19"/>
          <w:color w:val="auto"/>
        </w:rPr>
      </w:pPr>
      <w:r>
        <w:rPr>
          <w:rFonts w:ascii="Arial" w:cs="Arial" w:eastAsia="Arial" w:hAnsi="Arial"/>
          <w:sz w:val="19"/>
          <w:szCs w:val="19"/>
          <w:color w:val="auto"/>
        </w:rPr>
        <w:t>subjects any Lender or any applicable Lending Installation, the LC Issuer, or the Administrative Agent to any Taxes (other than with respect to Indemnified Taxes, Excluded Taxes, and Other Taxes) on its loans, loan principal, letters of credit, commitments, or other obligations, or its deposits, reserves, other liabilities or capital attributable thereto, or</w:t>
      </w:r>
    </w:p>
    <w:p>
      <w:pPr>
        <w:spacing w:after="0" w:line="174" w:lineRule="exact"/>
        <w:rPr>
          <w:rFonts w:ascii="Arial" w:cs="Arial" w:eastAsia="Arial" w:hAnsi="Arial"/>
          <w:sz w:val="19"/>
          <w:szCs w:val="19"/>
          <w:color w:val="auto"/>
        </w:rPr>
      </w:pPr>
    </w:p>
    <w:p>
      <w:pPr>
        <w:jc w:val="both"/>
        <w:ind w:firstLine="1062"/>
        <w:spacing w:after="0" w:line="250" w:lineRule="auto"/>
        <w:tabs>
          <w:tab w:leader="none" w:pos="2183" w:val="left"/>
        </w:tabs>
        <w:numPr>
          <w:ilvl w:val="0"/>
          <w:numId w:val="76"/>
        </w:numPr>
        <w:rPr>
          <w:rFonts w:ascii="Arial" w:cs="Arial" w:eastAsia="Arial" w:hAnsi="Arial"/>
          <w:sz w:val="22"/>
          <w:szCs w:val="22"/>
          <w:color w:val="auto"/>
        </w:rPr>
      </w:pPr>
      <w:r>
        <w:rPr>
          <w:rFonts w:ascii="Arial" w:cs="Arial" w:eastAsia="Arial" w:hAnsi="Arial"/>
          <w:sz w:val="22"/>
          <w:szCs w:val="22"/>
          <w:color w:val="auto"/>
        </w:rPr>
        <w:t>imposes or increases or deems applicable any reserve, assessment, insurance charge, special deposit or similar requirement against assets of, deposits with or for the account of, or credit extended by, any Lender or any applicable Lending Installation or the LC Issuer (other than reserves and assessments taken into account in determining the interest rate applicable to Eurocurrency Advances), or</w:t>
      </w:r>
    </w:p>
    <w:p>
      <w:pPr>
        <w:spacing w:after="0" w:line="228" w:lineRule="exact"/>
        <w:rPr>
          <w:rFonts w:ascii="Arial" w:cs="Arial" w:eastAsia="Arial" w:hAnsi="Arial"/>
          <w:sz w:val="22"/>
          <w:szCs w:val="22"/>
          <w:color w:val="auto"/>
        </w:rPr>
      </w:pPr>
    </w:p>
    <w:p>
      <w:pPr>
        <w:jc w:val="both"/>
        <w:ind w:firstLine="1062"/>
        <w:spacing w:after="0" w:line="285" w:lineRule="auto"/>
        <w:tabs>
          <w:tab w:leader="none" w:pos="2171"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imposes any other condition (other than Taxes) the result of which is to increase the cost to any Lender or any applicable Lending Installation or the LC Issuer of making, funding or maintaining its Eurocurrency Loans, or of issuing or participating in Facility LCs, or reduces any amount receivable by any Lender or any applicable Lending Installation or the LC Issuer in connection with its Eurocurrency Loans, Facility LCs or participations therein, or requires any Lender or any applicable Lending Installation or the LC Issuer to make any payment calculated by reference to the amount of Eurocurrency Loans, Facility LCs or participations therein held or interest or LC Fees received by it, by an amount deemed material by such Lender or the LC Issuer as the case may be, and the result of any of the foregoing is to increase the cost to such Person of making or maintaining its Loans or Revolving Commitment or of issuing or participating in Facility LCs or to reduce the amount received by such Person in connection with such Loans or Revolving Commitment, Facility LCs or participations therein, then, within fifteen (15) days after demand by such Person, the Borrower shall pay such Person, as the case may be, such additional amount or amounts as will compensate such Person for such increased cost or reduction in amount received. Failure or delay on the part of any such Person to demand compensation pursuant to this Section 3.1 shall not constitute a waiver of such Person’s right to demand such compensation;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shall not be required to compensate a Person pursuant to this Section 3.1 for any increased costs or reductions suffered more than 180 days prior to the date that such Person notifies the Borrower of the Change in Law giving rise to such increased costs or reductions and of such Person’s intention to claim compensation therefor;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if the Change in Law giving rise to such increased costs or reductions is retroactive, then the 180-day period referred</w:t>
      </w:r>
      <w:r>
        <w:rPr>
          <w:rFonts w:ascii="Arial" w:cs="Arial" w:eastAsia="Arial" w:hAnsi="Arial"/>
          <w:sz w:val="19"/>
          <w:szCs w:val="19"/>
          <w:i w:val="1"/>
          <w:iCs w:val="1"/>
          <w:color w:val="auto"/>
        </w:rPr>
        <w:t xml:space="preserve"> </w:t>
      </w:r>
      <w:r>
        <w:rPr>
          <w:rFonts w:ascii="Arial" w:cs="Arial" w:eastAsia="Arial" w:hAnsi="Arial"/>
          <w:sz w:val="19"/>
          <w:szCs w:val="19"/>
          <w:color w:val="auto"/>
        </w:rPr>
        <w:t>to above shall be extended to include the period of retroactive effect thereof.</w:t>
      </w:r>
    </w:p>
    <w:p>
      <w:pPr>
        <w:spacing w:after="0" w:line="208" w:lineRule="exact"/>
        <w:rPr>
          <w:sz w:val="20"/>
          <w:szCs w:val="20"/>
          <w:color w:val="auto"/>
        </w:rPr>
      </w:pPr>
    </w:p>
    <w:p>
      <w:pPr>
        <w:jc w:val="both"/>
        <w:ind w:firstLine="1378"/>
        <w:spacing w:after="0" w:line="260"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Changes in Capital Adequacy Regulations</w:t>
      </w:r>
      <w:r>
        <w:rPr>
          <w:rFonts w:ascii="Arial" w:cs="Arial" w:eastAsia="Arial" w:hAnsi="Arial"/>
          <w:sz w:val="21"/>
          <w:szCs w:val="21"/>
          <w:color w:val="auto"/>
        </w:rPr>
        <w:t>. If a Lender or the LC Issuer determines that the amount of capital or liquidity required or expected to be maintained by such Lender or the LC Issuer, any Lending Installation of such Lender or the LC Issuer, or anycorporation or holding company controlling such Lender or the LC Issuer is increased as a result of (i) a Change in Law or (ii) any change on or after the date of this Agreement in the Risk- Based Capital Guidelines, then, within fifteen (15) days after demand by such Lender or the LC Issuer, the Borrower shall pay such Lender or the LC Issuer the amount necessary to compensate for any shortfall in the rate of return on the portion of such increased capital or liquidity which such Lender or the LC Issuer determines is attributable to this Agreement, its Revolving Exposure or its Revolving Commitment to make Loans and issue or participate in Facility LCs, as the case may be, hereunder (after taking into account such Lender’s or the LC Issuer’s policies as to capital adequacy or liquidity), in each case that is attributable to such Change in Law or change in the Risk-Based Capital Guidelines, as</w:t>
      </w:r>
    </w:p>
    <w:p>
      <w:pPr>
        <w:spacing w:after="0" w:line="18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320" w:top="375" w:right="239" w:bottom="1440" w:gutter="0" w:footer="0" w:header="0"/>
        </w:sectPr>
      </w:pPr>
    </w:p>
    <w:bookmarkStart w:id="158" w:name="page159"/>
    <w:bookmarkEnd w:id="158"/>
    <w:p>
      <w:pPr>
        <w:jc w:val="both"/>
        <w:spacing w:after="0" w:line="292" w:lineRule="auto"/>
        <w:rPr>
          <w:sz w:val="20"/>
          <w:szCs w:val="20"/>
          <w:color w:val="auto"/>
        </w:rPr>
      </w:pPr>
      <w:r>
        <w:rPr>
          <w:rFonts w:ascii="Arial" w:cs="Arial" w:eastAsia="Arial" w:hAnsi="Arial"/>
          <w:sz w:val="19"/>
          <w:szCs w:val="19"/>
          <w:color w:val="auto"/>
        </w:rPr>
        <w:t xml:space="preserve">applicable. Failure or delay on the part of such Lender or the LC Issuer to demand compensation pursuant to this Section 3.2 shall not constitute a waiver of such Lender’s or the LC Issuer’s right to demand such compensation;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shall not be required to compensate any Lender or the LC Issuer pursuant to this Section 3.2 for any shortfall suffered more than 180 days prior to the date that such Lender or the LC Issuer notifies the Borrower of the Change in Law or change in the Risk-Based Capital Guidelines giving rise to such shortfall and of such Lender’s or the LC Issuer’s intention to claim compensation therefor; </w:t>
      </w:r>
      <w:r>
        <w:rPr>
          <w:rFonts w:ascii="Arial" w:cs="Arial" w:eastAsia="Arial" w:hAnsi="Arial"/>
          <w:sz w:val="19"/>
          <w:szCs w:val="19"/>
          <w:i w:val="1"/>
          <w:iCs w:val="1"/>
          <w:color w:val="auto"/>
        </w:rPr>
        <w:t>provided further</w:t>
      </w:r>
      <w:r>
        <w:rPr>
          <w:rFonts w:ascii="Arial" w:cs="Arial" w:eastAsia="Arial" w:hAnsi="Arial"/>
          <w:sz w:val="19"/>
          <w:szCs w:val="19"/>
          <w:color w:val="auto"/>
        </w:rPr>
        <w:t>, that if the Change in Law or change in Risk-Based Capital Guidelines giving rise to such shortfall is retroactive,</w:t>
      </w:r>
      <w:r>
        <w:rPr>
          <w:rFonts w:ascii="Arial" w:cs="Arial" w:eastAsia="Arial" w:hAnsi="Arial"/>
          <w:sz w:val="19"/>
          <w:szCs w:val="19"/>
          <w:i w:val="1"/>
          <w:iCs w:val="1"/>
          <w:color w:val="auto"/>
        </w:rPr>
        <w:t xml:space="preserve"> </w:t>
      </w:r>
      <w:r>
        <w:rPr>
          <w:rFonts w:ascii="Arial" w:cs="Arial" w:eastAsia="Arial" w:hAnsi="Arial"/>
          <w:sz w:val="19"/>
          <w:szCs w:val="19"/>
          <w:color w:val="auto"/>
        </w:rPr>
        <w:t>then the 180-day period referred to above shall be extended to include the period of retroactive effect thereof</w:t>
      </w:r>
    </w:p>
    <w:p>
      <w:pPr>
        <w:spacing w:after="0" w:line="165" w:lineRule="exact"/>
        <w:rPr>
          <w:sz w:val="20"/>
          <w:szCs w:val="20"/>
          <w:color w:val="auto"/>
        </w:rPr>
      </w:pPr>
    </w:p>
    <w:p>
      <w:pPr>
        <w:jc w:val="both"/>
        <w:ind w:firstLine="1378"/>
        <w:spacing w:after="0" w:line="262"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u w:val="single" w:color="auto"/>
          <w:color w:val="auto"/>
        </w:rPr>
        <w:t>Availability of Types of Advances; Adequacy of Interest Rate</w:t>
      </w:r>
      <w:r>
        <w:rPr>
          <w:rFonts w:ascii="Arial" w:cs="Arial" w:eastAsia="Arial" w:hAnsi="Arial"/>
          <w:sz w:val="21"/>
          <w:szCs w:val="21"/>
          <w:color w:val="auto"/>
        </w:rPr>
        <w:t>. If the Administrative Agent or the Required Lenders determine that deposits of a type and maturity appropriate to match fund Eurocurrency Advances are not available to such Lenders in the relevant market or the Administrative Agent, in consultation with the Lenders, determines that the interest rate applicable to Eurocurrency Advances is not ascertainable or does not adequately and fairly reflect the cost of making or maintaining Eurocurrency Advances, then the Administrative Agent shall suspend the availability of Eurocurrency Advances and require any affected Eurocurrency Advances to be repaid or converted to Base Rate Advances, subject to the payment of any funding indemnification amounts required by Section 3.4.</w:t>
      </w:r>
    </w:p>
    <w:p>
      <w:pPr>
        <w:spacing w:after="0" w:line="221" w:lineRule="exact"/>
        <w:rPr>
          <w:sz w:val="20"/>
          <w:szCs w:val="20"/>
          <w:color w:val="auto"/>
        </w:rPr>
      </w:pPr>
    </w:p>
    <w:p>
      <w:pPr>
        <w:jc w:val="both"/>
        <w:ind w:firstLine="1378"/>
        <w:spacing w:after="0" w:line="288"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Funding Indemnification</w:t>
      </w:r>
      <w:r>
        <w:rPr>
          <w:rFonts w:ascii="Arial" w:cs="Arial" w:eastAsia="Arial" w:hAnsi="Arial"/>
          <w:sz w:val="19"/>
          <w:szCs w:val="19"/>
          <w:color w:val="auto"/>
        </w:rPr>
        <w:t>. If (a) any payment of a Eurocurrency Advance occurs on a date which is not the last day of the applicable Interest Period, whether because of acceleration, prepayment or otherwise, (b) a Eurocurrency Advance is not made on the date specified by the Borrower for any reason other than default by the Lenders, (c) a Eurocurrency Loan is converted other than on the last day of the Interest Period applicable thereto, (d) the Borrower fails to borrow, convert, continue or prepay any Eurocurrency Loan on the date specified in any notice delivered pursuant hereto, or (e) any Eurocurrency Loan is assigned other than on the last day of the Interest Period applicable thereto as a result of a request by the Borrower pursuant to Section 2.20, the Borrower will indemnify each Lender for such Lender’s costs, expenses and Interest Differential (as determined by such Lender) incurred as a result of such prepayment. The term “Interest Differential” shall mean that sum equal to the greater of zero or the financial loss incurred by the Lender resulting from prepayment, calculated as the difference between the amount of interest such Lender would have earned (from the investments in money markets as of the Borrowing Date of such Advance) had prepayment not occurred and the interest such Lender will actually earn (from like investments in money markets as of the date of prepayment) as a result of the redeployment of funds from the prepayment. Because of the short-term nature of this facility, Borrower agrees that Interest Differential shall not be discounted to its present value.</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Borrower hereby acknowledges that the Borrower shall be required to pay Interest Differential with respect to any portion of the principal balance paid or that becomes due before its scheduled due date, whether voluntarily, involuntarily, or otherwise, including, without limitation, any principal payment made following default, demand for payment, acceleration, collection proceedings, foreclosure, sale or other disposition of collateral, bankruptcy or other insolvency proceedings, eminent domain, condemnation or otherwise. Such prepayment fee shall at all times</w:t>
      </w:r>
    </w:p>
    <w:p>
      <w:pPr>
        <w:spacing w:after="0" w:line="19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320" w:top="375" w:right="239" w:bottom="1440" w:gutter="0" w:footer="0" w:header="0"/>
        </w:sectPr>
      </w:pPr>
    </w:p>
    <w:bookmarkStart w:id="159" w:name="page160"/>
    <w:bookmarkEnd w:id="159"/>
    <w:p>
      <w:pPr>
        <w:spacing w:after="0" w:line="263" w:lineRule="auto"/>
        <w:rPr>
          <w:sz w:val="20"/>
          <w:szCs w:val="20"/>
          <w:color w:val="auto"/>
        </w:rPr>
      </w:pPr>
      <w:r>
        <w:rPr>
          <w:rFonts w:ascii="Arial" w:cs="Arial" w:eastAsia="Arial" w:hAnsi="Arial"/>
          <w:sz w:val="22"/>
          <w:szCs w:val="22"/>
          <w:color w:val="auto"/>
        </w:rPr>
        <w:t>be an Obligation as well as an undertaking by the Borrower to the Lenders whether arising out of a voluntary or mandatory prepayment.</w:t>
      </w:r>
    </w:p>
    <w:p>
      <w:pPr>
        <w:spacing w:after="0" w:line="188" w:lineRule="exact"/>
        <w:rPr>
          <w:sz w:val="20"/>
          <w:szCs w:val="20"/>
          <w:color w:val="auto"/>
        </w:rPr>
      </w:pPr>
    </w:p>
    <w:p>
      <w:pPr>
        <w:ind w:left="1400"/>
        <w:spacing w:after="0"/>
        <w:tabs>
          <w:tab w:leader="none" w:pos="192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06" w:lineRule="exact"/>
        <w:rPr>
          <w:sz w:val="20"/>
          <w:szCs w:val="20"/>
          <w:color w:val="auto"/>
        </w:rPr>
      </w:pPr>
    </w:p>
    <w:p>
      <w:pPr>
        <w:jc w:val="both"/>
        <w:ind w:firstLine="1062"/>
        <w:spacing w:after="0" w:line="246" w:lineRule="auto"/>
        <w:tabs>
          <w:tab w:leader="none" w:pos="2171" w:val="left"/>
        </w:tabs>
        <w:numPr>
          <w:ilvl w:val="1"/>
          <w:numId w:val="77"/>
        </w:numPr>
        <w:rPr>
          <w:rFonts w:ascii="Arial" w:cs="Arial" w:eastAsia="Arial" w:hAnsi="Arial"/>
          <w:sz w:val="22"/>
          <w:szCs w:val="22"/>
          <w:color w:val="auto"/>
        </w:rPr>
      </w:pPr>
      <w:r>
        <w:rPr>
          <w:rFonts w:ascii="Arial" w:cs="Arial" w:eastAsia="Arial" w:hAnsi="Arial"/>
          <w:sz w:val="22"/>
          <w:szCs w:val="22"/>
          <w:color w:val="auto"/>
        </w:rPr>
        <w:t>Any and all payments by or on account of any obligation of any Loan Party under any Loan Document shall be made without deduction or withholding for any Taxes, except as required by applicable law. If any applicable law requires the deduction or withholding of any Tax from any such payment, then the applicable Loan Party shall be entitled to make such deduction or withholding and shall timely pay the full amount deducted or withheld to the relevant Governmental Authority in accordance with applicable law and, if such Tax is an Indemnified Tax or Other Tax, then the sum payable by the applicable Loan Party shall be increased as necessary so that after such deduction or withholding has been made (including such deductions and withholdings applicable to additional sums payable under this Section 3.5) the applicable Lender, the LC Issuer or the Administrative Agent receives an amount equal to the sum it would have received had no such deduction or withholding been made.</w:t>
      </w:r>
    </w:p>
    <w:p>
      <w:pPr>
        <w:spacing w:after="0" w:line="232" w:lineRule="exact"/>
        <w:rPr>
          <w:rFonts w:ascii="Arial" w:cs="Arial" w:eastAsia="Arial" w:hAnsi="Arial"/>
          <w:sz w:val="22"/>
          <w:szCs w:val="22"/>
          <w:color w:val="auto"/>
        </w:rPr>
      </w:pPr>
    </w:p>
    <w:p>
      <w:pPr>
        <w:ind w:firstLine="1062"/>
        <w:spacing w:after="0" w:line="263" w:lineRule="auto"/>
        <w:tabs>
          <w:tab w:leader="none" w:pos="2237" w:val="left"/>
        </w:tabs>
        <w:numPr>
          <w:ilvl w:val="1"/>
          <w:numId w:val="77"/>
        </w:numPr>
        <w:rPr>
          <w:rFonts w:ascii="Arial" w:cs="Arial" w:eastAsia="Arial" w:hAnsi="Arial"/>
          <w:sz w:val="22"/>
          <w:szCs w:val="22"/>
          <w:color w:val="auto"/>
        </w:rPr>
      </w:pPr>
      <w:r>
        <w:rPr>
          <w:rFonts w:ascii="Arial" w:cs="Arial" w:eastAsia="Arial" w:hAnsi="Arial"/>
          <w:sz w:val="22"/>
          <w:szCs w:val="22"/>
          <w:color w:val="auto"/>
        </w:rPr>
        <w:t>The Loan Parties shall timely pay to the relevant Governmental Authority in accordance with applicable law or at the option of the Administrative Agent timely reimburse it for the payment of, any Other Taxes.</w:t>
      </w:r>
    </w:p>
    <w:p>
      <w:pPr>
        <w:spacing w:after="0" w:line="215" w:lineRule="exact"/>
        <w:rPr>
          <w:rFonts w:ascii="Arial" w:cs="Arial" w:eastAsia="Arial" w:hAnsi="Arial"/>
          <w:sz w:val="22"/>
          <w:szCs w:val="22"/>
          <w:color w:val="auto"/>
        </w:rPr>
      </w:pPr>
    </w:p>
    <w:p>
      <w:pPr>
        <w:ind w:left="2180" w:hanging="1118"/>
        <w:spacing w:after="0"/>
        <w:tabs>
          <w:tab w:leader="none" w:pos="2180" w:val="left"/>
        </w:tabs>
        <w:numPr>
          <w:ilvl w:val="1"/>
          <w:numId w:val="77"/>
        </w:numPr>
        <w:rPr>
          <w:rFonts w:ascii="Arial" w:cs="Arial" w:eastAsia="Arial" w:hAnsi="Arial"/>
          <w:sz w:val="19"/>
          <w:szCs w:val="19"/>
          <w:color w:val="auto"/>
        </w:rPr>
      </w:pPr>
      <w:r>
        <w:rPr>
          <w:rFonts w:ascii="Arial" w:cs="Arial" w:eastAsia="Arial" w:hAnsi="Arial"/>
          <w:sz w:val="19"/>
          <w:szCs w:val="19"/>
          <w:color w:val="auto"/>
        </w:rPr>
        <w:t>The Loan Parties shall indemnify the Lender, the LC Issuer or the Administrative Agent, within fifteen</w:t>
      </w:r>
    </w:p>
    <w:p>
      <w:pPr>
        <w:spacing w:after="0" w:line="56" w:lineRule="exact"/>
        <w:rPr>
          <w:rFonts w:ascii="Arial" w:cs="Arial" w:eastAsia="Arial" w:hAnsi="Arial"/>
          <w:sz w:val="19"/>
          <w:szCs w:val="19"/>
          <w:color w:val="auto"/>
        </w:rPr>
      </w:pPr>
    </w:p>
    <w:p>
      <w:pPr>
        <w:jc w:val="both"/>
        <w:ind w:firstLine="9"/>
        <w:spacing w:after="0" w:line="257" w:lineRule="auto"/>
        <w:tabs>
          <w:tab w:leader="none" w:pos="423" w:val="left"/>
        </w:tabs>
        <w:numPr>
          <w:ilvl w:val="0"/>
          <w:numId w:val="78"/>
        </w:numPr>
        <w:rPr>
          <w:rFonts w:ascii="Arial" w:cs="Arial" w:eastAsia="Arial" w:hAnsi="Arial"/>
          <w:sz w:val="21"/>
          <w:szCs w:val="21"/>
          <w:color w:val="auto"/>
        </w:rPr>
      </w:pPr>
      <w:r>
        <w:rPr>
          <w:rFonts w:ascii="Arial" w:cs="Arial" w:eastAsia="Arial" w:hAnsi="Arial"/>
          <w:sz w:val="21"/>
          <w:szCs w:val="21"/>
          <w:color w:val="auto"/>
        </w:rPr>
        <w:t>days after demand therefor, for the full amount of any Indemnified Taxes and Other Taxes (including Indemnified Taxes and Other Taxes imposed or asserted on or attributable to amounts payable under this Section 3.5) payable or paid by such Lender, the LC Issuer or the Administrative Agent or required to be withheld or deducted from a payment to such Lender, the LC Issuer or the Administrative Agent and any reasonable expenses arising therefrom or with respect thereto, whether or not such Indemnified Taxes and Other Taxes were correctly or legally imposed or asserted by the relevant Governmental Authority. A certificate as to the amount of such payment or liability delivered to the Borrower by a Lender or LC Issuer (with a copy to the Administrative Agent), or by the Administrative Agent on its own behalf or on behalf of a Lender or LC Issuer, shall be conclusive absent manifest error.</w:t>
      </w:r>
    </w:p>
    <w:p>
      <w:pPr>
        <w:spacing w:after="0" w:line="222" w:lineRule="exact"/>
        <w:rPr>
          <w:rFonts w:ascii="Arial" w:cs="Arial" w:eastAsia="Arial" w:hAnsi="Arial"/>
          <w:sz w:val="21"/>
          <w:szCs w:val="21"/>
          <w:color w:val="auto"/>
        </w:rPr>
      </w:pPr>
    </w:p>
    <w:p>
      <w:pPr>
        <w:jc w:val="both"/>
        <w:ind w:firstLine="1062"/>
        <w:spacing w:after="0" w:line="258" w:lineRule="auto"/>
        <w:tabs>
          <w:tab w:leader="none" w:pos="2183" w:val="left"/>
        </w:tabs>
        <w:numPr>
          <w:ilvl w:val="1"/>
          <w:numId w:val="78"/>
        </w:numPr>
        <w:rPr>
          <w:rFonts w:ascii="Arial" w:cs="Arial" w:eastAsia="Arial" w:hAnsi="Arial"/>
          <w:sz w:val="21"/>
          <w:szCs w:val="21"/>
          <w:color w:val="auto"/>
        </w:rPr>
      </w:pPr>
      <w:r>
        <w:rPr>
          <w:rFonts w:ascii="Arial" w:cs="Arial" w:eastAsia="Arial" w:hAnsi="Arial"/>
          <w:sz w:val="21"/>
          <w:szCs w:val="21"/>
          <w:color w:val="auto"/>
        </w:rPr>
        <w:t>Each Lender shall severally indemnify the Administrative Agent, within fifteen (15)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12.2(c)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w:t>
      </w:r>
    </w:p>
    <w:p>
      <w:pPr>
        <w:spacing w:after="0" w:line="19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320" w:top="375" w:right="239" w:bottom="1440" w:gutter="0" w:footer="0" w:header="0"/>
        </w:sectPr>
      </w:pPr>
    </w:p>
    <w:bookmarkStart w:id="160" w:name="page161"/>
    <w:bookmarkEnd w:id="160"/>
    <w:p>
      <w:pPr>
        <w:spacing w:after="0" w:line="263" w:lineRule="auto"/>
        <w:rPr>
          <w:sz w:val="20"/>
          <w:szCs w:val="20"/>
          <w:color w:val="auto"/>
        </w:rPr>
      </w:pPr>
      <w:r>
        <w:rPr>
          <w:rFonts w:ascii="Arial" w:cs="Arial" w:eastAsia="Arial" w:hAnsi="Arial"/>
          <w:sz w:val="22"/>
          <w:szCs w:val="22"/>
          <w:color w:val="auto"/>
        </w:rPr>
        <w:t>under any Loan Document or otherwise payable by the Administrative Agent to the Lender from any other source against any amount due to the Administrative Agent under this paragraph (d).</w:t>
      </w:r>
    </w:p>
    <w:p>
      <w:pPr>
        <w:spacing w:after="0" w:line="215" w:lineRule="exact"/>
        <w:rPr>
          <w:sz w:val="20"/>
          <w:szCs w:val="20"/>
          <w:color w:val="auto"/>
        </w:rPr>
      </w:pPr>
    </w:p>
    <w:p>
      <w:pPr>
        <w:jc w:val="both"/>
        <w:ind w:left="40" w:firstLine="1049"/>
        <w:spacing w:after="0" w:line="250" w:lineRule="auto"/>
        <w:tabs>
          <w:tab w:leader="none" w:pos="2211" w:val="left"/>
        </w:tabs>
        <w:numPr>
          <w:ilvl w:val="0"/>
          <w:numId w:val="79"/>
        </w:numPr>
        <w:rPr>
          <w:rFonts w:ascii="Arial" w:cs="Arial" w:eastAsia="Arial" w:hAnsi="Arial"/>
          <w:sz w:val="22"/>
          <w:szCs w:val="22"/>
          <w:color w:val="auto"/>
        </w:rPr>
      </w:pPr>
      <w:r>
        <w:rPr>
          <w:rFonts w:ascii="Arial" w:cs="Arial" w:eastAsia="Arial" w:hAnsi="Arial"/>
          <w:sz w:val="22"/>
          <w:szCs w:val="22"/>
          <w:color w:val="auto"/>
        </w:rPr>
        <w:t>As soon as practicable after any payment of Taxes by any Loan Party to a Governmental Authority pursuant to this Section 3.5,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28" w:lineRule="exact"/>
        <w:rPr>
          <w:rFonts w:ascii="Arial" w:cs="Arial" w:eastAsia="Arial" w:hAnsi="Arial"/>
          <w:sz w:val="22"/>
          <w:szCs w:val="22"/>
          <w:color w:val="auto"/>
        </w:rPr>
      </w:pPr>
    </w:p>
    <w:p>
      <w:pPr>
        <w:jc w:val="both"/>
        <w:ind w:left="40" w:firstLine="1049"/>
        <w:spacing w:after="0" w:line="258" w:lineRule="auto"/>
        <w:tabs>
          <w:tab w:leader="none" w:pos="2187" w:val="left"/>
        </w:tabs>
        <w:numPr>
          <w:ilvl w:val="0"/>
          <w:numId w:val="79"/>
        </w:numPr>
        <w:rPr>
          <w:rFonts w:ascii="Arial" w:cs="Arial" w:eastAsia="Arial" w:hAnsi="Arial"/>
          <w:sz w:val="21"/>
          <w:szCs w:val="21"/>
          <w:color w:val="auto"/>
        </w:rPr>
      </w:pPr>
      <w:r>
        <w:rPr>
          <w:rFonts w:ascii="Arial" w:cs="Arial" w:eastAsia="Arial" w:hAnsi="Arial"/>
          <w:sz w:val="21"/>
          <w:szCs w:val="21"/>
          <w:color w:val="auto"/>
        </w:rPr>
        <w:t>(i)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3.5(f)(ii)(A),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20" w:lineRule="exact"/>
        <w:rPr>
          <w:rFonts w:ascii="Arial" w:cs="Arial" w:eastAsia="Arial" w:hAnsi="Arial"/>
          <w:sz w:val="21"/>
          <w:szCs w:val="21"/>
          <w:color w:val="auto"/>
        </w:rPr>
      </w:pPr>
    </w:p>
    <w:p>
      <w:pPr>
        <w:ind w:left="2540" w:hanging="559"/>
        <w:spacing w:after="0"/>
        <w:tabs>
          <w:tab w:leader="none" w:pos="2540" w:val="left"/>
        </w:tabs>
        <w:numPr>
          <w:ilvl w:val="2"/>
          <w:numId w:val="79"/>
        </w:numPr>
        <w:rPr>
          <w:rFonts w:ascii="Arial" w:cs="Arial" w:eastAsia="Arial" w:hAnsi="Arial"/>
          <w:sz w:val="22"/>
          <w:szCs w:val="22"/>
          <w:color w:val="auto"/>
        </w:rPr>
      </w:pPr>
      <w:r>
        <w:rPr>
          <w:rFonts w:ascii="Arial" w:cs="Arial" w:eastAsia="Arial" w:hAnsi="Arial"/>
          <w:sz w:val="22"/>
          <w:szCs w:val="22"/>
          <w:color w:val="auto"/>
        </w:rPr>
        <w:t>Without limiting the generality of the foregoing,</w:t>
      </w:r>
    </w:p>
    <w:p>
      <w:pPr>
        <w:spacing w:after="0" w:line="314" w:lineRule="exact"/>
        <w:rPr>
          <w:rFonts w:ascii="Arial" w:cs="Arial" w:eastAsia="Arial" w:hAnsi="Arial"/>
          <w:sz w:val="22"/>
          <w:szCs w:val="22"/>
          <w:color w:val="auto"/>
        </w:rPr>
      </w:pPr>
    </w:p>
    <w:p>
      <w:pPr>
        <w:jc w:val="both"/>
        <w:ind w:left="40" w:firstLine="1293"/>
        <w:spacing w:after="0" w:line="270" w:lineRule="auto"/>
        <w:tabs>
          <w:tab w:leader="none" w:pos="1830" w:val="left"/>
        </w:tabs>
        <w:numPr>
          <w:ilvl w:val="1"/>
          <w:numId w:val="79"/>
        </w:numPr>
        <w:rPr>
          <w:rFonts w:ascii="Arial" w:cs="Arial" w:eastAsia="Arial" w:hAnsi="Arial"/>
          <w:sz w:val="21"/>
          <w:szCs w:val="21"/>
          <w:color w:val="auto"/>
        </w:rPr>
      </w:pPr>
      <w:r>
        <w:rPr>
          <w:rFonts w:ascii="Arial" w:cs="Arial" w:eastAsia="Arial" w:hAnsi="Arial"/>
          <w:sz w:val="21"/>
          <w:szCs w:val="21"/>
          <w:color w:val="auto"/>
        </w:rPr>
        <w:t>any Lender that is a United States Person for U.S. federal income Tax purposes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263" w:lineRule="exact"/>
        <w:rPr>
          <w:rFonts w:ascii="Arial" w:cs="Arial" w:eastAsia="Arial" w:hAnsi="Arial"/>
          <w:sz w:val="21"/>
          <w:szCs w:val="21"/>
          <w:color w:val="auto"/>
        </w:rPr>
      </w:pPr>
    </w:p>
    <w:p>
      <w:pPr>
        <w:jc w:val="both"/>
        <w:ind w:left="40" w:firstLine="1293"/>
        <w:spacing w:after="0" w:line="254" w:lineRule="auto"/>
        <w:tabs>
          <w:tab w:leader="none" w:pos="1926" w:val="left"/>
        </w:tabs>
        <w:numPr>
          <w:ilvl w:val="1"/>
          <w:numId w:val="79"/>
        </w:numPr>
        <w:rPr>
          <w:rFonts w:ascii="Arial" w:cs="Arial" w:eastAsia="Arial" w:hAnsi="Arial"/>
          <w:sz w:val="22"/>
          <w:szCs w:val="22"/>
          <w:color w:val="auto"/>
        </w:rPr>
      </w:pPr>
      <w:r>
        <w:rPr>
          <w:rFonts w:ascii="Arial" w:cs="Arial" w:eastAsia="Arial" w:hAnsi="Arial"/>
          <w:sz w:val="22"/>
          <w:szCs w:val="22"/>
          <w:color w:val="auto"/>
        </w:rPr>
        <w:t>any Non-U.S. Lender shall, to the extent it is legally entitled to do so, deliver to the Borrower and the Administrative Agent (in such number of copies as shall be requested by the recipient) on or prior to the date on which such Non-U.S. Lender becomes a Lender under this Agreement (and from time to time thereafter upon the reasonable request of the Borrower or the Administrative Agent), whichever of the following is applicable:</w:t>
      </w:r>
    </w:p>
    <w:p>
      <w:pPr>
        <w:spacing w:after="0" w:line="388" w:lineRule="exact"/>
        <w:rPr>
          <w:sz w:val="20"/>
          <w:szCs w:val="20"/>
          <w:color w:val="auto"/>
        </w:rPr>
      </w:pPr>
    </w:p>
    <w:p>
      <w:pPr>
        <w:jc w:val="both"/>
        <w:ind w:left="1340" w:firstLine="641"/>
        <w:spacing w:after="0" w:line="297" w:lineRule="auto"/>
        <w:tabs>
          <w:tab w:leader="none" w:pos="2474" w:val="left"/>
        </w:tabs>
        <w:numPr>
          <w:ilvl w:val="0"/>
          <w:numId w:val="80"/>
        </w:numPr>
        <w:rPr>
          <w:rFonts w:ascii="Arial" w:cs="Arial" w:eastAsia="Arial" w:hAnsi="Arial"/>
          <w:sz w:val="19"/>
          <w:szCs w:val="19"/>
          <w:color w:val="auto"/>
        </w:rPr>
      </w:pPr>
      <w:r>
        <w:rPr>
          <w:rFonts w:ascii="Arial" w:cs="Arial" w:eastAsia="Arial" w:hAnsi="Arial"/>
          <w:sz w:val="19"/>
          <w:szCs w:val="19"/>
          <w:color w:val="auto"/>
        </w:rPr>
        <w:t>in the case of a Non-U.S.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320" w:top="375" w:right="239" w:bottom="1440" w:gutter="0" w:footer="0" w:header="0"/>
        </w:sectPr>
      </w:pPr>
    </w:p>
    <w:bookmarkStart w:id="161" w:name="page162"/>
    <w:bookmarkEnd w:id="161"/>
    <w:p>
      <w:pPr>
        <w:ind w:left="2280" w:hanging="339"/>
        <w:spacing w:after="0"/>
        <w:tabs>
          <w:tab w:leader="none" w:pos="2280" w:val="left"/>
        </w:tabs>
        <w:numPr>
          <w:ilvl w:val="1"/>
          <w:numId w:val="81"/>
        </w:numPr>
        <w:rPr>
          <w:rFonts w:ascii="Arial" w:cs="Arial" w:eastAsia="Arial" w:hAnsi="Arial"/>
          <w:sz w:val="22"/>
          <w:szCs w:val="22"/>
          <w:color w:val="auto"/>
        </w:rPr>
      </w:pPr>
      <w:r>
        <w:rPr>
          <w:rFonts w:ascii="Arial" w:cs="Arial" w:eastAsia="Arial" w:hAnsi="Arial"/>
          <w:sz w:val="22"/>
          <w:szCs w:val="22"/>
          <w:color w:val="auto"/>
        </w:rPr>
        <w:t>executed copies of IRS Form W-8ECI;</w:t>
      </w:r>
    </w:p>
    <w:p>
      <w:pPr>
        <w:spacing w:after="0" w:line="314" w:lineRule="exact"/>
        <w:rPr>
          <w:rFonts w:ascii="Arial" w:cs="Arial" w:eastAsia="Arial" w:hAnsi="Arial"/>
          <w:sz w:val="22"/>
          <w:szCs w:val="22"/>
          <w:color w:val="auto"/>
        </w:rPr>
      </w:pPr>
    </w:p>
    <w:p>
      <w:pPr>
        <w:jc w:val="both"/>
        <w:ind w:left="1300" w:firstLine="641"/>
        <w:spacing w:after="0" w:line="300" w:lineRule="auto"/>
        <w:tabs>
          <w:tab w:leader="none" w:pos="2448" w:val="left"/>
        </w:tabs>
        <w:numPr>
          <w:ilvl w:val="1"/>
          <w:numId w:val="81"/>
        </w:numPr>
        <w:rPr>
          <w:rFonts w:ascii="Arial" w:cs="Arial" w:eastAsia="Arial" w:hAnsi="Arial"/>
          <w:sz w:val="19"/>
          <w:szCs w:val="19"/>
          <w:color w:val="auto"/>
        </w:rPr>
      </w:pPr>
      <w:r>
        <w:rPr>
          <w:rFonts w:ascii="Arial" w:cs="Arial" w:eastAsia="Arial" w:hAnsi="Arial"/>
          <w:sz w:val="19"/>
          <w:szCs w:val="19"/>
          <w:color w:val="auto"/>
        </w:rPr>
        <w:t>in the case of a Non-U.S. Lender claiming the benefits of the exemption for portfolio interest under Section 881(c) of the Code, (x) a certificate to the effect that such Non-U.S. Lender is not a “bank” within the meaning of Section 881(c)(3)(A) of the Code, a “10 percent shareholder” of the Borrower within the meaning of Section 881(c)(3)(B) of the Code, or a “controlled foreign corporation” related to the Borrower as described in Section 881(c)(3)(C) of the Code and (y) executed copies of IRS Form W-8BEN or IRS Form W-8BEN-E; or</w:t>
      </w:r>
    </w:p>
    <w:p>
      <w:pPr>
        <w:spacing w:after="0" w:line="241" w:lineRule="exact"/>
        <w:rPr>
          <w:rFonts w:ascii="Arial" w:cs="Arial" w:eastAsia="Arial" w:hAnsi="Arial"/>
          <w:sz w:val="19"/>
          <w:szCs w:val="19"/>
          <w:color w:val="auto"/>
        </w:rPr>
      </w:pPr>
    </w:p>
    <w:p>
      <w:pPr>
        <w:jc w:val="both"/>
        <w:ind w:left="1300" w:firstLine="641"/>
        <w:spacing w:after="0" w:line="278" w:lineRule="auto"/>
        <w:tabs>
          <w:tab w:leader="none" w:pos="2434" w:val="left"/>
        </w:tabs>
        <w:numPr>
          <w:ilvl w:val="1"/>
          <w:numId w:val="81"/>
        </w:numPr>
        <w:rPr>
          <w:rFonts w:ascii="Arial" w:cs="Arial" w:eastAsia="Arial" w:hAnsi="Arial"/>
          <w:sz w:val="21"/>
          <w:szCs w:val="21"/>
          <w:color w:val="auto"/>
        </w:rPr>
      </w:pPr>
      <w:r>
        <w:rPr>
          <w:rFonts w:ascii="Arial" w:cs="Arial" w:eastAsia="Arial" w:hAnsi="Arial"/>
          <w:sz w:val="21"/>
          <w:szCs w:val="21"/>
          <w:color w:val="auto"/>
        </w:rPr>
        <w:t>to the extent a Non-U.S. Lender is not the beneficial owner, executed copies of IRS Form W-8IMY, accompanied by IRS Form W-8ECI, IRS Form W- 8BEN, IRS Form W-8BEN-E, IRS Form W-8IMY or IRS Form W-9, and/or other certification documents from each beneficial owner, as applicable.</w:t>
      </w:r>
    </w:p>
    <w:p>
      <w:pPr>
        <w:spacing w:after="0" w:line="254" w:lineRule="exact"/>
        <w:rPr>
          <w:rFonts w:ascii="Arial" w:cs="Arial" w:eastAsia="Arial" w:hAnsi="Arial"/>
          <w:sz w:val="21"/>
          <w:szCs w:val="21"/>
          <w:color w:val="auto"/>
        </w:rPr>
      </w:pPr>
    </w:p>
    <w:p>
      <w:pPr>
        <w:jc w:val="both"/>
        <w:ind w:firstLine="1293"/>
        <w:spacing w:after="0" w:line="248" w:lineRule="auto"/>
        <w:tabs>
          <w:tab w:leader="none" w:pos="1886" w:val="left"/>
        </w:tabs>
        <w:numPr>
          <w:ilvl w:val="0"/>
          <w:numId w:val="82"/>
        </w:numPr>
        <w:rPr>
          <w:rFonts w:ascii="Arial" w:cs="Arial" w:eastAsia="Arial" w:hAnsi="Arial"/>
          <w:sz w:val="22"/>
          <w:szCs w:val="22"/>
          <w:color w:val="auto"/>
        </w:rPr>
      </w:pPr>
      <w:r>
        <w:rPr>
          <w:rFonts w:ascii="Arial" w:cs="Arial" w:eastAsia="Arial" w:hAnsi="Arial"/>
          <w:sz w:val="22"/>
          <w:szCs w:val="22"/>
          <w:color w:val="auto"/>
        </w:rPr>
        <w:t>any Non-U.S. Lender shall, to the extent it is legally entitled to do so, deliver to the Borrower and the Administrative Agent (in such number of copies as shall be requested by the recipient) on or prior to the date on which such Non-U.S.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290" w:lineRule="exact"/>
        <w:rPr>
          <w:rFonts w:ascii="Arial" w:cs="Arial" w:eastAsia="Arial" w:hAnsi="Arial"/>
          <w:sz w:val="22"/>
          <w:szCs w:val="22"/>
          <w:color w:val="auto"/>
        </w:rPr>
      </w:pPr>
    </w:p>
    <w:p>
      <w:pPr>
        <w:ind w:left="1640" w:hanging="347"/>
        <w:spacing w:after="0"/>
        <w:tabs>
          <w:tab w:leader="none" w:pos="16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if a payment made to a Lender under any Loan Document would be subject to</w:t>
      </w:r>
    </w:p>
    <w:p>
      <w:pPr>
        <w:spacing w:after="0" w:line="22"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spacing w:after="0" w:line="200" w:lineRule="exact"/>
        <w:rPr>
          <w:sz w:val="20"/>
          <w:szCs w:val="20"/>
          <w:color w:val="auto"/>
        </w:rPr>
      </w:pPr>
    </w:p>
    <w:p>
      <w:pPr>
        <w:spacing w:after="0" w:line="313" w:lineRule="exact"/>
        <w:rPr>
          <w:sz w:val="20"/>
          <w:szCs w:val="20"/>
          <w:color w:val="auto"/>
        </w:rPr>
      </w:pPr>
    </w:p>
    <w:p>
      <w:pPr>
        <w:jc w:val="both"/>
        <w:ind w:firstLine="1941"/>
        <w:spacing w:after="0" w:line="253" w:lineRule="auto"/>
        <w:tabs>
          <w:tab w:leader="none" w:pos="2917" w:val="left"/>
        </w:tabs>
        <w:numPr>
          <w:ilvl w:val="0"/>
          <w:numId w:val="83"/>
        </w:numPr>
        <w:rPr>
          <w:rFonts w:ascii="Arial" w:cs="Arial" w:eastAsia="Arial" w:hAnsi="Arial"/>
          <w:sz w:val="22"/>
          <w:szCs w:val="22"/>
          <w:color w:val="auto"/>
        </w:rPr>
      </w:pPr>
      <w:r>
        <w:rPr>
          <w:rFonts w:ascii="Arial" w:cs="Arial" w:eastAsia="Arial" w:hAnsi="Arial"/>
          <w:sz w:val="22"/>
          <w:szCs w:val="22"/>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200" w:lineRule="exact"/>
        <w:rPr>
          <w:sz w:val="20"/>
          <w:szCs w:val="20"/>
          <w:color w:val="auto"/>
        </w:rPr>
      </w:pPr>
    </w:p>
    <w:p>
      <w:pPr>
        <w:spacing w:after="0" w:line="30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00"/>
          </w:cols>
          <w:pgMar w:left="360" w:top="685" w:right="239" w:bottom="1440" w:gutter="0" w:footer="0" w:header="0"/>
        </w:sectPr>
      </w:pPr>
    </w:p>
    <w:bookmarkStart w:id="162" w:name="page163"/>
    <w:bookmarkEnd w:id="162"/>
    <w:p>
      <w:pPr>
        <w:jc w:val="both"/>
        <w:ind w:firstLine="1049"/>
        <w:spacing w:after="0" w:line="286" w:lineRule="auto"/>
        <w:tabs>
          <w:tab w:leader="none" w:pos="2183" w:val="left"/>
        </w:tabs>
        <w:numPr>
          <w:ilvl w:val="0"/>
          <w:numId w:val="84"/>
        </w:numPr>
        <w:rPr>
          <w:rFonts w:ascii="Arial" w:cs="Arial" w:eastAsia="Arial" w:hAnsi="Arial"/>
          <w:sz w:val="19"/>
          <w:szCs w:val="19"/>
          <w:color w:val="auto"/>
        </w:rPr>
      </w:pPr>
      <w:r>
        <w:rPr>
          <w:rFonts w:ascii="Arial" w:cs="Arial" w:eastAsia="Arial" w:hAnsi="Arial"/>
          <w:sz w:val="19"/>
          <w:szCs w:val="19"/>
          <w:color w:val="auto"/>
        </w:rPr>
        <w:t>If any party determines, in its sole discretion exercised in good faith, that it has received a refund, deduction or credit of any Taxes as to which it has been indemnified pursuant to this Section 3.5 (including by the payment of additional amounts pursuant to this Section 3.5), it shall pay to the indemnifying party an amount equal to such refund, deduction or credit (but only to the extent of indemnity payments made under this Section 3.5 with respect to the Taxes giving rise to such refund), net of all reasonable out-of-pocket expenses (including Taxes) of such indemnified party and without interest (other than any interest paid by the relevant Governmental Authority with respect to such refund, deduction or credit).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indemnification payments or additional amounts giving rise to such refund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203" w:lineRule="exact"/>
        <w:rPr>
          <w:rFonts w:ascii="Arial" w:cs="Arial" w:eastAsia="Arial" w:hAnsi="Arial"/>
          <w:sz w:val="19"/>
          <w:szCs w:val="19"/>
          <w:color w:val="auto"/>
        </w:rPr>
      </w:pPr>
    </w:p>
    <w:p>
      <w:pPr>
        <w:jc w:val="both"/>
        <w:ind w:right="20" w:firstLine="1293"/>
        <w:spacing w:after="0" w:line="253" w:lineRule="auto"/>
        <w:tabs>
          <w:tab w:leader="none" w:pos="2197" w:val="left"/>
        </w:tabs>
        <w:numPr>
          <w:ilvl w:val="1"/>
          <w:numId w:val="84"/>
        </w:numPr>
        <w:rPr>
          <w:rFonts w:ascii="Arial" w:cs="Arial" w:eastAsia="Arial" w:hAnsi="Arial"/>
          <w:sz w:val="22"/>
          <w:szCs w:val="22"/>
          <w:color w:val="auto"/>
        </w:rPr>
      </w:pPr>
      <w:r>
        <w:rPr>
          <w:rFonts w:ascii="Arial" w:cs="Arial" w:eastAsia="Arial" w:hAnsi="Arial"/>
          <w:sz w:val="22"/>
          <w:szCs w:val="22"/>
          <w:color w:val="auto"/>
        </w:rPr>
        <w:t>Each party’s obligations under this Section 3.5 shall survive the resignation or replacement of the Administrative Agent or any assignment of rights by, or the replacement of, a Lender, the termination of the Revolving Commitments and the repayment, satisfaction or discharge of all obligations under any Loan Document.</w:t>
      </w:r>
    </w:p>
    <w:p>
      <w:pPr>
        <w:spacing w:after="0" w:line="199" w:lineRule="exact"/>
        <w:rPr>
          <w:rFonts w:ascii="Arial" w:cs="Arial" w:eastAsia="Arial" w:hAnsi="Arial"/>
          <w:sz w:val="22"/>
          <w:szCs w:val="22"/>
          <w:color w:val="auto"/>
        </w:rPr>
      </w:pPr>
    </w:p>
    <w:p>
      <w:pPr>
        <w:ind w:left="2040" w:hanging="747"/>
        <w:spacing w:after="0"/>
        <w:tabs>
          <w:tab w:leader="none" w:pos="2040" w:val="left"/>
        </w:tabs>
        <w:numPr>
          <w:ilvl w:val="1"/>
          <w:numId w:val="84"/>
        </w:numPr>
        <w:rPr>
          <w:rFonts w:ascii="Arial" w:cs="Arial" w:eastAsia="Arial" w:hAnsi="Arial"/>
          <w:sz w:val="22"/>
          <w:szCs w:val="22"/>
          <w:color w:val="auto"/>
        </w:rPr>
      </w:pPr>
      <w:r>
        <w:rPr>
          <w:rFonts w:ascii="Arial" w:cs="Arial" w:eastAsia="Arial" w:hAnsi="Arial"/>
          <w:sz w:val="22"/>
          <w:szCs w:val="22"/>
          <w:color w:val="auto"/>
        </w:rPr>
        <w:t>For purposes of Section 3.5(d) and 3.5(f), the term “Lender” includes the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LC Issuer.</w:t>
      </w:r>
    </w:p>
    <w:p>
      <w:pPr>
        <w:spacing w:after="0" w:line="215" w:lineRule="exact"/>
        <w:rPr>
          <w:sz w:val="20"/>
          <w:szCs w:val="20"/>
          <w:color w:val="auto"/>
        </w:rPr>
      </w:pPr>
    </w:p>
    <w:p>
      <w:pPr>
        <w:jc w:val="both"/>
        <w:ind w:firstLine="1293"/>
        <w:spacing w:after="0" w:line="250" w:lineRule="auto"/>
        <w:tabs>
          <w:tab w:leader="none" w:pos="1570" w:val="left"/>
        </w:tabs>
        <w:numPr>
          <w:ilvl w:val="0"/>
          <w:numId w:val="85"/>
        </w:numPr>
        <w:rPr>
          <w:rFonts w:ascii="Arial" w:cs="Arial" w:eastAsia="Arial" w:hAnsi="Arial"/>
          <w:sz w:val="22"/>
          <w:szCs w:val="22"/>
          <w:color w:val="auto"/>
        </w:rPr>
      </w:pPr>
      <w:r>
        <w:rPr>
          <w:rFonts w:ascii="Arial" w:cs="Arial" w:eastAsia="Arial" w:hAnsi="Arial"/>
          <w:sz w:val="22"/>
          <w:szCs w:val="22"/>
          <w:color w:val="auto"/>
        </w:rPr>
        <w:t>For purposes of determining withholding Taxes imposed under FATCA, from and after the Effective Date, the Borrower, the other Loan Parties and the Administrative Agent shall treat (and the Lenders hereby authorize the Administrative Agent to treat) the Loans and the Facility LCs as not qualifying as a “grandfathered obligation” within the meaning of Treasury Regulation Section 1.1471-2(b)(2)(i).</w:t>
      </w:r>
    </w:p>
    <w:p>
      <w:pPr>
        <w:spacing w:after="0" w:line="229" w:lineRule="exact"/>
        <w:rPr>
          <w:sz w:val="20"/>
          <w:szCs w:val="20"/>
          <w:color w:val="auto"/>
        </w:rPr>
      </w:pPr>
    </w:p>
    <w:p>
      <w:pPr>
        <w:ind w:right="40" w:firstLine="1378"/>
        <w:spacing w:after="0" w:line="290"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Selection of Lending Installation; Mitigation Obligations; Lender Statements; Survival of Indemnity</w:t>
      </w:r>
      <w:r>
        <w:rPr>
          <w:rFonts w:ascii="Arial" w:cs="Arial" w:eastAsia="Arial" w:hAnsi="Arial"/>
          <w:sz w:val="19"/>
          <w:szCs w:val="19"/>
          <w:color w:val="auto"/>
        </w:rPr>
        <w:t>. To the extent reasonably possible, each Lender shall designate an alternate Lending Installation with respect to its Eurocurrency Loans to reduce any liability of the Borrower to such Lender under Sections 3.1, 3.2 or 3.5 or to avoid the unavailability of Eurocurrency Advances, so long as such designation is not, in the judgment of such Lender, disadvantageous to such Lender. Each Lender shall deliver a written statement of such Lender to the Borrower (with a copy to the Administrative Agent) as to the amount due, if any, under Section 3.1, 3.2, 3.4, or 3.5. Such written statement shall set forth in reasonable detail the calculations upon which such Lender determined such amount and shall be final, conclusive and binding on the Borrower in the absence of manifest error. Determination of amounts payable under such Sections in connection with a Eurocurrency Loan shall be calculated as though each Lender funded its Eurocurrency Loan through the purchase of a deposit of the type and maturity corresponding to the deposit used as a reference in determining the Eurocurrency Rate applicable</w:t>
      </w:r>
    </w:p>
    <w:p>
      <w:pPr>
        <w:spacing w:after="0" w:line="16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00"/>
          </w:cols>
          <w:pgMar w:left="360" w:top="375" w:right="239" w:bottom="1440" w:gutter="0" w:footer="0" w:header="0"/>
        </w:sectPr>
      </w:pPr>
    </w:p>
    <w:bookmarkStart w:id="163" w:name="page164"/>
    <w:bookmarkEnd w:id="163"/>
    <w:p>
      <w:pPr>
        <w:spacing w:after="0" w:line="312" w:lineRule="auto"/>
        <w:rPr>
          <w:sz w:val="20"/>
          <w:szCs w:val="20"/>
          <w:color w:val="auto"/>
        </w:rPr>
      </w:pPr>
      <w:r>
        <w:rPr>
          <w:rFonts w:ascii="Arial" w:cs="Arial" w:eastAsia="Arial" w:hAnsi="Arial"/>
          <w:sz w:val="19"/>
          <w:szCs w:val="19"/>
          <w:color w:val="auto"/>
        </w:rPr>
        <w:t>to such Loan, whether in fact that is the case or not. Unless otherwise provided herein, the amount specified in the written statement of any Lender shall be payable on demand after receipt by the Borrower of such written statement. The obligations of the Borrower under Sections 3.1, 3.2, 3.4, and 3.5 shall survive payment of the Obligations and termination of this Agreement.</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40"/>
          </w:cols>
          <w:pgMar w:left="360" w:top="375" w:right="499" w:bottom="1440" w:gutter="0" w:footer="0" w:header="0"/>
        </w:sectPr>
      </w:pPr>
    </w:p>
    <w:bookmarkStart w:id="164" w:name="page165"/>
    <w:bookmarkEnd w:id="164"/>
    <w:p>
      <w:pPr>
        <w:jc w:val="center"/>
        <w:ind w:right="40"/>
        <w:spacing w:after="0"/>
        <w:rPr>
          <w:sz w:val="20"/>
          <w:szCs w:val="20"/>
          <w:color w:val="auto"/>
        </w:rPr>
      </w:pPr>
      <w:r>
        <w:rPr>
          <w:rFonts w:ascii="Arial" w:cs="Arial" w:eastAsia="Arial" w:hAnsi="Arial"/>
          <w:sz w:val="22"/>
          <w:szCs w:val="22"/>
          <w:b w:val="1"/>
          <w:bCs w:val="1"/>
          <w:u w:val="single" w:color="auto"/>
          <w:color w:val="auto"/>
        </w:rPr>
        <w:t>ARTICLE IV CONDITIONS PRECEDENT</w:t>
      </w:r>
    </w:p>
    <w:p>
      <w:pPr>
        <w:spacing w:after="0" w:line="145" w:lineRule="exact"/>
        <w:rPr>
          <w:sz w:val="20"/>
          <w:szCs w:val="20"/>
          <w:color w:val="auto"/>
        </w:rPr>
      </w:pPr>
    </w:p>
    <w:p>
      <w:pPr>
        <w:ind w:right="3320" w:firstLine="1378"/>
        <w:spacing w:after="0" w:line="358"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Initial Credit Extension</w:t>
      </w:r>
      <w:r>
        <w:rPr>
          <w:rFonts w:ascii="Arial" w:cs="Arial" w:eastAsia="Arial" w:hAnsi="Arial"/>
          <w:sz w:val="19"/>
          <w:szCs w:val="19"/>
          <w:color w:val="auto"/>
        </w:rPr>
        <w:t>. The Lenders shall not be required to make the initial Credit Extension hereunder unless each of the following conditions is satisfied:</w:t>
      </w:r>
    </w:p>
    <w:p>
      <w:pPr>
        <w:spacing w:after="0" w:line="131" w:lineRule="exact"/>
        <w:rPr>
          <w:sz w:val="20"/>
          <w:szCs w:val="20"/>
          <w:color w:val="auto"/>
        </w:rPr>
      </w:pPr>
    </w:p>
    <w:p>
      <w:pPr>
        <w:ind w:left="1040"/>
        <w:spacing w:after="0"/>
        <w:tabs>
          <w:tab w:leader="none" w:pos="14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Administrative Agent shall have received executed counterparts of each of this Agreement and the Security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56" w:lineRule="exact"/>
        <w:rPr>
          <w:sz w:val="20"/>
          <w:szCs w:val="20"/>
          <w:color w:val="auto"/>
        </w:rPr>
      </w:pPr>
    </w:p>
    <w:p>
      <w:pPr>
        <w:jc w:val="both"/>
        <w:ind w:firstLine="1049"/>
        <w:spacing w:after="0" w:line="300" w:lineRule="auto"/>
        <w:tabs>
          <w:tab w:leader="none" w:pos="1566"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Administrative Agent shall have received a certificate, signed by an Authorized Officer of the Borrower, stating that on the Effective Date (1) there is no Default or Event of Default which has occurred and is continuing nor will any such Default or Event of Default exist after giving effect to the transactions with the Bank which have been requested by the Borrower; (2) the representations and warranties contained in Article V are true and correct as of the date of the certificate with the same force and effect as if made on such date; and (3) there has been no Material Adverse Effect since December 31, 2016.</w:t>
      </w:r>
    </w:p>
    <w:p>
      <w:pPr>
        <w:spacing w:after="0" w:line="187" w:lineRule="exact"/>
        <w:rPr>
          <w:rFonts w:ascii="Arial" w:cs="Arial" w:eastAsia="Arial" w:hAnsi="Arial"/>
          <w:sz w:val="19"/>
          <w:szCs w:val="19"/>
          <w:color w:val="auto"/>
        </w:rPr>
      </w:pPr>
    </w:p>
    <w:p>
      <w:pPr>
        <w:jc w:val="both"/>
        <w:ind w:firstLine="1049"/>
        <w:spacing w:after="0" w:line="254" w:lineRule="auto"/>
        <w:tabs>
          <w:tab w:leader="none" w:pos="1473"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Administrative Agent shall have received a written opinion of the Borrower’s counsel, in form and substance acceptable to the Administrative Agent, addressed to the Lenders, substantially covering the opinions set forth in Exhibit A and such other opinions reasonably required by the Administrative Agent. The Borrower’s counsel shall be reasonably acceptable to the Administrative Agent.</w:t>
      </w:r>
    </w:p>
    <w:p>
      <w:pPr>
        <w:spacing w:after="0" w:line="225" w:lineRule="exact"/>
        <w:rPr>
          <w:rFonts w:ascii="Arial" w:cs="Arial" w:eastAsia="Arial" w:hAnsi="Arial"/>
          <w:sz w:val="22"/>
          <w:szCs w:val="22"/>
          <w:color w:val="auto"/>
        </w:rPr>
      </w:pPr>
    </w:p>
    <w:p>
      <w:pPr>
        <w:ind w:firstLine="1049"/>
        <w:spacing w:after="0" w:line="276" w:lineRule="auto"/>
        <w:tabs>
          <w:tab w:leader="none" w:pos="1512"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Administrative Agent shall have received any Notes requested by one or more Lenders pursuant to Section 2.13 payable to the order of each such requesting Lender.</w:t>
      </w:r>
    </w:p>
    <w:p>
      <w:pPr>
        <w:spacing w:after="0" w:line="201" w:lineRule="exact"/>
        <w:rPr>
          <w:rFonts w:ascii="Arial" w:cs="Arial" w:eastAsia="Arial" w:hAnsi="Arial"/>
          <w:sz w:val="22"/>
          <w:szCs w:val="22"/>
          <w:color w:val="auto"/>
        </w:rPr>
      </w:pPr>
    </w:p>
    <w:p>
      <w:pPr>
        <w:jc w:val="both"/>
        <w:ind w:firstLine="1049"/>
        <w:spacing w:after="0" w:line="251" w:lineRule="auto"/>
        <w:tabs>
          <w:tab w:leader="none" w:pos="1608"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Administrative Agent shall have received such documents and certificates relating to the organization, existence and good standing of the Borrower and each initial Guarantor, the authorization of the transactions contemplated hereby and any other legal matters relating to the Borrower and such Guarantors, the Loan Documents or the transactions contemplated hereby, all in form and substance satisfactory to the Administrative Agent and its counsel and as further described in the list of closing documents attached as Exhibit F.</w:t>
      </w:r>
    </w:p>
    <w:p>
      <w:pPr>
        <w:spacing w:after="0" w:line="203" w:lineRule="exact"/>
        <w:rPr>
          <w:rFonts w:ascii="Arial" w:cs="Arial" w:eastAsia="Arial" w:hAnsi="Arial"/>
          <w:sz w:val="22"/>
          <w:szCs w:val="22"/>
          <w:color w:val="auto"/>
        </w:rPr>
      </w:pPr>
    </w:p>
    <w:p>
      <w:pPr>
        <w:ind w:firstLine="1049"/>
        <w:spacing w:after="0" w:line="276" w:lineRule="auto"/>
        <w:tabs>
          <w:tab w:leader="none" w:pos="1463" w:val="left"/>
        </w:tabs>
        <w:numPr>
          <w:ilvl w:val="0"/>
          <w:numId w:val="86"/>
        </w:numPr>
        <w:rPr>
          <w:rFonts w:ascii="Arial" w:cs="Arial" w:eastAsia="Arial" w:hAnsi="Arial"/>
          <w:sz w:val="22"/>
          <w:szCs w:val="22"/>
          <w:color w:val="auto"/>
        </w:rPr>
      </w:pPr>
      <w:r>
        <w:rPr>
          <w:rFonts w:ascii="Arial" w:cs="Arial" w:eastAsia="Arial" w:hAnsi="Arial"/>
          <w:sz w:val="22"/>
          <w:szCs w:val="22"/>
          <w:color w:val="auto"/>
        </w:rPr>
        <w:t>If the initial Credit Extension will be the issuance of a Facility LC, the Administrative Agent shall have received a properly completed Facility LC Application.</w:t>
      </w:r>
    </w:p>
    <w:p>
      <w:pPr>
        <w:spacing w:after="0" w:line="201" w:lineRule="exact"/>
        <w:rPr>
          <w:rFonts w:ascii="Arial" w:cs="Arial" w:eastAsia="Arial" w:hAnsi="Arial"/>
          <w:sz w:val="22"/>
          <w:szCs w:val="22"/>
          <w:color w:val="auto"/>
        </w:rPr>
      </w:pPr>
    </w:p>
    <w:p>
      <w:pPr>
        <w:jc w:val="both"/>
        <w:ind w:firstLine="1049"/>
        <w:spacing w:after="0" w:line="260" w:lineRule="auto"/>
        <w:tabs>
          <w:tab w:leader="none" w:pos="158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Administrative Agent shall have received all fees and other amounts due and payable on or prior to the Effective Date, including, to the extent invoiced, reimbursement or payment of all out-of-pocket expenses required to be reimbursed or paid by the Borrower hereunder.</w:t>
      </w:r>
    </w:p>
    <w:p>
      <w:pPr>
        <w:spacing w:after="0" w:line="164" w:lineRule="exact"/>
        <w:rPr>
          <w:sz w:val="20"/>
          <w:szCs w:val="20"/>
          <w:color w:val="auto"/>
        </w:rPr>
      </w:pPr>
    </w:p>
    <w:p>
      <w:pPr>
        <w:ind w:left="1520" w:hanging="484"/>
        <w:spacing w:after="0"/>
        <w:tabs>
          <w:tab w:leader="none" w:pos="1520"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There shall not have occurred a Material Adverse Effect since December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31, 2016.</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00"/>
          </w:cols>
          <w:pgMar w:left="360" w:top="1003" w:right="239" w:bottom="1440" w:gutter="0" w:footer="0" w:header="0"/>
        </w:sectPr>
      </w:pPr>
    </w:p>
    <w:bookmarkStart w:id="165" w:name="page166"/>
    <w:bookmarkEnd w:id="165"/>
    <w:p>
      <w:pPr>
        <w:jc w:val="both"/>
        <w:ind w:left="4" w:firstLine="1049"/>
        <w:spacing w:after="0" w:line="266" w:lineRule="auto"/>
        <w:tabs>
          <w:tab w:leader="none" w:pos="1603" w:val="left"/>
        </w:tabs>
        <w:numPr>
          <w:ilvl w:val="1"/>
          <w:numId w:val="88"/>
        </w:numPr>
        <w:rPr>
          <w:rFonts w:ascii="Arial" w:cs="Arial" w:eastAsia="Arial" w:hAnsi="Arial"/>
          <w:sz w:val="21"/>
          <w:szCs w:val="21"/>
          <w:color w:val="auto"/>
        </w:rPr>
      </w:pPr>
      <w:r>
        <w:rPr>
          <w:rFonts w:ascii="Arial" w:cs="Arial" w:eastAsia="Arial" w:hAnsi="Arial"/>
          <w:sz w:val="21"/>
          <w:szCs w:val="21"/>
          <w:color w:val="auto"/>
        </w:rPr>
        <w:t>The Administrative Agent shall have received evidence of all governmental, equity holder and third party consents and approvals necessary in connection with the contemplated financing and all applicable waiting periods shall have expired without any action being taken by any authority that would be reasonably likely to restrain, prevent or impose any material adverse conditions on the Borrower and its Subsidiaries, taken as a whole, and no law or regulation shall be applicable which in the reasonable judgment of the Administrative Agent could have such effect.</w:t>
      </w:r>
    </w:p>
    <w:p>
      <w:pPr>
        <w:spacing w:after="0" w:line="214" w:lineRule="exact"/>
        <w:rPr>
          <w:rFonts w:ascii="Arial" w:cs="Arial" w:eastAsia="Arial" w:hAnsi="Arial"/>
          <w:sz w:val="21"/>
          <w:szCs w:val="21"/>
          <w:color w:val="auto"/>
        </w:rPr>
      </w:pPr>
    </w:p>
    <w:p>
      <w:pPr>
        <w:jc w:val="both"/>
        <w:ind w:left="4" w:firstLine="1049"/>
        <w:spacing w:after="0" w:line="260" w:lineRule="auto"/>
        <w:tabs>
          <w:tab w:leader="none" w:pos="1495" w:val="left"/>
        </w:tabs>
        <w:numPr>
          <w:ilvl w:val="1"/>
          <w:numId w:val="88"/>
        </w:numPr>
        <w:rPr>
          <w:rFonts w:ascii="Arial" w:cs="Arial" w:eastAsia="Arial" w:hAnsi="Arial"/>
          <w:sz w:val="22"/>
          <w:szCs w:val="22"/>
          <w:color w:val="auto"/>
        </w:rPr>
      </w:pPr>
      <w:r>
        <w:rPr>
          <w:rFonts w:ascii="Arial" w:cs="Arial" w:eastAsia="Arial" w:hAnsi="Arial"/>
          <w:sz w:val="22"/>
          <w:szCs w:val="22"/>
          <w:color w:val="auto"/>
        </w:rPr>
        <w:t>No action, suit, investigation or proceeding is pending or, to the knowledge of the Borrower, threatened in any court or before any arbitrator or Governmental Authority that would reasonably be expected to result in a Material Adverse Effect or which seeks to prevent, enjoin or delay the making of any Credit Extensions.</w:t>
      </w:r>
    </w:p>
    <w:p>
      <w:pPr>
        <w:spacing w:after="0" w:line="217" w:lineRule="exact"/>
        <w:rPr>
          <w:rFonts w:ascii="Arial" w:cs="Arial" w:eastAsia="Arial" w:hAnsi="Arial"/>
          <w:sz w:val="22"/>
          <w:szCs w:val="22"/>
          <w:color w:val="auto"/>
        </w:rPr>
      </w:pPr>
    </w:p>
    <w:p>
      <w:pPr>
        <w:jc w:val="both"/>
        <w:ind w:left="4" w:firstLine="1049"/>
        <w:spacing w:after="0" w:line="248" w:lineRule="auto"/>
        <w:tabs>
          <w:tab w:leader="none" w:pos="1611" w:val="left"/>
        </w:tabs>
        <w:numPr>
          <w:ilvl w:val="1"/>
          <w:numId w:val="88"/>
        </w:numPr>
        <w:rPr>
          <w:rFonts w:ascii="Arial" w:cs="Arial" w:eastAsia="Arial" w:hAnsi="Arial"/>
          <w:sz w:val="22"/>
          <w:szCs w:val="22"/>
          <w:color w:val="auto"/>
        </w:rPr>
      </w:pPr>
      <w:r>
        <w:rPr>
          <w:rFonts w:ascii="Arial" w:cs="Arial" w:eastAsia="Arial" w:hAnsi="Arial"/>
          <w:sz w:val="22"/>
          <w:szCs w:val="22"/>
          <w:color w:val="auto"/>
        </w:rPr>
        <w:t>The Administrative Agent shall have received: (i) pro forma financial statements giving effect to the initial Credit Extensions contemplated hereby, which demonstrate, in the Administrative Agent’s reasonable judgment, together with all other information then available to the Administrative Agent, that the Borrower can repay its debts and satisfy its other obligations as and when they become due, and can comply with the financial covenants set forth in Section 6.21, (ii) such information as the Administrative Agent may reasonably request to confirm the tax, legal, and business assumptions made in such pro forma financial statements,</w:t>
      </w:r>
    </w:p>
    <w:p>
      <w:pPr>
        <w:spacing w:after="0" w:line="2" w:lineRule="exact"/>
        <w:rPr>
          <w:rFonts w:ascii="Arial" w:cs="Arial" w:eastAsia="Arial" w:hAnsi="Arial"/>
          <w:sz w:val="22"/>
          <w:szCs w:val="22"/>
          <w:color w:val="auto"/>
        </w:rPr>
      </w:pPr>
    </w:p>
    <w:p>
      <w:pPr>
        <w:jc w:val="both"/>
        <w:ind w:left="4" w:hanging="4"/>
        <w:spacing w:after="0" w:line="245" w:lineRule="auto"/>
        <w:tabs>
          <w:tab w:leader="none" w:pos="398" w:val="left"/>
        </w:tabs>
        <w:numPr>
          <w:ilvl w:val="0"/>
          <w:numId w:val="89"/>
        </w:numPr>
        <w:rPr>
          <w:rFonts w:ascii="Arial" w:cs="Arial" w:eastAsia="Arial" w:hAnsi="Arial"/>
          <w:sz w:val="22"/>
          <w:szCs w:val="22"/>
          <w:color w:val="auto"/>
        </w:rPr>
      </w:pPr>
      <w:r>
        <w:rPr>
          <w:rFonts w:ascii="Arial" w:cs="Arial" w:eastAsia="Arial" w:hAnsi="Arial"/>
          <w:sz w:val="22"/>
          <w:szCs w:val="22"/>
          <w:color w:val="auto"/>
        </w:rPr>
        <w:t>unaudited consolidated financial statements of the Borrower and its Subsidiaries for the fiscal quarter ended June 30, 2017, and (iv) audited consolidated financial statements of the Borrower and its Subsidiaries for the fiscal year ended December 31, 2016.</w:t>
      </w:r>
    </w:p>
    <w:p>
      <w:pPr>
        <w:spacing w:after="0" w:line="233" w:lineRule="exact"/>
        <w:rPr>
          <w:rFonts w:ascii="Arial" w:cs="Arial" w:eastAsia="Arial" w:hAnsi="Arial"/>
          <w:sz w:val="22"/>
          <w:szCs w:val="22"/>
          <w:color w:val="auto"/>
        </w:rPr>
      </w:pPr>
    </w:p>
    <w:p>
      <w:pPr>
        <w:jc w:val="both"/>
        <w:ind w:left="4" w:firstLine="1049"/>
        <w:spacing w:after="0" w:line="260" w:lineRule="auto"/>
        <w:tabs>
          <w:tab w:leader="none" w:pos="1603" w:val="left"/>
        </w:tabs>
        <w:numPr>
          <w:ilvl w:val="1"/>
          <w:numId w:val="89"/>
        </w:numPr>
        <w:rPr>
          <w:rFonts w:ascii="Arial" w:cs="Arial" w:eastAsia="Arial" w:hAnsi="Arial"/>
          <w:sz w:val="22"/>
          <w:szCs w:val="22"/>
          <w:color w:val="auto"/>
        </w:rPr>
      </w:pPr>
      <w:r>
        <w:rPr>
          <w:rFonts w:ascii="Arial" w:cs="Arial" w:eastAsia="Arial" w:hAnsi="Arial"/>
          <w:sz w:val="22"/>
          <w:szCs w:val="22"/>
          <w:color w:val="auto"/>
        </w:rPr>
        <w:t>The Administrative Agent shall have received evidence of current insurance coverage in form, scope and substance reasonably satisfactory to the Administrative Agent and otherwise in compliance with the terms of Sections 5.18 and 6.6.</w:t>
      </w:r>
    </w:p>
    <w:p>
      <w:pPr>
        <w:spacing w:after="0" w:line="217" w:lineRule="exact"/>
        <w:rPr>
          <w:rFonts w:ascii="Arial" w:cs="Arial" w:eastAsia="Arial" w:hAnsi="Arial"/>
          <w:sz w:val="22"/>
          <w:szCs w:val="22"/>
          <w:color w:val="auto"/>
        </w:rPr>
      </w:pPr>
    </w:p>
    <w:p>
      <w:pPr>
        <w:jc w:val="both"/>
        <w:ind w:left="4" w:firstLine="1049"/>
        <w:spacing w:after="0" w:line="251" w:lineRule="auto"/>
        <w:tabs>
          <w:tab w:leader="none" w:pos="1684" w:val="left"/>
        </w:tabs>
        <w:numPr>
          <w:ilvl w:val="1"/>
          <w:numId w:val="89"/>
        </w:numPr>
        <w:rPr>
          <w:rFonts w:ascii="Arial" w:cs="Arial" w:eastAsia="Arial" w:hAnsi="Arial"/>
          <w:sz w:val="22"/>
          <w:szCs w:val="22"/>
          <w:color w:val="auto"/>
        </w:rPr>
      </w:pPr>
      <w:r>
        <w:rPr>
          <w:rFonts w:ascii="Arial" w:cs="Arial" w:eastAsia="Arial" w:hAnsi="Arial"/>
          <w:sz w:val="22"/>
          <w:szCs w:val="22"/>
          <w:color w:val="auto"/>
        </w:rPr>
        <w:t>Each document (including any Uniform Commercial Code financing statement) required by the Collateral Documents or under law or reasonably requested by the Administrative Agent to be filed, registered or recorded in order to create in favor of the Administrative Agent, for the benefit of the Lenders, a perfected Lien on the Collateral described herein, prior and superior in right to any other Person (other than with respect to Permitted Liens), shall be in proper form for filing, registration or recordation.</w:t>
      </w:r>
    </w:p>
    <w:p>
      <w:pPr>
        <w:spacing w:after="0" w:line="271" w:lineRule="exact"/>
        <w:rPr>
          <w:sz w:val="20"/>
          <w:szCs w:val="20"/>
          <w:color w:val="auto"/>
        </w:rPr>
      </w:pPr>
    </w:p>
    <w:p>
      <w:pPr>
        <w:jc w:val="both"/>
        <w:ind w:left="4" w:firstLine="1378"/>
        <w:spacing w:after="0" w:line="260"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Each Credit Extension</w:t>
      </w:r>
      <w:r>
        <w:rPr>
          <w:rFonts w:ascii="Arial" w:cs="Arial" w:eastAsia="Arial" w:hAnsi="Arial"/>
          <w:sz w:val="22"/>
          <w:szCs w:val="22"/>
          <w:color w:val="auto"/>
        </w:rPr>
        <w:t>. The Lenders shall not (except as otherwise set forth in Section 2.4(d) with respect to Revolving Loans for the purpose of repaying Swing Line Loans) be required to make any Credit Extension unless on the applicable Borrowing Date:</w:t>
      </w:r>
    </w:p>
    <w:p>
      <w:pPr>
        <w:spacing w:after="0" w:line="218" w:lineRule="exact"/>
        <w:rPr>
          <w:sz w:val="20"/>
          <w:szCs w:val="20"/>
          <w:color w:val="auto"/>
        </w:rPr>
      </w:pPr>
    </w:p>
    <w:p>
      <w:pPr>
        <w:jc w:val="both"/>
        <w:ind w:left="4" w:firstLine="1049"/>
        <w:spacing w:after="0" w:line="250" w:lineRule="auto"/>
        <w:tabs>
          <w:tab w:leader="none" w:pos="2175" w:val="left"/>
        </w:tabs>
        <w:numPr>
          <w:ilvl w:val="0"/>
          <w:numId w:val="90"/>
        </w:numPr>
        <w:rPr>
          <w:rFonts w:ascii="Arial" w:cs="Arial" w:eastAsia="Arial" w:hAnsi="Arial"/>
          <w:sz w:val="22"/>
          <w:szCs w:val="22"/>
          <w:color w:val="auto"/>
        </w:rPr>
      </w:pPr>
      <w:r>
        <w:rPr>
          <w:rFonts w:ascii="Arial" w:cs="Arial" w:eastAsia="Arial" w:hAnsi="Arial"/>
          <w:sz w:val="22"/>
          <w:szCs w:val="22"/>
          <w:color w:val="auto"/>
        </w:rPr>
        <w:t>Both immediately before and immediately after giving effect to such Credit Extension and the application of the proceeds thereof, (i) there exists no Default or Event of Default, and (ii) the Consolidated Cash Flow Leverage Ratio shall not exceed (x) in the case of Credit Extension on or before September 30, 2018, 2.5 to 1.0 and (y) in the case of any Credit Extension after September 30, 2018, 2.25 to 1.0.</w:t>
      </w:r>
    </w:p>
    <w:p>
      <w:pPr>
        <w:spacing w:after="0" w:line="228" w:lineRule="exact"/>
        <w:rPr>
          <w:rFonts w:ascii="Arial" w:cs="Arial" w:eastAsia="Arial" w:hAnsi="Arial"/>
          <w:sz w:val="22"/>
          <w:szCs w:val="22"/>
          <w:color w:val="auto"/>
        </w:rPr>
      </w:pPr>
    </w:p>
    <w:p>
      <w:pPr>
        <w:jc w:val="both"/>
        <w:ind w:left="4" w:firstLine="1049"/>
        <w:spacing w:after="0" w:line="302" w:lineRule="auto"/>
        <w:tabs>
          <w:tab w:leader="none" w:pos="2187"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representations and warranties contained in Article V are (x) with respect to any representations or warranties that contain a materiality qualifier, true and correct in all respects as of such Borrowing Date, except to the extent any such representation or warranty is stated to relate solely to an earlier date, in which case such representation or warranty shall have been true and correct in all respects on and as of such earlier date and (y) with respect to any representations</w:t>
      </w:r>
    </w:p>
    <w:p>
      <w:pPr>
        <w:spacing w:after="0" w:line="150"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04"/>
          </w:cols>
          <w:pgMar w:left="356" w:top="429" w:right="239" w:bottom="1440" w:gutter="0" w:footer="0" w:header="0"/>
        </w:sectPr>
      </w:pPr>
    </w:p>
    <w:bookmarkStart w:id="166" w:name="page167"/>
    <w:bookmarkEnd w:id="166"/>
    <w:p>
      <w:pPr>
        <w:jc w:val="both"/>
        <w:spacing w:after="0" w:line="271" w:lineRule="auto"/>
        <w:rPr>
          <w:sz w:val="20"/>
          <w:szCs w:val="20"/>
          <w:color w:val="auto"/>
        </w:rPr>
      </w:pPr>
      <w:r>
        <w:rPr>
          <w:rFonts w:ascii="Arial" w:cs="Arial" w:eastAsia="Arial" w:hAnsi="Arial"/>
          <w:sz w:val="21"/>
          <w:szCs w:val="21"/>
          <w:color w:val="auto"/>
        </w:rPr>
        <w:t>or warranties that do not contain a materiality qualifier, true and correct in all material respects as of such Borrowing Date, except to the extent any such representation or warranty is stated to relate solely to an earlier date, in which case such representation or warranty shall have been true and correct in all material respects on and as of such earlier date.</w:t>
      </w:r>
    </w:p>
    <w:p>
      <w:pPr>
        <w:spacing w:after="0" w:line="20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Each Borrowing Notice or Swing Line Borrowing Notice, as the case may be, or request for issuance of a Facility LC with respect to each such Credit Extension shall constitute a representation and warranty by the Borrower that the conditions contained in Sections 4.2(a) and (b) have been satisfied.</w:t>
      </w:r>
    </w:p>
    <w:p>
      <w:pPr>
        <w:spacing w:after="0" w:line="315" w:lineRule="exact"/>
        <w:rPr>
          <w:sz w:val="20"/>
          <w:szCs w:val="20"/>
          <w:color w:val="auto"/>
        </w:rPr>
      </w:pPr>
    </w:p>
    <w:p>
      <w:pPr>
        <w:ind w:left="3600"/>
        <w:spacing w:after="0"/>
        <w:rPr>
          <w:sz w:val="20"/>
          <w:szCs w:val="20"/>
          <w:color w:val="auto"/>
        </w:rPr>
      </w:pPr>
      <w:r>
        <w:rPr>
          <w:rFonts w:ascii="Arial" w:cs="Arial" w:eastAsia="Arial" w:hAnsi="Arial"/>
          <w:sz w:val="22"/>
          <w:szCs w:val="22"/>
          <w:b w:val="1"/>
          <w:bCs w:val="1"/>
          <w:u w:val="single" w:color="auto"/>
          <w:color w:val="auto"/>
        </w:rPr>
        <w:t>ARTICLE V REPRESENTATIONS AND WARRANTIES</w:t>
      </w:r>
    </w:p>
    <w:p>
      <w:pPr>
        <w:spacing w:after="0" w:line="200" w:lineRule="exact"/>
        <w:rPr>
          <w:sz w:val="20"/>
          <w:szCs w:val="20"/>
          <w:color w:val="auto"/>
        </w:rPr>
      </w:pPr>
    </w:p>
    <w:p>
      <w:pPr>
        <w:spacing w:after="0" w:line="20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The Borrower represents and warrants to the Lenders that:</w:t>
      </w:r>
    </w:p>
    <w:p>
      <w:pPr>
        <w:spacing w:after="0" w:line="260" w:lineRule="exact"/>
        <w:rPr>
          <w:sz w:val="20"/>
          <w:szCs w:val="20"/>
          <w:color w:val="auto"/>
        </w:rPr>
      </w:pPr>
    </w:p>
    <w:p>
      <w:pPr>
        <w:jc w:val="both"/>
        <w:ind w:firstLine="1378"/>
        <w:spacing w:after="0" w:line="259"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Existence and Standing</w:t>
      </w:r>
      <w:r>
        <w:rPr>
          <w:rFonts w:ascii="Arial" w:cs="Arial" w:eastAsia="Arial" w:hAnsi="Arial"/>
          <w:sz w:val="21"/>
          <w:szCs w:val="21"/>
          <w:color w:val="auto"/>
        </w:rPr>
        <w:t>. The Borrower is a corporation duly and properly incorporated and in good standing under the laws of the State of Delaware and has all requisite authority to conduct its business in each jurisdiction in which its business is conducted. Each Restricted Subsidiary is duly organized, validly existing, and in good standing under the laws of the jurisdiction of its organization and has all requisite power and authority to carry on its business as now conducted. Each of the Borrower and the Restricted Subsidiaries (a) holds all certificates of authority, licenses, and permits necessary to carry on its business as presently conducted in each jurisdiction in which it is carrying on such business, except where the failure to hold such certificates, licenses, or permits could not constitute a Material Adverse Effect and (b) is duly qualified and in good standing as a foreign corporation (or other organization) in each jurisdiction in which the character of the properties it owns, leases, or operates or the business it conducts makes such qualification necessary and the failure so to qualify could permanently preclude the Borrower or such Restricted Subsidiary from enforcing its rights with respect to any assets or expose the Borrower to any Material Adverse Occurrence.</w:t>
      </w:r>
    </w:p>
    <w:p>
      <w:pPr>
        <w:spacing w:after="0" w:line="267" w:lineRule="exact"/>
        <w:rPr>
          <w:sz w:val="20"/>
          <w:szCs w:val="20"/>
          <w:color w:val="auto"/>
        </w:rPr>
      </w:pPr>
    </w:p>
    <w:p>
      <w:pPr>
        <w:jc w:val="both"/>
        <w:ind w:firstLine="1378"/>
        <w:spacing w:after="0" w:line="297"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Authorization and Validity</w:t>
      </w:r>
      <w:r>
        <w:rPr>
          <w:rFonts w:ascii="Arial" w:cs="Arial" w:eastAsia="Arial" w:hAnsi="Arial"/>
          <w:sz w:val="19"/>
          <w:szCs w:val="19"/>
          <w:color w:val="auto"/>
        </w:rPr>
        <w:t>. The Borrower has the power and authority and legal right to execute and deliver the Loan Documents to which it is a party and to perform its obligations thereunder. The execution and delivery by the Borrower of the Loan Documents to which it is a party and the performance of its obligations thereunder have been duly authorized by proper corporate proceedings, and the Loan Documents to which the Borrower is a party constitute legal, valid and binding obligations of the Borrower enforceable against the Borrower in accordance with their terms, except as enforceability may be limited by bankruptcy, insolvency or similar laws affecting the enforcement of creditors’ rights generally.</w:t>
      </w:r>
    </w:p>
    <w:p>
      <w:pPr>
        <w:spacing w:after="0" w:line="187" w:lineRule="exact"/>
        <w:rPr>
          <w:sz w:val="20"/>
          <w:szCs w:val="20"/>
          <w:color w:val="auto"/>
        </w:rPr>
      </w:pPr>
    </w:p>
    <w:p>
      <w:pPr>
        <w:jc w:val="both"/>
        <w:ind w:firstLine="1378"/>
        <w:spacing w:after="0" w:line="248"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No Conflict; No Default</w:t>
      </w:r>
      <w:r>
        <w:rPr>
          <w:rFonts w:ascii="Arial" w:cs="Arial" w:eastAsia="Arial" w:hAnsi="Arial"/>
          <w:sz w:val="22"/>
          <w:szCs w:val="22"/>
          <w:color w:val="auto"/>
        </w:rPr>
        <w:t>. Neither the execution and delivery by the Borrower of the Loan Documents to which it is a party, nor the consummation of the transactions therein contemplated, nor compliance with the provisions thereof will violate (i) any law, rule, regulation, order, writ, judgment, injunction, decree or award binding on the Borrower or (ii) the Borrower’s Constituent Documents, or (iii) the provisions of any indenture, instrument or agreement to which the Borrower or any of its Subsidiaries is a party or is subject, or by which it, or its Property, is bound, or conflict with or constitute a default thereunder, or result in, or require, the creation or imposition of any Lien in, of or on the Property of the Borrower or a Restricted Subsidiary pursuant</w:t>
      </w:r>
    </w:p>
    <w:p>
      <w:pPr>
        <w:spacing w:after="0" w:line="20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00"/>
          </w:cols>
          <w:pgMar w:left="360" w:top="375" w:right="239" w:bottom="1440" w:gutter="0" w:footer="0" w:header="0"/>
        </w:sectPr>
      </w:pPr>
    </w:p>
    <w:bookmarkStart w:id="167" w:name="page168"/>
    <w:bookmarkEnd w:id="167"/>
    <w:p>
      <w:pPr>
        <w:jc w:val="both"/>
        <w:spacing w:after="0" w:line="250" w:lineRule="auto"/>
        <w:rPr>
          <w:sz w:val="20"/>
          <w:szCs w:val="20"/>
          <w:color w:val="auto"/>
        </w:rPr>
      </w:pPr>
      <w:r>
        <w:rPr>
          <w:rFonts w:ascii="Arial" w:cs="Arial" w:eastAsia="Arial" w:hAnsi="Arial"/>
          <w:sz w:val="22"/>
          <w:szCs w:val="22"/>
          <w:color w:val="auto"/>
        </w:rPr>
        <w:t>to the terms of any such indenture, instrument or agreement. Neither the Borrower nor any Restricted Subsidiary is in default under or in violation of any such law, statute, rule, regulation, order, writ, judgment, injunction, decree, determination, or award or any such indenture, loan or credit agreement, or other agreement, lease, or instrument in any case in which the consequences of such default or violation could constitute a Material Adverse Effect.</w:t>
      </w:r>
    </w:p>
    <w:p>
      <w:pPr>
        <w:spacing w:after="0" w:line="229" w:lineRule="exact"/>
        <w:rPr>
          <w:sz w:val="20"/>
          <w:szCs w:val="20"/>
          <w:color w:val="auto"/>
        </w:rPr>
      </w:pPr>
    </w:p>
    <w:p>
      <w:pPr>
        <w:jc w:val="both"/>
        <w:ind w:firstLine="1378"/>
        <w:spacing w:after="0" w:line="264"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u w:val="single" w:color="auto"/>
          <w:color w:val="auto"/>
        </w:rPr>
        <w:t>Government Consent</w:t>
      </w:r>
      <w:r>
        <w:rPr>
          <w:rFonts w:ascii="Arial" w:cs="Arial" w:eastAsia="Arial" w:hAnsi="Arial"/>
          <w:sz w:val="21"/>
          <w:szCs w:val="21"/>
          <w:color w:val="auto"/>
        </w:rPr>
        <w:t>. No order, consent, adjudication, approval, license, authorization, or validation of, or filing, recording or registration with, or exemption by, or other action in respect of any governmental or public body or authority, or any subdivision thereof, which has not been obtained by the Borrower or any of its Restricted Subsidiaries, is required to be obtained by the Borrower or any of its Restricted Subsidiaries in connection with the execution and delivery of the Loan Documents, the borrowings under this Agreement, the payment and performance by the Borrower of the Obligations or the legality, validity, binding effect or enforceability of any of the Loan Documents.</w:t>
      </w:r>
    </w:p>
    <w:p>
      <w:pPr>
        <w:spacing w:after="0" w:line="216" w:lineRule="exact"/>
        <w:rPr>
          <w:sz w:val="20"/>
          <w:szCs w:val="20"/>
          <w:color w:val="auto"/>
        </w:rPr>
      </w:pPr>
    </w:p>
    <w:p>
      <w:pPr>
        <w:jc w:val="both"/>
        <w:ind w:firstLine="1378"/>
        <w:spacing w:after="0" w:line="248"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Financial Statements and Condition</w:t>
      </w:r>
      <w:r>
        <w:rPr>
          <w:rFonts w:ascii="Arial" w:cs="Arial" w:eastAsia="Arial" w:hAnsi="Arial"/>
          <w:sz w:val="22"/>
          <w:szCs w:val="22"/>
          <w:color w:val="auto"/>
        </w:rPr>
        <w:t>. The December 31, 2016 audited consolidated financial statements of the Borrower and its Subsidiaries, and the Borrower’s unaudited financial statements dated as of June 30, 2017, heretofore delivered to the Lenders were prepared in accordance with GAAP in effect on the date such statements were prepared and fairly present the consolidated financial condition and operations of the Borrower and its Subsidiaries at such date and the consolidated results of their operations for the period then ended. The consolidated financial projections (including an operating budget and a cash flow budget) of the Borrower heretofore delivered to the Administrative Agent in connection with the most recent audited financial statements were prepared by the Borrower in good faith utilizing assumptions believed by the Borrower to be reasonable at the time.</w:t>
      </w:r>
    </w:p>
    <w:p>
      <w:pPr>
        <w:spacing w:after="0" w:line="232" w:lineRule="exact"/>
        <w:rPr>
          <w:sz w:val="20"/>
          <w:szCs w:val="20"/>
          <w:color w:val="auto"/>
        </w:rPr>
      </w:pPr>
    </w:p>
    <w:p>
      <w:pPr>
        <w:jc w:val="both"/>
        <w:ind w:firstLine="1378"/>
        <w:spacing w:after="0" w:line="276" w:lineRule="auto"/>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Material Adverse Change</w:t>
      </w:r>
      <w:r>
        <w:rPr>
          <w:rFonts w:ascii="Arial" w:cs="Arial" w:eastAsia="Arial" w:hAnsi="Arial"/>
          <w:sz w:val="22"/>
          <w:szCs w:val="22"/>
          <w:color w:val="auto"/>
        </w:rPr>
        <w:t>. Since the date of the most recent audited financial statements delivered to the Administrative Agent there has been no Material Adverse Effect.</w:t>
      </w:r>
    </w:p>
    <w:p>
      <w:pPr>
        <w:spacing w:after="0" w:line="242" w:lineRule="exact"/>
        <w:rPr>
          <w:sz w:val="20"/>
          <w:szCs w:val="20"/>
          <w:color w:val="auto"/>
        </w:rPr>
      </w:pPr>
    </w:p>
    <w:p>
      <w:pPr>
        <w:jc w:val="both"/>
        <w:ind w:firstLine="1378"/>
        <w:spacing w:after="0" w:line="261" w:lineRule="auto"/>
        <w:rPr>
          <w:sz w:val="20"/>
          <w:szCs w:val="20"/>
          <w:color w:val="auto"/>
        </w:rPr>
      </w:pPr>
      <w:r>
        <w:rPr>
          <w:rFonts w:ascii="Arial" w:cs="Arial" w:eastAsia="Arial" w:hAnsi="Arial"/>
          <w:sz w:val="21"/>
          <w:szCs w:val="21"/>
          <w:color w:val="auto"/>
        </w:rPr>
        <w:t xml:space="preserve">5.7. </w:t>
      </w:r>
      <w:r>
        <w:rPr>
          <w:rFonts w:ascii="Arial" w:cs="Arial" w:eastAsia="Arial" w:hAnsi="Arial"/>
          <w:sz w:val="21"/>
          <w:szCs w:val="21"/>
          <w:u w:val="single" w:color="auto"/>
          <w:color w:val="auto"/>
        </w:rPr>
        <w:t>Taxes</w:t>
      </w:r>
      <w:r>
        <w:rPr>
          <w:rFonts w:ascii="Arial" w:cs="Arial" w:eastAsia="Arial" w:hAnsi="Arial"/>
          <w:sz w:val="21"/>
          <w:szCs w:val="21"/>
          <w:color w:val="auto"/>
        </w:rPr>
        <w:t>. The Borrower and its Subsidiaries have filed all United States federal and state income Tax returns and all other material Tax returns which are required to be filed by them and have paid all United States federal and state income Taxes and all other material Taxes due from the Borrower and its Subsidiaries, including, without limitation, pursuant to any assessment received by the Borrower or any of its Subsidiaries, except such Taxes, if any, as are being contested in good faith and as to which adequate reserves have been provided in accordance with GAAP and as to which no Lien exists. No Tax Liens have been filed and no claims have been asserted in writing with respect to any such Taxes. The charges, accruals and reserves on the books of the Borrower and its Subsidiaries in respect of any Taxes or other governmental charges are adequate in all material respects.</w:t>
      </w:r>
    </w:p>
    <w:p>
      <w:pPr>
        <w:spacing w:after="0" w:line="222" w:lineRule="exact"/>
        <w:rPr>
          <w:sz w:val="20"/>
          <w:szCs w:val="20"/>
          <w:color w:val="auto"/>
        </w:rPr>
      </w:pPr>
    </w:p>
    <w:p>
      <w:pPr>
        <w:jc w:val="both"/>
        <w:ind w:firstLine="1378"/>
        <w:spacing w:after="0" w:line="270" w:lineRule="auto"/>
        <w:rPr>
          <w:sz w:val="20"/>
          <w:szCs w:val="20"/>
          <w:color w:val="auto"/>
        </w:rPr>
      </w:pPr>
      <w:r>
        <w:rPr>
          <w:rFonts w:ascii="Arial" w:cs="Arial" w:eastAsia="Arial" w:hAnsi="Arial"/>
          <w:sz w:val="21"/>
          <w:szCs w:val="21"/>
          <w:color w:val="auto"/>
        </w:rPr>
        <w:t xml:space="preserve">5.8. </w:t>
      </w:r>
      <w:r>
        <w:rPr>
          <w:rFonts w:ascii="Arial" w:cs="Arial" w:eastAsia="Arial" w:hAnsi="Arial"/>
          <w:sz w:val="21"/>
          <w:szCs w:val="21"/>
          <w:u w:val="single" w:color="auto"/>
          <w:color w:val="auto"/>
        </w:rPr>
        <w:t>Litigation and Contingent Obligations</w:t>
      </w:r>
      <w:r>
        <w:rPr>
          <w:rFonts w:ascii="Arial" w:cs="Arial" w:eastAsia="Arial" w:hAnsi="Arial"/>
          <w:sz w:val="21"/>
          <w:szCs w:val="21"/>
          <w:color w:val="auto"/>
        </w:rPr>
        <w:t>. There is no litigation, arbitration, governmental investigation, proceeding or inquiry pending or, to the knowledge of any of their officers, threatened against or affecting the Borrower or any of its Subsidiaries which could reasonably be expected to have a Material Adverse Effect or which seeks to prevent, enjoin or delay the making of any Credit Extensions. Other than any liability incident to any litigation, arbitration</w:t>
      </w:r>
    </w:p>
    <w:p>
      <w:pPr>
        <w:spacing w:after="0" w:line="17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00"/>
          </w:cols>
          <w:pgMar w:left="360" w:top="375" w:right="239" w:bottom="1440" w:gutter="0" w:footer="0" w:header="0"/>
        </w:sectPr>
      </w:pPr>
    </w:p>
    <w:bookmarkStart w:id="168" w:name="page169"/>
    <w:bookmarkEnd w:id="168"/>
    <w:p>
      <w:pPr>
        <w:jc w:val="both"/>
        <w:spacing w:after="0" w:line="263" w:lineRule="auto"/>
        <w:rPr>
          <w:sz w:val="20"/>
          <w:szCs w:val="20"/>
          <w:color w:val="auto"/>
        </w:rPr>
      </w:pPr>
      <w:r>
        <w:rPr>
          <w:rFonts w:ascii="Arial" w:cs="Arial" w:eastAsia="Arial" w:hAnsi="Arial"/>
          <w:sz w:val="22"/>
          <w:szCs w:val="22"/>
          <w:color w:val="auto"/>
        </w:rPr>
        <w:t>or proceeding which could not reasonably be expected to have a Material Adverse Effect, the Borrower has no material Contingent Obligations not provided for or disclosed in the financial statements referred to in Section 5.5.</w:t>
      </w:r>
    </w:p>
    <w:p>
      <w:pPr>
        <w:spacing w:after="0" w:line="215" w:lineRule="exact"/>
        <w:rPr>
          <w:sz w:val="20"/>
          <w:szCs w:val="20"/>
          <w:color w:val="auto"/>
        </w:rPr>
      </w:pPr>
    </w:p>
    <w:p>
      <w:pPr>
        <w:jc w:val="both"/>
        <w:ind w:firstLine="1378"/>
        <w:spacing w:after="0" w:line="292" w:lineRule="auto"/>
        <w:rPr>
          <w:sz w:val="20"/>
          <w:szCs w:val="20"/>
          <w:color w:val="auto"/>
        </w:rPr>
      </w:pPr>
      <w:r>
        <w:rPr>
          <w:rFonts w:ascii="Arial" w:cs="Arial" w:eastAsia="Arial" w:hAnsi="Arial"/>
          <w:sz w:val="19"/>
          <w:szCs w:val="19"/>
          <w:color w:val="auto"/>
        </w:rPr>
        <w:t xml:space="preserve">5.9. </w:t>
      </w:r>
      <w:r>
        <w:rPr>
          <w:rFonts w:ascii="Arial" w:cs="Arial" w:eastAsia="Arial" w:hAnsi="Arial"/>
          <w:sz w:val="19"/>
          <w:szCs w:val="19"/>
          <w:u w:val="single" w:color="auto"/>
          <w:color w:val="auto"/>
        </w:rPr>
        <w:t>ERISA</w:t>
      </w:r>
      <w:r>
        <w:rPr>
          <w:rFonts w:ascii="Arial" w:cs="Arial" w:eastAsia="Arial" w:hAnsi="Arial"/>
          <w:sz w:val="19"/>
          <w:szCs w:val="19"/>
          <w:color w:val="auto"/>
        </w:rPr>
        <w:t>. Each Plan is in substantial compliance with all applicable requirements of ERISA and the Code and with all material applicable rulings and regulations issued under the provisions of ERISA and the Code setting forth those requirements. No Reportable Event has occurred and is continuing with respect to any Plan. All of the minimum funding standards applicable to such Plans have been satisfied and there exists no event or condition that would reasonably be expected to result in the institution of proceedings to terminate any Plan under § 4042 of ERISA. With respect to each Plan subject to Title IV of ERISA, as of the most recent valuation date for such Plan, the present value (determined on the basis of reasonable assumptions employed by the independent actuary for such Plan and previously furnished in writing to the Administrative Agent) of such Plan’s projected benefit obligations did not exceed the fair market value of such Plan’s assets.</w:t>
      </w:r>
    </w:p>
    <w:p>
      <w:pPr>
        <w:spacing w:after="0" w:line="196" w:lineRule="exact"/>
        <w:rPr>
          <w:sz w:val="20"/>
          <w:szCs w:val="20"/>
          <w:color w:val="auto"/>
        </w:rPr>
      </w:pPr>
    </w:p>
    <w:p>
      <w:pPr>
        <w:jc w:val="both"/>
        <w:ind w:firstLine="1378"/>
        <w:spacing w:after="0" w:line="260" w:lineRule="auto"/>
        <w:rPr>
          <w:sz w:val="20"/>
          <w:szCs w:val="20"/>
          <w:color w:val="auto"/>
        </w:rPr>
      </w:pPr>
      <w:r>
        <w:rPr>
          <w:rFonts w:ascii="Arial" w:cs="Arial" w:eastAsia="Arial" w:hAnsi="Arial"/>
          <w:sz w:val="21"/>
          <w:szCs w:val="21"/>
          <w:color w:val="auto"/>
        </w:rPr>
        <w:t xml:space="preserve">5.10. </w:t>
      </w:r>
      <w:r>
        <w:rPr>
          <w:rFonts w:ascii="Arial" w:cs="Arial" w:eastAsia="Arial" w:hAnsi="Arial"/>
          <w:sz w:val="21"/>
          <w:szCs w:val="21"/>
          <w:u w:val="single" w:color="auto"/>
          <w:color w:val="auto"/>
        </w:rPr>
        <w:t>Regulation U</w:t>
      </w:r>
      <w:r>
        <w:rPr>
          <w:rFonts w:ascii="Arial" w:cs="Arial" w:eastAsia="Arial" w:hAnsi="Arial"/>
          <w:sz w:val="21"/>
          <w:szCs w:val="21"/>
          <w:color w:val="auto"/>
        </w:rPr>
        <w:t>. Margin stock (as defined in Regulation U) constitutes less than 25% of the value of those assets of the Borrower and its Subsidiaries which are subject to any limitation on sale, pledge, or other restriction hereunder. The Borrower is not engaged and will not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each Advance or drawing under each Letter of Credit, not more than 25% of the value of the assets (either of the Borrower only or of the Borrower and its Subsidiaries on a consolidated basis) subject to the provisions of Section 6.13 or Section 6.16 or subject to any restriction contained in any agreement or instrument between the Borrower and any Lender or any Affiliate of any Lender relating to Indebtedness and within the scope of Section 7.5 will be margin stock.</w:t>
      </w:r>
    </w:p>
    <w:p>
      <w:pPr>
        <w:spacing w:after="0" w:line="225" w:lineRule="exact"/>
        <w:rPr>
          <w:sz w:val="20"/>
          <w:szCs w:val="20"/>
          <w:color w:val="auto"/>
        </w:rPr>
      </w:pPr>
    </w:p>
    <w:p>
      <w:pPr>
        <w:jc w:val="both"/>
        <w:ind w:firstLine="1378"/>
        <w:spacing w:after="0" w:line="260" w:lineRule="auto"/>
        <w:rPr>
          <w:sz w:val="20"/>
          <w:szCs w:val="20"/>
          <w:color w:val="auto"/>
        </w:rPr>
      </w:pPr>
      <w:r>
        <w:rPr>
          <w:rFonts w:ascii="Arial" w:cs="Arial" w:eastAsia="Arial" w:hAnsi="Arial"/>
          <w:sz w:val="22"/>
          <w:szCs w:val="22"/>
          <w:color w:val="auto"/>
        </w:rPr>
        <w:t xml:space="preserve">5.11. </w:t>
      </w:r>
      <w:r>
        <w:rPr>
          <w:rFonts w:ascii="Arial" w:cs="Arial" w:eastAsia="Arial" w:hAnsi="Arial"/>
          <w:sz w:val="22"/>
          <w:szCs w:val="22"/>
          <w:u w:val="single" w:color="auto"/>
          <w:color w:val="auto"/>
        </w:rPr>
        <w:t>Compliance With Laws</w:t>
      </w:r>
      <w:r>
        <w:rPr>
          <w:rFonts w:ascii="Arial" w:cs="Arial" w:eastAsia="Arial" w:hAnsi="Arial"/>
          <w:sz w:val="22"/>
          <w:szCs w:val="22"/>
          <w:color w:val="auto"/>
        </w:rPr>
        <w:t>. The Borrower and its Subsidiaries are in compliance in all material respects with all applicable statutes, rules, regulations, orders and restrictions of any Governmental Authority having jurisdiction over the conduct of their respective businesses or the ownership of their respective Property.</w:t>
      </w:r>
    </w:p>
    <w:p>
      <w:pPr>
        <w:spacing w:after="0" w:line="191" w:lineRule="exact"/>
        <w:rPr>
          <w:sz w:val="20"/>
          <w:szCs w:val="20"/>
          <w:color w:val="auto"/>
        </w:rPr>
      </w:pPr>
    </w:p>
    <w:p>
      <w:pPr>
        <w:jc w:val="both"/>
        <w:ind w:firstLine="1378"/>
        <w:spacing w:after="0" w:line="307" w:lineRule="auto"/>
        <w:rPr>
          <w:sz w:val="20"/>
          <w:szCs w:val="20"/>
          <w:color w:val="auto"/>
        </w:rPr>
      </w:pPr>
      <w:r>
        <w:rPr>
          <w:rFonts w:ascii="Arial" w:cs="Arial" w:eastAsia="Arial" w:hAnsi="Arial"/>
          <w:sz w:val="19"/>
          <w:szCs w:val="19"/>
          <w:color w:val="auto"/>
        </w:rPr>
        <w:t xml:space="preserve">5.12. </w:t>
      </w:r>
      <w:r>
        <w:rPr>
          <w:rFonts w:ascii="Arial" w:cs="Arial" w:eastAsia="Arial" w:hAnsi="Arial"/>
          <w:sz w:val="19"/>
          <w:szCs w:val="19"/>
          <w:u w:val="single" w:color="auto"/>
          <w:color w:val="auto"/>
        </w:rPr>
        <w:t>Ownership of Properties</w:t>
      </w:r>
      <w:r>
        <w:rPr>
          <w:rFonts w:ascii="Arial" w:cs="Arial" w:eastAsia="Arial" w:hAnsi="Arial"/>
          <w:sz w:val="19"/>
          <w:szCs w:val="19"/>
          <w:color w:val="auto"/>
        </w:rPr>
        <w:t>. Except as set forth in Schedule 5.12, on the date of this Agreement, the Borrower and its Restricted Subsidiaries will have good title, free of all Liens other than Permitted Liens, to all of the Property and assets reflected in the Borrower’s most recent consolidated financial statements provided to the Administrative Agent as owned by the Borrower and its Restricted Subsidiaries (other than as may have been disposed of in a manner permitted by Section 6.13(a)).</w:t>
      </w:r>
    </w:p>
    <w:p>
      <w:pPr>
        <w:spacing w:after="0" w:line="179" w:lineRule="exact"/>
        <w:rPr>
          <w:sz w:val="20"/>
          <w:szCs w:val="20"/>
          <w:color w:val="auto"/>
        </w:rPr>
      </w:pPr>
    </w:p>
    <w:p>
      <w:pPr>
        <w:jc w:val="both"/>
        <w:ind w:firstLine="1378"/>
        <w:spacing w:after="0" w:line="270" w:lineRule="auto"/>
        <w:rPr>
          <w:sz w:val="20"/>
          <w:szCs w:val="20"/>
          <w:color w:val="auto"/>
        </w:rPr>
      </w:pPr>
      <w:r>
        <w:rPr>
          <w:rFonts w:ascii="Arial" w:cs="Arial" w:eastAsia="Arial" w:hAnsi="Arial"/>
          <w:sz w:val="21"/>
          <w:szCs w:val="21"/>
          <w:color w:val="auto"/>
        </w:rPr>
        <w:t xml:space="preserve">5.13. </w:t>
      </w:r>
      <w:r>
        <w:rPr>
          <w:rFonts w:ascii="Arial" w:cs="Arial" w:eastAsia="Arial" w:hAnsi="Arial"/>
          <w:sz w:val="21"/>
          <w:szCs w:val="21"/>
          <w:u w:val="single" w:color="auto"/>
          <w:color w:val="auto"/>
        </w:rPr>
        <w:t>Trademarks; Patents</w:t>
      </w:r>
      <w:r>
        <w:rPr>
          <w:rFonts w:ascii="Arial" w:cs="Arial" w:eastAsia="Arial" w:hAnsi="Arial"/>
          <w:sz w:val="21"/>
          <w:szCs w:val="21"/>
          <w:color w:val="auto"/>
        </w:rPr>
        <w:t>. Each of the Borrower and the Restricted Subsidiaries possesses or has the right to use all of the patents, trademarks, trade names, service marks, and copyrights, and applications therefor, and all technology, know-how, processes, methods, and designs necessary for the conduct of its business, without known conflict with the rights of others which would reasonably be expected to result in a Material Adverse Effect.</w:t>
      </w:r>
    </w:p>
    <w:p>
      <w:pPr>
        <w:spacing w:after="0" w:line="200" w:lineRule="exact"/>
        <w:rPr>
          <w:sz w:val="20"/>
          <w:szCs w:val="20"/>
          <w:color w:val="auto"/>
        </w:rPr>
      </w:pPr>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00"/>
          </w:cols>
          <w:pgMar w:left="360" w:top="375" w:right="239" w:bottom="1440" w:gutter="0" w:footer="0" w:header="0"/>
        </w:sectPr>
      </w:pPr>
    </w:p>
    <w:bookmarkStart w:id="169" w:name="page170"/>
    <w:bookmarkEnd w:id="169"/>
    <w:p>
      <w:pPr>
        <w:jc w:val="both"/>
        <w:ind w:firstLine="1378"/>
        <w:spacing w:after="0" w:line="260" w:lineRule="auto"/>
        <w:rPr>
          <w:sz w:val="20"/>
          <w:szCs w:val="20"/>
          <w:color w:val="auto"/>
        </w:rPr>
      </w:pPr>
      <w:r>
        <w:rPr>
          <w:rFonts w:ascii="Arial" w:cs="Arial" w:eastAsia="Arial" w:hAnsi="Arial"/>
          <w:sz w:val="22"/>
          <w:szCs w:val="22"/>
          <w:color w:val="auto"/>
        </w:rPr>
        <w:t xml:space="preserve">5.14. </w:t>
      </w:r>
      <w:r>
        <w:rPr>
          <w:rFonts w:ascii="Arial" w:cs="Arial" w:eastAsia="Arial" w:hAnsi="Arial"/>
          <w:sz w:val="22"/>
          <w:szCs w:val="22"/>
          <w:u w:val="single" w:color="auto"/>
          <w:color w:val="auto"/>
        </w:rPr>
        <w:t>Burdensome Restrictions</w:t>
      </w:r>
      <w:r>
        <w:rPr>
          <w:rFonts w:ascii="Arial" w:cs="Arial" w:eastAsia="Arial" w:hAnsi="Arial"/>
          <w:sz w:val="22"/>
          <w:szCs w:val="22"/>
          <w:color w:val="auto"/>
        </w:rPr>
        <w:t>. Neither the Borrower nor any Restricted Subsidiary is a party to or otherwise bound by any indenture, loan or credit agreement, or lease or other agreement or instrument or subject to any charter, corporate, or partnership restriction that could constitute a Material Adverse Effect.</w:t>
      </w:r>
    </w:p>
    <w:p>
      <w:pPr>
        <w:spacing w:after="0" w:line="218" w:lineRule="exact"/>
        <w:rPr>
          <w:sz w:val="20"/>
          <w:szCs w:val="20"/>
          <w:color w:val="auto"/>
        </w:rPr>
      </w:pPr>
    </w:p>
    <w:p>
      <w:pPr>
        <w:jc w:val="both"/>
        <w:ind w:firstLine="1378"/>
        <w:spacing w:after="0" w:line="262" w:lineRule="auto"/>
        <w:rPr>
          <w:sz w:val="20"/>
          <w:szCs w:val="20"/>
          <w:color w:val="auto"/>
        </w:rPr>
      </w:pPr>
      <w:r>
        <w:rPr>
          <w:rFonts w:ascii="Arial" w:cs="Arial" w:eastAsia="Arial" w:hAnsi="Arial"/>
          <w:sz w:val="21"/>
          <w:szCs w:val="21"/>
          <w:color w:val="auto"/>
        </w:rPr>
        <w:t xml:space="preserve">5.15. </w:t>
      </w:r>
      <w:r>
        <w:rPr>
          <w:rFonts w:ascii="Arial" w:cs="Arial" w:eastAsia="Arial" w:hAnsi="Arial"/>
          <w:sz w:val="21"/>
          <w:szCs w:val="21"/>
          <w:u w:val="single" w:color="auto"/>
          <w:color w:val="auto"/>
        </w:rPr>
        <w:t>Plan Assets; Prohibited Transactions</w:t>
      </w:r>
      <w:r>
        <w:rPr>
          <w:rFonts w:ascii="Arial" w:cs="Arial" w:eastAsia="Arial" w:hAnsi="Arial"/>
          <w:sz w:val="21"/>
          <w:szCs w:val="21"/>
          <w:color w:val="auto"/>
        </w:rPr>
        <w:t>. The Borrower is not an entity deemed to hold “plan assets” within the meaning of 29 C.F.R. § 2510.3-101, as modified by Section 3(42) of ERISA, of an employee benefit plan (as defined in Section 3(3) of ERISA) which is subject to Title I of ERISA or any plan (within the meaning of Section 4975 of the Code) which is subject to Section 4975 of the Code, and neither the execution of this Agreement nor the making of Credit Extensions hereunder gives rise to a prohibited transaction within the meaning of Section 406 of ERISA or Section 4975 of the Code. The Borrower is not subject to any law, rule or regulation which is substantially similar to the prohibited transaction provisions of Section 406 of ERISA or Section 4975 of the Code.</w:t>
      </w:r>
    </w:p>
    <w:p>
      <w:pPr>
        <w:spacing w:after="0" w:line="221" w:lineRule="exact"/>
        <w:rPr>
          <w:sz w:val="20"/>
          <w:szCs w:val="20"/>
          <w:color w:val="auto"/>
        </w:rPr>
      </w:pPr>
    </w:p>
    <w:p>
      <w:pPr>
        <w:jc w:val="both"/>
        <w:ind w:firstLine="1378"/>
        <w:spacing w:after="0" w:line="290" w:lineRule="auto"/>
        <w:rPr>
          <w:sz w:val="20"/>
          <w:szCs w:val="20"/>
          <w:color w:val="auto"/>
        </w:rPr>
      </w:pPr>
      <w:r>
        <w:rPr>
          <w:rFonts w:ascii="Arial" w:cs="Arial" w:eastAsia="Arial" w:hAnsi="Arial"/>
          <w:sz w:val="19"/>
          <w:szCs w:val="19"/>
          <w:color w:val="auto"/>
        </w:rPr>
        <w:t xml:space="preserve">5.16. </w:t>
      </w:r>
      <w:r>
        <w:rPr>
          <w:rFonts w:ascii="Arial" w:cs="Arial" w:eastAsia="Arial" w:hAnsi="Arial"/>
          <w:sz w:val="19"/>
          <w:szCs w:val="19"/>
          <w:u w:val="single" w:color="auto"/>
          <w:color w:val="auto"/>
        </w:rPr>
        <w:t>Environmental Matters</w:t>
      </w:r>
      <w:r>
        <w:rPr>
          <w:rFonts w:ascii="Arial" w:cs="Arial" w:eastAsia="Arial" w:hAnsi="Arial"/>
          <w:sz w:val="19"/>
          <w:szCs w:val="19"/>
          <w:color w:val="auto"/>
        </w:rPr>
        <w:t>. In the ordinary course of its business, the officers of the Borrower consider the effect of Environmental Laws on the business of the Borrower and its Subsidiaries, in the course of which they identify and evaluate potential risks and liabilities accruing to the Borrower due to Environmental Laws. On the basis of this consideration, the Borrower has concluded its Property and operations and those of its Subsidiaries are in material compliance with applicable Environmental Laws and that none of Borrower or any of its Restricted Subsidiaries is subject to any liability under Environmental Laws that individually or in the aggregate could reasonably be expected to have a Material Adverse Effect. Neither the Borrower nor any Restricted Subsidiary has received any written notice to the effect that its Property and/or operations are not in material compliance with any of the requirements of applicable Environmental Laws or are the subject of any federal or state investigation evaluating whether any remedial action is needed to respond to a release of any Hazardous Material, which non-compliance or remedial action could reasonably be expected to have a Material Adverse Effect.</w:t>
      </w:r>
    </w:p>
    <w:p>
      <w:pPr>
        <w:spacing w:after="0" w:line="237" w:lineRule="exact"/>
        <w:rPr>
          <w:sz w:val="20"/>
          <w:szCs w:val="20"/>
          <w:color w:val="auto"/>
        </w:rPr>
      </w:pPr>
    </w:p>
    <w:p>
      <w:pPr>
        <w:jc w:val="both"/>
        <w:ind w:firstLine="1378"/>
        <w:spacing w:after="0" w:line="276" w:lineRule="auto"/>
        <w:rPr>
          <w:sz w:val="20"/>
          <w:szCs w:val="20"/>
          <w:color w:val="auto"/>
        </w:rPr>
      </w:pPr>
      <w:r>
        <w:rPr>
          <w:rFonts w:ascii="Arial" w:cs="Arial" w:eastAsia="Arial" w:hAnsi="Arial"/>
          <w:sz w:val="22"/>
          <w:szCs w:val="22"/>
          <w:color w:val="auto"/>
        </w:rPr>
        <w:t xml:space="preserve">5.17. </w:t>
      </w:r>
      <w:r>
        <w:rPr>
          <w:rFonts w:ascii="Arial" w:cs="Arial" w:eastAsia="Arial" w:hAnsi="Arial"/>
          <w:sz w:val="22"/>
          <w:szCs w:val="22"/>
          <w:u w:val="single" w:color="auto"/>
          <w:color w:val="auto"/>
        </w:rPr>
        <w:t>Investment Company Act</w:t>
      </w:r>
      <w:r>
        <w:rPr>
          <w:rFonts w:ascii="Arial" w:cs="Arial" w:eastAsia="Arial" w:hAnsi="Arial"/>
          <w:sz w:val="22"/>
          <w:szCs w:val="22"/>
          <w:color w:val="auto"/>
        </w:rPr>
        <w:t>. Neither the Borrower nor any Subsidiary is an “investment company” or a company “controlled” by an “investment company”, within the meaning of the Investment Company Act of 1940.</w:t>
      </w:r>
    </w:p>
    <w:p>
      <w:pPr>
        <w:spacing w:after="0" w:line="201" w:lineRule="exact"/>
        <w:rPr>
          <w:sz w:val="20"/>
          <w:szCs w:val="20"/>
          <w:color w:val="auto"/>
        </w:rPr>
      </w:pPr>
    </w:p>
    <w:p>
      <w:pPr>
        <w:jc w:val="both"/>
        <w:ind w:firstLine="1378"/>
        <w:spacing w:after="0" w:line="254" w:lineRule="auto"/>
        <w:rPr>
          <w:sz w:val="20"/>
          <w:szCs w:val="20"/>
          <w:color w:val="auto"/>
        </w:rPr>
      </w:pPr>
      <w:r>
        <w:rPr>
          <w:rFonts w:ascii="Arial" w:cs="Arial" w:eastAsia="Arial" w:hAnsi="Arial"/>
          <w:sz w:val="22"/>
          <w:szCs w:val="22"/>
          <w:color w:val="auto"/>
        </w:rPr>
        <w:t xml:space="preserve">5.18. </w:t>
      </w:r>
      <w:r>
        <w:rPr>
          <w:rFonts w:ascii="Arial" w:cs="Arial" w:eastAsia="Arial" w:hAnsi="Arial"/>
          <w:sz w:val="22"/>
          <w:szCs w:val="22"/>
          <w:u w:val="single" w:color="auto"/>
          <w:color w:val="auto"/>
        </w:rPr>
        <w:t>Insurance</w:t>
      </w:r>
      <w:r>
        <w:rPr>
          <w:rFonts w:ascii="Arial" w:cs="Arial" w:eastAsia="Arial" w:hAnsi="Arial"/>
          <w:sz w:val="22"/>
          <w:szCs w:val="22"/>
          <w:color w:val="auto"/>
        </w:rPr>
        <w:t>. The Borrower maintains, and has caused each Restricted Subsidiary to maintain, with financially sound and reputable insurance companies insurance on all their Property and liability insurance in such amounts, subject to such deductibles and self- insurance retentions and covering such Properties and risks as is consistent with sound business practice.</w:t>
      </w:r>
    </w:p>
    <w:p>
      <w:pPr>
        <w:spacing w:after="0" w:line="226"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 xml:space="preserve">5.19. </w:t>
      </w:r>
      <w:r>
        <w:rPr>
          <w:rFonts w:ascii="Arial" w:cs="Arial" w:eastAsia="Arial" w:hAnsi="Arial"/>
          <w:sz w:val="22"/>
          <w:szCs w:val="22"/>
          <w:u w:val="single" w:color="auto"/>
          <w:color w:val="auto"/>
        </w:rPr>
        <w:t>Solvency</w:t>
      </w:r>
      <w:r>
        <w:rPr>
          <w:rFonts w:ascii="Arial" w:cs="Arial" w:eastAsia="Arial" w:hAnsi="Arial"/>
          <w:sz w:val="22"/>
          <w:szCs w:val="22"/>
          <w:color w:val="auto"/>
        </w:rPr>
        <w:t>.</w:t>
      </w:r>
    </w:p>
    <w:p>
      <w:pPr>
        <w:spacing w:after="0" w:line="206" w:lineRule="exact"/>
        <w:rPr>
          <w:sz w:val="20"/>
          <w:szCs w:val="20"/>
          <w:color w:val="auto"/>
        </w:rPr>
      </w:pPr>
    </w:p>
    <w:p>
      <w:pPr>
        <w:jc w:val="both"/>
        <w:ind w:firstLine="1049"/>
        <w:spacing w:after="0" w:line="266" w:lineRule="auto"/>
        <w:tabs>
          <w:tab w:leader="none" w:pos="1662" w:val="left"/>
        </w:tabs>
        <w:numPr>
          <w:ilvl w:val="0"/>
          <w:numId w:val="91"/>
        </w:numPr>
        <w:rPr>
          <w:rFonts w:ascii="Arial" w:cs="Arial" w:eastAsia="Arial" w:hAnsi="Arial"/>
          <w:sz w:val="21"/>
          <w:szCs w:val="21"/>
          <w:color w:val="auto"/>
        </w:rPr>
      </w:pPr>
      <w:r>
        <w:rPr>
          <w:rFonts w:ascii="Arial" w:cs="Arial" w:eastAsia="Arial" w:hAnsi="Arial"/>
          <w:sz w:val="21"/>
          <w:szCs w:val="21"/>
          <w:color w:val="auto"/>
        </w:rPr>
        <w:t>Immediately after the consummation of the transactions to occur on the Effective Date and immediately following the making of each Credit Extension, if any, made on the Effective Date and after giving effect to the application of the proceeds of such Credit Extensions, (a) the fair value of the assets of the Borrower and its Subsidiaries on a consolidated basis, at a fair valuation, will exceed the debts and liabilities, subordinated, contingent or otherwise, of the Borrower and its Subsidiaries on a consolidated basis; (b) the present fair saleable value of the</w:t>
      </w:r>
    </w:p>
    <w:p>
      <w:pPr>
        <w:spacing w:after="0" w:line="18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00"/>
          </w:cols>
          <w:pgMar w:left="360" w:top="375" w:right="239" w:bottom="1440" w:gutter="0" w:footer="0" w:header="0"/>
        </w:sectPr>
      </w:pPr>
    </w:p>
    <w:bookmarkStart w:id="170" w:name="page171"/>
    <w:bookmarkEnd w:id="170"/>
    <w:p>
      <w:pPr>
        <w:jc w:val="both"/>
        <w:spacing w:after="0" w:line="260" w:lineRule="auto"/>
        <w:rPr>
          <w:sz w:val="20"/>
          <w:szCs w:val="20"/>
          <w:color w:val="auto"/>
        </w:rPr>
      </w:pPr>
      <w:r>
        <w:rPr>
          <w:rFonts w:ascii="Arial" w:cs="Arial" w:eastAsia="Arial" w:hAnsi="Arial"/>
          <w:sz w:val="21"/>
          <w:szCs w:val="21"/>
          <w:color w:val="auto"/>
        </w:rPr>
        <w:t>Property of the Borrower and its Subsidiaries on a consolidated basis will be greater than the amount that will be required to pay the probable liability of the Borrower and its Subsidiaries on a consolidated basis on their debts and other liabilities, subordinated, contingent or otherwise, as such debts and other liabilities become absolute and matured; (c) the Borrower and its Subsidiaries on a consolidated basis will be able to pay their debts and liabilities, subordinated, contingent or otherwise, as such debts and liabilities become absolute and matured; and (d) the Borrower and its Subsidiaries on a consolidated basis will not have unreasonably small capital with which to conduct the businesses in which they are engaged as such businesses are now conducted and are proposed to be conducted after the Effective Date.</w:t>
      </w:r>
    </w:p>
    <w:p>
      <w:pPr>
        <w:spacing w:after="0" w:line="222" w:lineRule="exact"/>
        <w:rPr>
          <w:sz w:val="20"/>
          <w:szCs w:val="20"/>
          <w:color w:val="auto"/>
        </w:rPr>
      </w:pPr>
    </w:p>
    <w:p>
      <w:pPr>
        <w:jc w:val="both"/>
        <w:ind w:firstLine="1049"/>
        <w:spacing w:after="0" w:line="254" w:lineRule="auto"/>
        <w:tabs>
          <w:tab w:leader="none" w:pos="1499"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Borrower does not intend to, or to permit any of its Subsidiaries to, and does not believe that it or any of its Subsidiaries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spacing w:after="0" w:line="226" w:lineRule="exact"/>
        <w:rPr>
          <w:sz w:val="20"/>
          <w:szCs w:val="20"/>
          <w:color w:val="auto"/>
        </w:rPr>
      </w:pPr>
    </w:p>
    <w:p>
      <w:pPr>
        <w:ind w:left="1380"/>
        <w:spacing w:after="0"/>
        <w:tabs>
          <w:tab w:leader="none" w:pos="1960" w:val="left"/>
        </w:tabs>
        <w:rPr>
          <w:sz w:val="20"/>
          <w:szCs w:val="20"/>
          <w:color w:val="auto"/>
        </w:rPr>
      </w:pPr>
      <w:r>
        <w:rPr>
          <w:rFonts w:ascii="Arial" w:cs="Arial" w:eastAsia="Arial" w:hAnsi="Arial"/>
          <w:sz w:val="22"/>
          <w:szCs w:val="22"/>
          <w:color w:val="auto"/>
        </w:rPr>
        <w:t>5.20.</w:t>
      </w:r>
      <w:r>
        <w:rPr>
          <w:sz w:val="20"/>
          <w:szCs w:val="20"/>
          <w:color w:val="auto"/>
        </w:rPr>
        <w:tab/>
      </w:r>
      <w:r>
        <w:rPr>
          <w:rFonts w:ascii="Arial" w:cs="Arial" w:eastAsia="Arial" w:hAnsi="Arial"/>
          <w:sz w:val="19"/>
          <w:szCs w:val="19"/>
          <w:u w:val="single" w:color="auto"/>
          <w:color w:val="auto"/>
        </w:rPr>
        <w:t>No Default</w:t>
      </w:r>
      <w:r>
        <w:rPr>
          <w:rFonts w:ascii="Arial" w:cs="Arial" w:eastAsia="Arial" w:hAnsi="Arial"/>
          <w:sz w:val="19"/>
          <w:szCs w:val="19"/>
          <w:color w:val="auto"/>
        </w:rPr>
        <w:t>. As of the Effective Date, no Default or Event of Default has occurred and is continuing.</w:t>
      </w:r>
    </w:p>
    <w:p>
      <w:pPr>
        <w:spacing w:after="0" w:line="274" w:lineRule="exact"/>
        <w:rPr>
          <w:sz w:val="20"/>
          <w:szCs w:val="20"/>
          <w:color w:val="auto"/>
        </w:rPr>
      </w:pPr>
    </w:p>
    <w:p>
      <w:pPr>
        <w:jc w:val="both"/>
        <w:ind w:firstLine="1378"/>
        <w:spacing w:after="0" w:line="258" w:lineRule="auto"/>
        <w:rPr>
          <w:sz w:val="20"/>
          <w:szCs w:val="20"/>
          <w:color w:val="auto"/>
        </w:rPr>
      </w:pPr>
      <w:r>
        <w:rPr>
          <w:rFonts w:ascii="Arial" w:cs="Arial" w:eastAsia="Arial" w:hAnsi="Arial"/>
          <w:sz w:val="21"/>
          <w:szCs w:val="21"/>
          <w:color w:val="auto"/>
        </w:rPr>
        <w:t xml:space="preserve">5.21. </w:t>
      </w:r>
      <w:r>
        <w:rPr>
          <w:rFonts w:ascii="Arial" w:cs="Arial" w:eastAsia="Arial" w:hAnsi="Arial"/>
          <w:sz w:val="21"/>
          <w:szCs w:val="21"/>
          <w:u w:val="single" w:color="auto"/>
          <w:color w:val="auto"/>
        </w:rPr>
        <w:t>Anti-Corruption Laws; Sanctions</w:t>
      </w:r>
      <w:r>
        <w:rPr>
          <w:rFonts w:ascii="Arial" w:cs="Arial" w:eastAsia="Arial" w:hAnsi="Arial"/>
          <w:sz w:val="21"/>
          <w:szCs w:val="21"/>
          <w:color w:val="auto"/>
        </w:rPr>
        <w:t>. The Borrower, its Subsidiaries and their respective officers and employees and to the knowledge of the Borrower, its directors and agents, are in compliance with Anti-Corruption Laws and applicable Sanctions in all material respects. The Borrower has implemented and maintains in effect for itself and its Subsidiaries policies and procedures to ensure compliance by the Borrower, its Subsidiaries, and their respective officers, employees, directors, and agents with Anti-Corruption Laws and applicable Sanctions. None of the Borrower’s Subsidiaries, or any directors, officer, employee, agent, or affiliate of the Borrower’s Subsidiaries is an individual or entity that is, or is owned (individually or in the aggregate, directly or indirectly) or controlled by individuals or entities (including any agency, political subdivision or instrumentality of any government) that are (i) the target of any Sanctions or (ii) located, organized or resident in a country or territory that is, or whose government is, the subject of Sanctions (currently Crimea, Cuba, Iran, North Korea, Sudan and Syria). None of the Borrower or any directors, officer, employee, agent, or affiliate of the Borrower is an individual or entity that is, or is 10% or more owned (individually or in the aggregate, directly or indirectly) or controlled by individuals or entities (including any agency, political subdivision or instrumentality of any government) that are (i) the target of any Sanctions or (ii) located, organized or resident in a country or territory that is, or whose government is, the subject of Sanctions (currently Crimea, Cuba, Iran, North Korea, Sudan and Syria).</w:t>
      </w:r>
    </w:p>
    <w:p>
      <w:pPr>
        <w:spacing w:after="0" w:line="201"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 xml:space="preserve">5.22. </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No Loan Party is an EEA Financial Institution.</w:t>
      </w:r>
    </w:p>
    <w:p>
      <w:pPr>
        <w:spacing w:after="0" w:line="206" w:lineRule="exact"/>
        <w:rPr>
          <w:sz w:val="20"/>
          <w:szCs w:val="20"/>
          <w:color w:val="auto"/>
        </w:rPr>
      </w:pPr>
    </w:p>
    <w:p>
      <w:pPr>
        <w:jc w:val="both"/>
        <w:ind w:firstLine="1378"/>
        <w:spacing w:after="0" w:line="266" w:lineRule="auto"/>
        <w:rPr>
          <w:sz w:val="20"/>
          <w:szCs w:val="20"/>
          <w:color w:val="auto"/>
        </w:rPr>
      </w:pPr>
      <w:r>
        <w:rPr>
          <w:rFonts w:ascii="Arial" w:cs="Arial" w:eastAsia="Arial" w:hAnsi="Arial"/>
          <w:sz w:val="21"/>
          <w:szCs w:val="21"/>
          <w:color w:val="auto"/>
        </w:rPr>
        <w:t xml:space="preserve">5.23. </w:t>
      </w:r>
      <w:r>
        <w:rPr>
          <w:rFonts w:ascii="Arial" w:cs="Arial" w:eastAsia="Arial" w:hAnsi="Arial"/>
          <w:sz w:val="21"/>
          <w:szCs w:val="21"/>
          <w:u w:val="single" w:color="auto"/>
          <w:color w:val="auto"/>
        </w:rPr>
        <w:t>Full Disclosure</w:t>
      </w:r>
      <w:r>
        <w:rPr>
          <w:rFonts w:ascii="Arial" w:cs="Arial" w:eastAsia="Arial" w:hAnsi="Arial"/>
          <w:sz w:val="21"/>
          <w:szCs w:val="21"/>
          <w:color w:val="auto"/>
        </w:rPr>
        <w:t>. Subject to the following sentence, neither the financial statements referred to in Section 5.5 or Section 6.1, nor any other certificate, written statement, exhibit, or report furnished by or on behalf of the Borrower in connection with or pursuant to this Agreement, contains any untrue statement of a material fact or omits any material fact necessary to make the statements therein not misleading. Certificates or statements furnished by or on behalf of the Borrower to the Administrative Agent consisting of projections or forecasts of future results</w:t>
      </w:r>
    </w:p>
    <w:p>
      <w:pPr>
        <w:spacing w:after="0" w:line="18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00"/>
          </w:cols>
          <w:pgMar w:left="360" w:top="429" w:right="239" w:bottom="1440" w:gutter="0" w:footer="0" w:header="0"/>
        </w:sectPr>
      </w:pPr>
    </w:p>
    <w:bookmarkStart w:id="171" w:name="page172"/>
    <w:bookmarkEnd w:id="171"/>
    <w:p>
      <w:pPr>
        <w:jc w:val="both"/>
        <w:spacing w:after="0" w:line="287" w:lineRule="auto"/>
        <w:rPr>
          <w:sz w:val="20"/>
          <w:szCs w:val="20"/>
          <w:color w:val="auto"/>
        </w:rPr>
      </w:pPr>
      <w:r>
        <w:rPr>
          <w:rFonts w:ascii="Arial" w:cs="Arial" w:eastAsia="Arial" w:hAnsi="Arial"/>
          <w:sz w:val="21"/>
          <w:szCs w:val="21"/>
          <w:color w:val="auto"/>
        </w:rPr>
        <w:t>or events have been prepared in good faith and based on good faith estimates and assumptions of the management of the Borrower, and the Borrower has no reason to believe that such projections or forecasts are not reasonable.</w:t>
      </w:r>
    </w:p>
    <w:p>
      <w:pPr>
        <w:spacing w:after="0" w:line="192" w:lineRule="exact"/>
        <w:rPr>
          <w:sz w:val="20"/>
          <w:szCs w:val="20"/>
          <w:color w:val="auto"/>
        </w:rPr>
      </w:pPr>
    </w:p>
    <w:p>
      <w:pPr>
        <w:jc w:val="both"/>
        <w:ind w:firstLine="1378"/>
        <w:spacing w:after="0" w:line="300" w:lineRule="auto"/>
        <w:rPr>
          <w:sz w:val="20"/>
          <w:szCs w:val="20"/>
          <w:color w:val="auto"/>
        </w:rPr>
      </w:pPr>
      <w:r>
        <w:rPr>
          <w:rFonts w:ascii="Arial" w:cs="Arial" w:eastAsia="Arial" w:hAnsi="Arial"/>
          <w:sz w:val="19"/>
          <w:szCs w:val="19"/>
          <w:color w:val="auto"/>
        </w:rPr>
        <w:t xml:space="preserve">5.24. </w:t>
      </w:r>
      <w:r>
        <w:rPr>
          <w:rFonts w:ascii="Arial" w:cs="Arial" w:eastAsia="Arial" w:hAnsi="Arial"/>
          <w:sz w:val="19"/>
          <w:szCs w:val="19"/>
          <w:u w:val="single" w:color="auto"/>
          <w:color w:val="auto"/>
        </w:rPr>
        <w:t>Subsidiaries</w:t>
      </w:r>
      <w:r>
        <w:rPr>
          <w:rFonts w:ascii="Arial" w:cs="Arial" w:eastAsia="Arial" w:hAnsi="Arial"/>
          <w:sz w:val="19"/>
          <w:szCs w:val="19"/>
          <w:color w:val="auto"/>
        </w:rPr>
        <w:t>. Schedule 5.24 sets forth as of the date of this Agreement a list of all Subsidiaries, the number and percentage of the shares of each class of Equity Interests owned beneficially or of record by the Borrower or any Subsidiary therein and the jurisdiction of incorporation of each Subsidiary, and designates whether such Subsidiary is a Restricted Subsidiary. All of the issued and outstanding Equity Interests of such Subsidiaries have been (to the extent such concepts are relevant with respect to such ownership interests) duly authorized and issued and are fully paid and non-assessable.</w:t>
      </w:r>
    </w:p>
    <w:p>
      <w:pPr>
        <w:spacing w:after="0" w:line="276" w:lineRule="exact"/>
        <w:rPr>
          <w:sz w:val="20"/>
          <w:szCs w:val="20"/>
          <w:color w:val="auto"/>
        </w:rPr>
      </w:pPr>
    </w:p>
    <w:p>
      <w:pPr>
        <w:ind w:left="6060"/>
        <w:spacing w:after="0"/>
        <w:rPr>
          <w:sz w:val="20"/>
          <w:szCs w:val="20"/>
          <w:color w:val="auto"/>
        </w:rPr>
      </w:pPr>
      <w:r>
        <w:rPr>
          <w:rFonts w:ascii="Arial" w:cs="Arial" w:eastAsia="Arial" w:hAnsi="Arial"/>
          <w:sz w:val="22"/>
          <w:szCs w:val="22"/>
          <w:b w:val="1"/>
          <w:bCs w:val="1"/>
          <w:u w:val="single" w:color="auto"/>
          <w:color w:val="auto"/>
        </w:rPr>
        <w:t>ARTICLE VI COVENANTS</w:t>
      </w:r>
    </w:p>
    <w:p>
      <w:pPr>
        <w:spacing w:after="0" w:line="145" w:lineRule="exact"/>
        <w:rPr>
          <w:sz w:val="20"/>
          <w:szCs w:val="20"/>
          <w:color w:val="auto"/>
        </w:rPr>
      </w:pPr>
    </w:p>
    <w:p>
      <w:pPr>
        <w:ind w:right="3020" w:firstLine="648"/>
        <w:spacing w:after="0" w:line="263" w:lineRule="auto"/>
        <w:rPr>
          <w:sz w:val="20"/>
          <w:szCs w:val="20"/>
          <w:color w:val="auto"/>
        </w:rPr>
      </w:pPr>
      <w:r>
        <w:rPr>
          <w:rFonts w:ascii="Arial" w:cs="Arial" w:eastAsia="Arial" w:hAnsi="Arial"/>
          <w:sz w:val="22"/>
          <w:szCs w:val="22"/>
          <w:color w:val="auto"/>
        </w:rPr>
        <w:t>During the term of this Agreement, unless the Required Lenders shall otherwise consent in writing:</w:t>
      </w:r>
    </w:p>
    <w:p>
      <w:pPr>
        <w:spacing w:after="0" w:line="215" w:lineRule="exact"/>
        <w:rPr>
          <w:sz w:val="20"/>
          <w:szCs w:val="20"/>
          <w:color w:val="auto"/>
        </w:rPr>
      </w:pPr>
    </w:p>
    <w:p>
      <w:pPr>
        <w:ind w:right="20" w:firstLine="1378"/>
        <w:spacing w:after="0" w:line="276"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Financial Reporting</w:t>
      </w:r>
      <w:r>
        <w:rPr>
          <w:rFonts w:ascii="Arial" w:cs="Arial" w:eastAsia="Arial" w:hAnsi="Arial"/>
          <w:sz w:val="22"/>
          <w:szCs w:val="22"/>
          <w:color w:val="auto"/>
        </w:rPr>
        <w:t>. The Borrower will maintain, for itself and each Subsidiary, a system of accounting established and administered in accordance with GAAP, and furnish to the Administrative Agent:</w:t>
      </w:r>
    </w:p>
    <w:p>
      <w:pPr>
        <w:spacing w:after="0" w:line="201" w:lineRule="exact"/>
        <w:rPr>
          <w:sz w:val="20"/>
          <w:szCs w:val="20"/>
          <w:color w:val="auto"/>
        </w:rPr>
      </w:pPr>
    </w:p>
    <w:p>
      <w:pPr>
        <w:jc w:val="both"/>
        <w:ind w:firstLine="1049"/>
        <w:spacing w:after="0" w:line="248" w:lineRule="auto"/>
        <w:tabs>
          <w:tab w:leader="none" w:pos="2171" w:val="left"/>
        </w:tabs>
        <w:numPr>
          <w:ilvl w:val="0"/>
          <w:numId w:val="93"/>
        </w:numPr>
        <w:rPr>
          <w:rFonts w:ascii="Arial" w:cs="Arial" w:eastAsia="Arial" w:hAnsi="Arial"/>
          <w:sz w:val="22"/>
          <w:szCs w:val="22"/>
          <w:color w:val="auto"/>
        </w:rPr>
      </w:pPr>
      <w:r>
        <w:rPr>
          <w:rFonts w:ascii="Arial" w:cs="Arial" w:eastAsia="Arial" w:hAnsi="Arial"/>
          <w:sz w:val="22"/>
          <w:szCs w:val="22"/>
          <w:color w:val="auto"/>
        </w:rPr>
        <w:t>Within 120 days after the close of each of its fiscal years, an unqualified (except for qualifications relating to changes in accounting principles or practices reflecting changes in GAAP) audit report, with no going concern modifier, certified by independent certified public accountants acceptable to the Lenders, prepared in accordance with GAAP on a consolidated basis for itself and its Subsidiaries, including balance sheets as of the end of such period, related profit and loss and reconciliation of surplus statements, and a statement of cash flows.</w:t>
      </w:r>
    </w:p>
    <w:p>
      <w:pPr>
        <w:spacing w:after="0" w:line="273" w:lineRule="exact"/>
        <w:rPr>
          <w:rFonts w:ascii="Arial" w:cs="Arial" w:eastAsia="Arial" w:hAnsi="Arial"/>
          <w:sz w:val="22"/>
          <w:szCs w:val="22"/>
          <w:color w:val="auto"/>
        </w:rPr>
      </w:pPr>
    </w:p>
    <w:p>
      <w:pPr>
        <w:jc w:val="both"/>
        <w:ind w:firstLine="1049"/>
        <w:spacing w:after="0" w:line="248" w:lineRule="auto"/>
        <w:tabs>
          <w:tab w:leader="none" w:pos="2183" w:val="left"/>
        </w:tabs>
        <w:numPr>
          <w:ilvl w:val="0"/>
          <w:numId w:val="93"/>
        </w:numPr>
        <w:rPr>
          <w:rFonts w:ascii="Arial" w:cs="Arial" w:eastAsia="Arial" w:hAnsi="Arial"/>
          <w:sz w:val="22"/>
          <w:szCs w:val="22"/>
          <w:color w:val="auto"/>
        </w:rPr>
      </w:pPr>
      <w:r>
        <w:rPr>
          <w:rFonts w:ascii="Arial" w:cs="Arial" w:eastAsia="Arial" w:hAnsi="Arial"/>
          <w:sz w:val="22"/>
          <w:szCs w:val="22"/>
          <w:color w:val="auto"/>
        </w:rPr>
        <w:t>Within 120 days after the close of each of its fiscal years, consolidating unaudited balance sheets of the Borrower as of the close of each such period and consolidating profit and loss and reconciliation of surplus statements (including sufficient detail for independent calculation of the financial covenants set forth in Section 6.21) and a statement of cash flows of the Borrower or the period from the beginning of such fiscal year to the end of such quarter, all certified by its chief financial officer.</w:t>
      </w:r>
    </w:p>
    <w:p>
      <w:pPr>
        <w:spacing w:after="0" w:line="232" w:lineRule="exact"/>
        <w:rPr>
          <w:rFonts w:ascii="Arial" w:cs="Arial" w:eastAsia="Arial" w:hAnsi="Arial"/>
          <w:sz w:val="22"/>
          <w:szCs w:val="22"/>
          <w:color w:val="auto"/>
        </w:rPr>
      </w:pPr>
    </w:p>
    <w:p>
      <w:pPr>
        <w:jc w:val="both"/>
        <w:ind w:firstLine="1049"/>
        <w:spacing w:after="0" w:line="248" w:lineRule="auto"/>
        <w:tabs>
          <w:tab w:leader="none" w:pos="2171" w:val="left"/>
        </w:tabs>
        <w:numPr>
          <w:ilvl w:val="0"/>
          <w:numId w:val="93"/>
        </w:numPr>
        <w:rPr>
          <w:rFonts w:ascii="Arial" w:cs="Arial" w:eastAsia="Arial" w:hAnsi="Arial"/>
          <w:sz w:val="22"/>
          <w:szCs w:val="22"/>
          <w:color w:val="auto"/>
        </w:rPr>
      </w:pPr>
      <w:r>
        <w:rPr>
          <w:rFonts w:ascii="Arial" w:cs="Arial" w:eastAsia="Arial" w:hAnsi="Arial"/>
          <w:sz w:val="22"/>
          <w:szCs w:val="22"/>
          <w:color w:val="auto"/>
        </w:rPr>
        <w:t>Within 60 days after the close of the first three (3) quarterly periods of each of its fiscal years, for itself and its Subsidiaries, consolidated unaudited balance sheets as of the close of each such period and consolidated profit and loss and reconciliation of surplus statements (including sufficient detail for independent calculation of the financial covenants set forth in Section 6.21) and a statement of cash flows for the period from the beginning of such fiscal year to the end of such quarter, all certified by its chief financial officer.</w:t>
      </w:r>
    </w:p>
    <w:p>
      <w:pPr>
        <w:spacing w:after="0" w:line="232" w:lineRule="exact"/>
        <w:rPr>
          <w:rFonts w:ascii="Arial" w:cs="Arial" w:eastAsia="Arial" w:hAnsi="Arial"/>
          <w:sz w:val="22"/>
          <w:szCs w:val="22"/>
          <w:color w:val="auto"/>
        </w:rPr>
      </w:pPr>
    </w:p>
    <w:p>
      <w:pPr>
        <w:jc w:val="both"/>
        <w:ind w:firstLine="1049"/>
        <w:spacing w:after="0" w:line="253" w:lineRule="auto"/>
        <w:tabs>
          <w:tab w:leader="none" w:pos="2183" w:val="left"/>
        </w:tabs>
        <w:numPr>
          <w:ilvl w:val="0"/>
          <w:numId w:val="93"/>
        </w:numPr>
        <w:rPr>
          <w:rFonts w:ascii="Arial" w:cs="Arial" w:eastAsia="Arial" w:hAnsi="Arial"/>
          <w:sz w:val="22"/>
          <w:szCs w:val="22"/>
          <w:color w:val="auto"/>
        </w:rPr>
      </w:pPr>
      <w:r>
        <w:rPr>
          <w:rFonts w:ascii="Arial" w:cs="Arial" w:eastAsia="Arial" w:hAnsi="Arial"/>
          <w:sz w:val="22"/>
          <w:szCs w:val="22"/>
          <w:color w:val="auto"/>
        </w:rPr>
        <w:t>As soon as available, but in any event within 120 days after the beginning of each fiscal year of the Borrower, a copy of the plan and forecast (including a projected consolidated balance sheet, income statement and cash flow statement) of the Borrower and Subsidiaries on a consolidated basis for such fiscal year.</w:t>
      </w:r>
    </w:p>
    <w:p>
      <w:pPr>
        <w:spacing w:after="0" w:line="226" w:lineRule="exact"/>
        <w:rPr>
          <w:rFonts w:ascii="Arial" w:cs="Arial" w:eastAsia="Arial" w:hAnsi="Arial"/>
          <w:sz w:val="22"/>
          <w:szCs w:val="22"/>
          <w:color w:val="auto"/>
        </w:rPr>
      </w:pPr>
    </w:p>
    <w:p>
      <w:pPr>
        <w:jc w:val="both"/>
        <w:ind w:firstLine="1049"/>
        <w:spacing w:after="0" w:line="250" w:lineRule="auto"/>
        <w:tabs>
          <w:tab w:leader="none" w:pos="2171" w:val="left"/>
        </w:tabs>
        <w:numPr>
          <w:ilvl w:val="0"/>
          <w:numId w:val="93"/>
        </w:numPr>
        <w:rPr>
          <w:rFonts w:ascii="Arial" w:cs="Arial" w:eastAsia="Arial" w:hAnsi="Arial"/>
          <w:sz w:val="22"/>
          <w:szCs w:val="22"/>
          <w:color w:val="auto"/>
        </w:rPr>
      </w:pPr>
      <w:r>
        <w:rPr>
          <w:rFonts w:ascii="Arial" w:cs="Arial" w:eastAsia="Arial" w:hAnsi="Arial"/>
          <w:sz w:val="22"/>
          <w:szCs w:val="22"/>
          <w:color w:val="auto"/>
        </w:rPr>
        <w:t>Together with the financial statements required under Sections 6.1(a) and 6.1(c), a compliance certificate in substantially the form of Exhibit B (the “Compliance Certificate”) signed by its chief financial officer showing the calculations necessary to determine compliance with this Agreement and stating that no Default or Event of Default exists, or if any Default or Event of Default exists, stating the nature and status thereof.</w:t>
      </w:r>
    </w:p>
    <w:p>
      <w:pPr>
        <w:spacing w:after="0" w:line="228" w:lineRule="exact"/>
        <w:rPr>
          <w:rFonts w:ascii="Arial" w:cs="Arial" w:eastAsia="Arial" w:hAnsi="Arial"/>
          <w:sz w:val="22"/>
          <w:szCs w:val="22"/>
          <w:color w:val="auto"/>
        </w:rPr>
      </w:pPr>
    </w:p>
    <w:p>
      <w:pPr>
        <w:ind w:firstLine="1049"/>
        <w:spacing w:after="0" w:line="263" w:lineRule="auto"/>
        <w:tabs>
          <w:tab w:leader="none" w:pos="2147" w:val="left"/>
        </w:tabs>
        <w:numPr>
          <w:ilvl w:val="0"/>
          <w:numId w:val="93"/>
        </w:numPr>
        <w:rPr>
          <w:rFonts w:ascii="Arial" w:cs="Arial" w:eastAsia="Arial" w:hAnsi="Arial"/>
          <w:sz w:val="22"/>
          <w:szCs w:val="22"/>
          <w:color w:val="auto"/>
        </w:rPr>
      </w:pPr>
      <w:r>
        <w:rPr>
          <w:rFonts w:ascii="Arial" w:cs="Arial" w:eastAsia="Arial" w:hAnsi="Arial"/>
          <w:sz w:val="22"/>
          <w:szCs w:val="22"/>
          <w:color w:val="auto"/>
        </w:rPr>
        <w:t>Promptly upon the furnishing thereof to the shareholders of the Borrower, copies of all financial statements, reports and proxy statements so furnished.</w:t>
      </w:r>
    </w:p>
    <w:p>
      <w:pPr>
        <w:spacing w:after="0" w:line="215" w:lineRule="exact"/>
        <w:rPr>
          <w:rFonts w:ascii="Arial" w:cs="Arial" w:eastAsia="Arial" w:hAnsi="Arial"/>
          <w:sz w:val="22"/>
          <w:szCs w:val="22"/>
          <w:color w:val="auto"/>
        </w:rPr>
      </w:pPr>
    </w:p>
    <w:p>
      <w:pPr>
        <w:ind w:firstLine="1049"/>
        <w:spacing w:after="0" w:line="343" w:lineRule="auto"/>
        <w:tabs>
          <w:tab w:leader="none" w:pos="2183" w:val="left"/>
        </w:tabs>
        <w:numPr>
          <w:ilvl w:val="0"/>
          <w:numId w:val="93"/>
        </w:numPr>
        <w:rPr>
          <w:rFonts w:ascii="Arial" w:cs="Arial" w:eastAsia="Arial" w:hAnsi="Arial"/>
          <w:sz w:val="19"/>
          <w:szCs w:val="19"/>
          <w:color w:val="auto"/>
        </w:rPr>
      </w:pPr>
      <w:r>
        <w:rPr>
          <w:rFonts w:ascii="Arial" w:cs="Arial" w:eastAsia="Arial" w:hAnsi="Arial"/>
          <w:sz w:val="19"/>
          <w:szCs w:val="19"/>
          <w:color w:val="auto"/>
        </w:rPr>
        <w:t>Promptly upon the filing thereof, copies of all registration statements and annual, quarterly, monthly or other regular reports which the Borrower or any of its Subsidiaries files with the U.S. Securities and Exchange Commission.</w:t>
      </w:r>
    </w:p>
    <w:p>
      <w:pPr>
        <w:spacing w:after="0" w:line="145" w:lineRule="exact"/>
        <w:rPr>
          <w:rFonts w:ascii="Arial" w:cs="Arial" w:eastAsia="Arial" w:hAnsi="Arial"/>
          <w:sz w:val="19"/>
          <w:szCs w:val="19"/>
          <w:color w:val="auto"/>
        </w:rPr>
      </w:pPr>
    </w:p>
    <w:p>
      <w:pPr>
        <w:ind w:firstLine="1049"/>
        <w:spacing w:after="0" w:line="263" w:lineRule="auto"/>
        <w:tabs>
          <w:tab w:leader="none" w:pos="2183" w:val="left"/>
        </w:tabs>
        <w:numPr>
          <w:ilvl w:val="0"/>
          <w:numId w:val="93"/>
        </w:numPr>
        <w:rPr>
          <w:rFonts w:ascii="Arial" w:cs="Arial" w:eastAsia="Arial" w:hAnsi="Arial"/>
          <w:sz w:val="22"/>
          <w:szCs w:val="22"/>
          <w:color w:val="auto"/>
        </w:rPr>
      </w:pPr>
      <w:r>
        <w:rPr>
          <w:rFonts w:ascii="Arial" w:cs="Arial" w:eastAsia="Arial" w:hAnsi="Arial"/>
          <w:sz w:val="22"/>
          <w:szCs w:val="22"/>
          <w:color w:val="auto"/>
        </w:rPr>
        <w:t>Such other information (including non-financial information and environmental reports) as the Administrative Agent may from time to time reasonably request.</w:t>
      </w:r>
    </w:p>
    <w:p>
      <w:pPr>
        <w:sectPr>
          <w:pgSz w:w="11900" w:h="16838" w:orient="portrait"/>
          <w:cols w:equalWidth="0" w:num="1">
            <w:col w:w="11300"/>
          </w:cols>
          <w:pgMar w:left="360" w:top="429" w:right="239" w:bottom="1440" w:gutter="0" w:footer="0" w:header="0"/>
        </w:sectPr>
      </w:pPr>
    </w:p>
    <w:p>
      <w:pPr>
        <w:spacing w:after="0" w:line="18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300"/>
          </w:cols>
          <w:pgMar w:left="360" w:top="429" w:right="239" w:bottom="1440" w:gutter="0" w:footer="0" w:header="0"/>
          <w:type w:val="continuous"/>
        </w:sectPr>
      </w:pPr>
    </w:p>
    <w:bookmarkStart w:id="172" w:name="page173"/>
    <w:bookmarkEnd w:id="172"/>
    <w:p>
      <w:pPr>
        <w:jc w:val="both"/>
        <w:ind w:firstLine="1049"/>
        <w:spacing w:after="0" w:line="290" w:lineRule="auto"/>
        <w:tabs>
          <w:tab w:leader="none" w:pos="2135" w:val="left"/>
        </w:tabs>
        <w:numPr>
          <w:ilvl w:val="0"/>
          <w:numId w:val="94"/>
        </w:numPr>
        <w:rPr>
          <w:rFonts w:ascii="Arial" w:cs="Arial" w:eastAsia="Arial" w:hAnsi="Arial"/>
          <w:sz w:val="19"/>
          <w:szCs w:val="19"/>
          <w:color w:val="auto"/>
        </w:rPr>
      </w:pPr>
      <w:r>
        <w:rPr>
          <w:rFonts w:ascii="Arial" w:cs="Arial" w:eastAsia="Arial" w:hAnsi="Arial"/>
          <w:sz w:val="19"/>
          <w:szCs w:val="19"/>
          <w:color w:val="auto"/>
        </w:rPr>
        <w:t xml:space="preserve">Any financial statement required to be furnished pursuant to Section 6.1(a) or 6.1(c) shall be deemed to have been furnished on the date on which the Lenders receive notice that the Borrower has filed such financial statement with the U.S. Securities and Exchange Commission and is available on the EDGAR website on the Internet at </w:t>
      </w:r>
      <w:r>
        <w:rPr>
          <w:rFonts w:ascii="Arial" w:cs="Arial" w:eastAsia="Arial" w:hAnsi="Arial"/>
          <w:sz w:val="19"/>
          <w:szCs w:val="19"/>
          <w:u w:val="single" w:color="auto"/>
          <w:color w:val="0000EE"/>
        </w:rPr>
        <w:t>w</w:t>
      </w:r>
      <w:r>
        <w:rPr>
          <w:rFonts w:ascii="Arial" w:cs="Arial" w:eastAsia="Arial" w:hAnsi="Arial"/>
          <w:sz w:val="19"/>
          <w:szCs w:val="19"/>
          <w:color w:val="auto"/>
        </w:rPr>
        <w:t>ww.sec.gov or any successor government website that is freely and readily available to the Administrative Agent and the Lenders without charge; provided that the Borrower shall give notice of any such filing to the Administrative Agent (who shall then give notice of any such filing to the Lenders). Notwithstanding the foregoing, the Borrower shall deliver paper or electronic copies of any such financial statement to the Administrative Agent if the Administrative Agent requests the Borrower to furnish such paper or electronic copies until written notice to cease delivering such paper or electronic copies is given by the Administrative Agent.</w:t>
      </w:r>
    </w:p>
    <w:p>
      <w:pPr>
        <w:spacing w:after="0" w:line="237" w:lineRule="exact"/>
        <w:rPr>
          <w:rFonts w:ascii="Arial" w:cs="Arial" w:eastAsia="Arial" w:hAnsi="Arial"/>
          <w:sz w:val="19"/>
          <w:szCs w:val="19"/>
          <w:color w:val="auto"/>
        </w:rPr>
      </w:pPr>
    </w:p>
    <w:p>
      <w:pPr>
        <w:ind w:firstLine="1049"/>
        <w:spacing w:after="0" w:line="263" w:lineRule="auto"/>
        <w:tabs>
          <w:tab w:leader="none" w:pos="2135" w:val="left"/>
        </w:tabs>
        <w:numPr>
          <w:ilvl w:val="0"/>
          <w:numId w:val="94"/>
        </w:numPr>
        <w:rPr>
          <w:rFonts w:ascii="Arial" w:cs="Arial" w:eastAsia="Arial" w:hAnsi="Arial"/>
          <w:sz w:val="22"/>
          <w:szCs w:val="22"/>
          <w:color w:val="auto"/>
        </w:rPr>
      </w:pPr>
      <w:r>
        <w:rPr>
          <w:rFonts w:ascii="Arial" w:cs="Arial" w:eastAsia="Arial" w:hAnsi="Arial"/>
          <w:sz w:val="22"/>
          <w:szCs w:val="22"/>
          <w:color w:val="auto"/>
        </w:rPr>
        <w:t>Immediately upon any officer of the Borrower becoming aware of any Default or Event of Default, a notice describing the nature thereof and what action the Borrower proposes to take with respect thereto.</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any information which is required to be furnished to the Lenders under Section 6.1 is required by law or regulation to be filed by the Borrower with a government body on an earlier date, then the information required hereunder shall be furnished to the Lenders at such earlier date.</w:t>
      </w:r>
    </w:p>
    <w:p>
      <w:pPr>
        <w:spacing w:after="0" w:line="226" w:lineRule="exact"/>
        <w:rPr>
          <w:sz w:val="20"/>
          <w:szCs w:val="20"/>
          <w:color w:val="auto"/>
        </w:rPr>
      </w:pPr>
    </w:p>
    <w:p>
      <w:pPr>
        <w:jc w:val="both"/>
        <w:ind w:firstLine="1378"/>
        <w:spacing w:after="0" w:line="287"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Use of Proceeds</w:t>
      </w:r>
      <w:r>
        <w:rPr>
          <w:rFonts w:ascii="Arial" w:cs="Arial" w:eastAsia="Arial" w:hAnsi="Arial"/>
          <w:sz w:val="19"/>
          <w:szCs w:val="19"/>
          <w:color w:val="auto"/>
        </w:rPr>
        <w:t>. The Borrower will, and will cause each Subsidiary to, use the proceeds of the Credit Extensions for general corporate purposes, Permitted Acquisitions, repurchases of Borrower Equity Interests, and other purposes specifically contemplated or permitted by this Agreement. The Borrower will not, nor will it permit any Subsidiary to, use any of the proceeds of the Advances to purchase or carry any “margin stock” (as defined in Regulation U) to the extent that such transaction would cause the representation set forth in Section 5.10 of this Agreement to be untrue as if remade by the Borrower as of the effectiveness of such transaction, or would otherwise be in violation of Regulation U. The Borrower will not request any Loan or Facility LC, and will not use, and the Borrower will ensure that its Subsidiaries and its or their respective directors, officers, employees and agents shall not use, the proceeds of any Loan or Facility LC in furtherance of an offer, payment, promise to pay, or authorization of the payment or giving of money, or anything else of value, to any Person in violation of any Anti-Corruption Laws. The Borrower will not, directly or indirectly, use the proceeds of the Loans or any Facility LC, or lend, contribute or otherwise make available such proceeds to any subsidiary, joint venture partner or other Person, (i) to fund any activities or business of or with any Person, or in any country or territory, that, at the time of such funding, is, or whose government is, the subject of Sanctions, or (ii) in any other manner that would result in a violation of Sanctions by any Person (including any Person participating in the Loans, whether as underwriter, advisor, investor, or otherwise).</w:t>
      </w:r>
    </w:p>
    <w:p>
      <w:pPr>
        <w:spacing w:after="0" w:line="205" w:lineRule="exact"/>
        <w:rPr>
          <w:sz w:val="20"/>
          <w:szCs w:val="20"/>
          <w:color w:val="auto"/>
        </w:rPr>
      </w:pPr>
    </w:p>
    <w:p>
      <w:pPr>
        <w:jc w:val="both"/>
        <w:ind w:firstLine="1378"/>
        <w:spacing w:after="0" w:line="260"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Notice of Material Events</w:t>
      </w:r>
      <w:r>
        <w:rPr>
          <w:rFonts w:ascii="Arial" w:cs="Arial" w:eastAsia="Arial" w:hAnsi="Arial"/>
          <w:sz w:val="22"/>
          <w:szCs w:val="22"/>
          <w:color w:val="auto"/>
        </w:rPr>
        <w:t>. The Borrower will, and will cause each Subsidiary to, give notice in writing to the Administrative Agent and each Lender, promptly and in any event within ten days after an officer of the Borrower obtains knowledge thereof, of the occurrence of any of the following:</w:t>
      </w:r>
    </w:p>
    <w:p>
      <w:pPr>
        <w:spacing w:after="0" w:line="218" w:lineRule="exact"/>
        <w:rPr>
          <w:sz w:val="20"/>
          <w:szCs w:val="20"/>
          <w:color w:val="auto"/>
        </w:rPr>
      </w:pPr>
    </w:p>
    <w:p>
      <w:pPr>
        <w:ind w:left="2160" w:hanging="1111"/>
        <w:spacing w:after="0"/>
        <w:tabs>
          <w:tab w:leader="none" w:pos="2160" w:val="left"/>
        </w:tabs>
        <w:numPr>
          <w:ilvl w:val="0"/>
          <w:numId w:val="95"/>
        </w:numPr>
        <w:rPr>
          <w:rFonts w:ascii="Arial" w:cs="Arial" w:eastAsia="Arial" w:hAnsi="Arial"/>
          <w:sz w:val="22"/>
          <w:szCs w:val="22"/>
          <w:color w:val="auto"/>
        </w:rPr>
      </w:pPr>
      <w:r>
        <w:rPr>
          <w:rFonts w:ascii="Arial" w:cs="Arial" w:eastAsia="Arial" w:hAnsi="Arial"/>
          <w:sz w:val="22"/>
          <w:szCs w:val="22"/>
          <w:color w:val="auto"/>
        </w:rPr>
        <w:t>any Default or Event of Default;</w:t>
      </w:r>
    </w:p>
    <w:p>
      <w:pPr>
        <w:spacing w:after="0" w:line="22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00"/>
          </w:cols>
          <w:pgMar w:left="360" w:top="632" w:right="239" w:bottom="1440" w:gutter="0" w:footer="0" w:header="0"/>
        </w:sectPr>
      </w:pPr>
    </w:p>
    <w:bookmarkStart w:id="173" w:name="page174"/>
    <w:bookmarkEnd w:id="173"/>
    <w:p>
      <w:pPr>
        <w:jc w:val="both"/>
        <w:ind w:firstLine="1049"/>
        <w:spacing w:after="0" w:line="297" w:lineRule="auto"/>
        <w:tabs>
          <w:tab w:leader="none" w:pos="2183" w:val="left"/>
        </w:tabs>
        <w:numPr>
          <w:ilvl w:val="0"/>
          <w:numId w:val="96"/>
        </w:numPr>
        <w:rPr>
          <w:rFonts w:ascii="Arial" w:cs="Arial" w:eastAsia="Arial" w:hAnsi="Arial"/>
          <w:sz w:val="19"/>
          <w:szCs w:val="19"/>
          <w:color w:val="auto"/>
        </w:rPr>
      </w:pPr>
      <w:r>
        <w:rPr>
          <w:rFonts w:ascii="Arial" w:cs="Arial" w:eastAsia="Arial" w:hAnsi="Arial"/>
          <w:sz w:val="19"/>
          <w:szCs w:val="19"/>
          <w:color w:val="auto"/>
        </w:rPr>
        <w:t>(i) the filing or commencement of any action, suit or proceeding by or before any arbitrator or Governmental Authority (including pursuant to any applicable Environmental Laws) against or affecting the Borrower or any Affiliate thereof that, if adversely determined, would reasonably be expected to result in a Material Adverse Effect or which seeks to prevent, enjoin or delay the making of any Credit Extensions and (ii) any material adverse development which occurs in any litigation, arbitration or governmental investigation or proceeding previously disclosed by the Borrower or any Subsidiary;</w:t>
      </w:r>
    </w:p>
    <w:p>
      <w:pPr>
        <w:spacing w:after="0" w:line="187" w:lineRule="exact"/>
        <w:rPr>
          <w:rFonts w:ascii="Arial" w:cs="Arial" w:eastAsia="Arial" w:hAnsi="Arial"/>
          <w:sz w:val="19"/>
          <w:szCs w:val="19"/>
          <w:color w:val="auto"/>
        </w:rPr>
      </w:pPr>
    </w:p>
    <w:p>
      <w:pPr>
        <w:ind w:firstLine="1049"/>
        <w:spacing w:after="0" w:line="263" w:lineRule="auto"/>
        <w:tabs>
          <w:tab w:leader="none" w:pos="2171" w:val="left"/>
        </w:tabs>
        <w:numPr>
          <w:ilvl w:val="0"/>
          <w:numId w:val="96"/>
        </w:numPr>
        <w:rPr>
          <w:rFonts w:ascii="Arial" w:cs="Arial" w:eastAsia="Arial" w:hAnsi="Arial"/>
          <w:sz w:val="22"/>
          <w:szCs w:val="22"/>
          <w:color w:val="auto"/>
        </w:rPr>
      </w:pPr>
      <w:r>
        <w:rPr>
          <w:rFonts w:ascii="Arial" w:cs="Arial" w:eastAsia="Arial" w:hAnsi="Arial"/>
          <w:sz w:val="22"/>
          <w:szCs w:val="22"/>
          <w:color w:val="auto"/>
        </w:rPr>
        <w:t>with respect to a Plan, (i) any failure to pay all required minimum contributions and installments on or before the due dates provided under Section 430(j) of the</w:t>
      </w:r>
    </w:p>
    <w:p>
      <w:pPr>
        <w:spacing w:after="0" w:line="256" w:lineRule="exact"/>
        <w:rPr>
          <w:sz w:val="20"/>
          <w:szCs w:val="20"/>
          <w:color w:val="auto"/>
        </w:rPr>
      </w:pPr>
    </w:p>
    <w:p>
      <w:pPr>
        <w:ind w:right="380"/>
        <w:spacing w:after="0" w:line="263" w:lineRule="auto"/>
        <w:rPr>
          <w:sz w:val="20"/>
          <w:szCs w:val="20"/>
          <w:color w:val="auto"/>
        </w:rPr>
      </w:pPr>
      <w:r>
        <w:rPr>
          <w:rFonts w:ascii="Arial" w:cs="Arial" w:eastAsia="Arial" w:hAnsi="Arial"/>
          <w:sz w:val="22"/>
          <w:szCs w:val="22"/>
          <w:color w:val="auto"/>
        </w:rPr>
        <w:t>Code or (ii) the filing pursuant to Section 412(c) of the Code or Section 302(c) of ERISA, of an application for a waiver of the minimum funding standard;</w:t>
      </w:r>
    </w:p>
    <w:p>
      <w:pPr>
        <w:spacing w:after="0" w:line="215" w:lineRule="exact"/>
        <w:rPr>
          <w:sz w:val="20"/>
          <w:szCs w:val="20"/>
          <w:color w:val="auto"/>
        </w:rPr>
      </w:pPr>
    </w:p>
    <w:p>
      <w:pPr>
        <w:ind w:right="20" w:firstLine="1049"/>
        <w:spacing w:after="0" w:line="263" w:lineRule="auto"/>
        <w:tabs>
          <w:tab w:leader="none" w:pos="2183"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occurrence of any ERISA Event that, alone or together with any other ERISA Events that have occurred, would reasonably be expected to result in a Material Adverse Effect;</w:t>
      </w:r>
    </w:p>
    <w:p>
      <w:pPr>
        <w:spacing w:after="0" w:line="215" w:lineRule="exact"/>
        <w:rPr>
          <w:rFonts w:ascii="Arial" w:cs="Arial" w:eastAsia="Arial" w:hAnsi="Arial"/>
          <w:sz w:val="22"/>
          <w:szCs w:val="22"/>
          <w:color w:val="auto"/>
        </w:rPr>
      </w:pPr>
    </w:p>
    <w:p>
      <w:pPr>
        <w:ind w:left="2160" w:hanging="1111"/>
        <w:spacing w:after="0"/>
        <w:tabs>
          <w:tab w:leader="none" w:pos="2160" w:val="left"/>
        </w:tabs>
        <w:numPr>
          <w:ilvl w:val="0"/>
          <w:numId w:val="97"/>
        </w:numPr>
        <w:rPr>
          <w:rFonts w:ascii="Arial" w:cs="Arial" w:eastAsia="Arial" w:hAnsi="Arial"/>
          <w:sz w:val="19"/>
          <w:szCs w:val="19"/>
          <w:color w:val="auto"/>
        </w:rPr>
      </w:pPr>
      <w:r>
        <w:rPr>
          <w:rFonts w:ascii="Arial" w:cs="Arial" w:eastAsia="Arial" w:hAnsi="Arial"/>
          <w:sz w:val="19"/>
          <w:szCs w:val="19"/>
          <w:color w:val="auto"/>
        </w:rPr>
        <w:t>any material change in accounting policies of, or financial reporting practices by, the Borrower or any</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Subsidiary; and</w:t>
      </w:r>
    </w:p>
    <w:p>
      <w:pPr>
        <w:spacing w:after="0" w:line="242" w:lineRule="exact"/>
        <w:rPr>
          <w:rFonts w:ascii="Arial" w:cs="Arial" w:eastAsia="Arial" w:hAnsi="Arial"/>
          <w:sz w:val="19"/>
          <w:szCs w:val="19"/>
          <w:color w:val="auto"/>
        </w:rPr>
      </w:pPr>
    </w:p>
    <w:p>
      <w:pPr>
        <w:ind w:left="2140" w:hanging="1091"/>
        <w:spacing w:after="0"/>
        <w:tabs>
          <w:tab w:leader="none" w:pos="21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any other development, financial or otherwise, which would reasonably be expected to have a Material</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Adverse Effect.</w:t>
      </w:r>
    </w:p>
    <w:p>
      <w:pPr>
        <w:spacing w:after="0" w:line="2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Each notice delivered under this Section 6.3 shall be accompanied by a statement of an officer of the Borrower setting forth the details of the event or development requiring such notice and any action taken or proposed to be taken with respect thereto.</w:t>
      </w:r>
    </w:p>
    <w:p>
      <w:pPr>
        <w:spacing w:after="0" w:line="226" w:lineRule="exact"/>
        <w:rPr>
          <w:sz w:val="20"/>
          <w:szCs w:val="20"/>
          <w:color w:val="auto"/>
        </w:rPr>
      </w:pPr>
    </w:p>
    <w:p>
      <w:pPr>
        <w:jc w:val="both"/>
        <w:ind w:firstLine="1378"/>
        <w:spacing w:after="0" w:line="294"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Conduct of Business</w:t>
      </w:r>
      <w:r>
        <w:rPr>
          <w:rFonts w:ascii="Arial" w:cs="Arial" w:eastAsia="Arial" w:hAnsi="Arial"/>
          <w:sz w:val="19"/>
          <w:szCs w:val="19"/>
          <w:color w:val="auto"/>
        </w:rPr>
        <w:t>. The Borrower will, and will cause each Restricted Subsidiary to, carry on and conduct its business in substantially the same manner and in substantially the same fields of enterprise as it is presently conducted (including activities incidental to the foregoing) and do all things necessary to remain duly incorporated or organized, validly existing and (to the extent such concept applies to such entity) in good standing as a domestic corporation, partnership or limited liability company in its jurisdiction of incorporation or organization, as the case may be, and maintain all requisite authority to conduct its business in each jurisdiction in which its business is conducted, except to the extent compliance with this Section 6.4 would reasonably be expected to directly result in a Material Adverse Effect.</w:t>
      </w:r>
    </w:p>
    <w:p>
      <w:pPr>
        <w:spacing w:after="0" w:line="193" w:lineRule="exact"/>
        <w:rPr>
          <w:sz w:val="20"/>
          <w:szCs w:val="20"/>
          <w:color w:val="auto"/>
        </w:rPr>
      </w:pPr>
    </w:p>
    <w:p>
      <w:pPr>
        <w:jc w:val="both"/>
        <w:ind w:firstLine="1378"/>
        <w:spacing w:after="0" w:line="300"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u w:val="single" w:color="auto"/>
          <w:color w:val="auto"/>
        </w:rPr>
        <w:t>Taxes</w:t>
      </w:r>
      <w:r>
        <w:rPr>
          <w:rFonts w:ascii="Arial" w:cs="Arial" w:eastAsia="Arial" w:hAnsi="Arial"/>
          <w:sz w:val="19"/>
          <w:szCs w:val="19"/>
          <w:color w:val="auto"/>
        </w:rPr>
        <w:t>. The Borrower will, and will cause each Subsidiary to, timely file complete and correct United States federal and applicable foreign, state and local tax returns required by law and pay when due all taxes, assessments and governmental charges and levies upon it or its income, profits or Property, except those which are being contested in good faith by appropriate proceedings, with respect to which adequate reserves have been set aside in accordance with GAAP and which could not reasonably be expected, individually or in the aggregate, to have a Material Adverse Effect.</w:t>
      </w:r>
    </w:p>
    <w:p>
      <w:pPr>
        <w:spacing w:after="0" w:line="15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00"/>
          </w:cols>
          <w:pgMar w:left="360" w:top="631" w:right="239" w:bottom="1440" w:gutter="0" w:footer="0" w:header="0"/>
        </w:sectPr>
      </w:pPr>
    </w:p>
    <w:bookmarkStart w:id="174" w:name="page175"/>
    <w:bookmarkEnd w:id="174"/>
    <w:p>
      <w:pPr>
        <w:jc w:val="both"/>
        <w:ind w:left="40" w:firstLine="1378"/>
        <w:spacing w:after="0" w:line="289"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Insurance</w:t>
      </w:r>
      <w:r>
        <w:rPr>
          <w:rFonts w:ascii="Arial" w:cs="Arial" w:eastAsia="Arial" w:hAnsi="Arial"/>
          <w:sz w:val="19"/>
          <w:szCs w:val="19"/>
          <w:color w:val="auto"/>
        </w:rPr>
        <w:t>. The Borrower will, and will cause each Restricted Subsidiary to, maintain with financially sound and reputable insurance companies insurance on all their Property and liability insurance in such amounts, subject to such deductibles and covering such Properties and risks as is consistent with sound business practice, and the Borrower will furnish to the Administrative Agent, upon its written request, full information as to the insurance carried. The Administrative Agent shall be named as lender loss payee pursuant to a standard mortgagee provision acceptable to the Administrative Agent and/or additional insured with respect to any such insurance providing coverage in respect of any Collateral, and each provider of any such insurance shall agree, by endorsement upon the policy or policies issued by it or by independent instruments furnished to the Administrative Agent, that it will give the Administrative Agent thirty (30) days prior written notices before any such policy or policies shall be cancelled. The Borrower shall notify the Administrative Agent in writing, promptly after any Authorized Officer’s awareness thereof, if (i) any such policy or policies shall be materially altered in a manner adverse to the Administrative Agent and/or the Lenders or (ii) the amount of coverage thereunder shall be reduced.</w:t>
      </w:r>
    </w:p>
    <w:p>
      <w:pPr>
        <w:spacing w:after="0" w:line="199" w:lineRule="exact"/>
        <w:rPr>
          <w:sz w:val="20"/>
          <w:szCs w:val="20"/>
          <w:color w:val="auto"/>
        </w:rPr>
      </w:pPr>
    </w:p>
    <w:p>
      <w:pPr>
        <w:jc w:val="both"/>
        <w:ind w:firstLine="1378"/>
        <w:spacing w:after="0" w:line="291" w:lineRule="auto"/>
        <w:rPr>
          <w:sz w:val="20"/>
          <w:szCs w:val="20"/>
          <w:color w:val="auto"/>
        </w:rPr>
      </w:pPr>
      <w:r>
        <w:rPr>
          <w:rFonts w:ascii="Arial" w:cs="Arial" w:eastAsia="Arial" w:hAnsi="Arial"/>
          <w:sz w:val="19"/>
          <w:szCs w:val="19"/>
          <w:color w:val="auto"/>
        </w:rPr>
        <w:t xml:space="preserve">6.7. </w:t>
      </w:r>
      <w:r>
        <w:rPr>
          <w:rFonts w:ascii="Arial" w:cs="Arial" w:eastAsia="Arial" w:hAnsi="Arial"/>
          <w:sz w:val="19"/>
          <w:szCs w:val="19"/>
          <w:u w:val="single" w:color="auto"/>
          <w:color w:val="auto"/>
        </w:rPr>
        <w:t>Compliance with Laws and Material Contractual Obligations</w:t>
      </w:r>
      <w:r>
        <w:rPr>
          <w:rFonts w:ascii="Arial" w:cs="Arial" w:eastAsia="Arial" w:hAnsi="Arial"/>
          <w:sz w:val="19"/>
          <w:szCs w:val="19"/>
          <w:color w:val="auto"/>
        </w:rPr>
        <w:t>. The Borrower will, and will cause each Restricted Subsidiary to, (i) comply in all material respects with all laws, rules, regulations, orders, writs, judgments, injunctions, decrees or awards to which it may be subject including, without limitation, all Environmental Laws, Anti-Corruption Laws and applicable Sanctions and (ii) perform in all material respects its obligations under material agreements to which it is a party. The Borrower will maintain in effect and enforce policies and procedures designed to ensure compliance by the Borrower, its Restricted Subsidiaries and their respective directors, officers, employees and agents with Anti-Corruption Laws and applicable Sanctions. The Borrower will not use or allow any tenants or subtenants to use, or permit any Restricted Subsidiary to use or allow any tenants or subtenants to use, its Property for any business activity that violates, in any material respect, any federal or state law or that supports a business that violates any federal or state law in any material respect.</w:t>
      </w:r>
    </w:p>
    <w:p>
      <w:pPr>
        <w:spacing w:after="0" w:line="195" w:lineRule="exact"/>
        <w:rPr>
          <w:sz w:val="20"/>
          <w:szCs w:val="20"/>
          <w:color w:val="auto"/>
        </w:rPr>
      </w:pPr>
    </w:p>
    <w:p>
      <w:pPr>
        <w:jc w:val="both"/>
        <w:ind w:firstLine="1378"/>
        <w:spacing w:after="0" w:line="307" w:lineRule="auto"/>
        <w:rPr>
          <w:sz w:val="20"/>
          <w:szCs w:val="20"/>
          <w:color w:val="auto"/>
        </w:rPr>
      </w:pPr>
      <w:r>
        <w:rPr>
          <w:rFonts w:ascii="Arial" w:cs="Arial" w:eastAsia="Arial" w:hAnsi="Arial"/>
          <w:sz w:val="19"/>
          <w:szCs w:val="19"/>
          <w:color w:val="auto"/>
        </w:rPr>
        <w:t xml:space="preserve">6.8. </w:t>
      </w:r>
      <w:r>
        <w:rPr>
          <w:rFonts w:ascii="Arial" w:cs="Arial" w:eastAsia="Arial" w:hAnsi="Arial"/>
          <w:sz w:val="19"/>
          <w:szCs w:val="19"/>
          <w:u w:val="single" w:color="auto"/>
          <w:color w:val="auto"/>
        </w:rPr>
        <w:t>Maintenance of Properties</w:t>
      </w:r>
      <w:r>
        <w:rPr>
          <w:rFonts w:ascii="Arial" w:cs="Arial" w:eastAsia="Arial" w:hAnsi="Arial"/>
          <w:sz w:val="19"/>
          <w:szCs w:val="19"/>
          <w:color w:val="auto"/>
        </w:rPr>
        <w:t>. The Borrower shall maintain, and cause each Restricted Subsidiary to maintain, its properties used or useful in the conduct of its business in good condition, repair, and working order, and supplied with all necessary equipment, and make all necessary repairs, renewals, replacements, betterments, and improvements thereto, all as reasonably necessary for the business carried on in connection therewith to be properly and advantageously conducted at all times.</w:t>
      </w:r>
    </w:p>
    <w:p>
      <w:pPr>
        <w:spacing w:after="0" w:line="179" w:lineRule="exact"/>
        <w:rPr>
          <w:sz w:val="20"/>
          <w:szCs w:val="20"/>
          <w:color w:val="auto"/>
        </w:rPr>
      </w:pPr>
    </w:p>
    <w:p>
      <w:pPr>
        <w:jc w:val="both"/>
        <w:ind w:firstLine="1378"/>
        <w:spacing w:after="0" w:line="294" w:lineRule="auto"/>
        <w:rPr>
          <w:sz w:val="20"/>
          <w:szCs w:val="20"/>
          <w:color w:val="auto"/>
        </w:rPr>
      </w:pPr>
      <w:r>
        <w:rPr>
          <w:rFonts w:ascii="Arial" w:cs="Arial" w:eastAsia="Arial" w:hAnsi="Arial"/>
          <w:sz w:val="19"/>
          <w:szCs w:val="19"/>
          <w:color w:val="auto"/>
        </w:rPr>
        <w:t xml:space="preserve">6.9. </w:t>
      </w:r>
      <w:r>
        <w:rPr>
          <w:rFonts w:ascii="Arial" w:cs="Arial" w:eastAsia="Arial" w:hAnsi="Arial"/>
          <w:sz w:val="19"/>
          <w:szCs w:val="19"/>
          <w:u w:val="single" w:color="auto"/>
          <w:color w:val="auto"/>
        </w:rPr>
        <w:t>Books and Records; Inspection</w:t>
      </w:r>
      <w:r>
        <w:rPr>
          <w:rFonts w:ascii="Arial" w:cs="Arial" w:eastAsia="Arial" w:hAnsi="Arial"/>
          <w:sz w:val="19"/>
          <w:szCs w:val="19"/>
          <w:color w:val="auto"/>
        </w:rPr>
        <w:t>. The Borrower will, and will cause each of its Restricted Subsidiaries to, keep proper books of record and account in which full, true and correct entries are made of all dealings and transactions in relation to its business and activities in all material respects. The Borrower will, and will cause each Restricted Subsidiary to, permit the Administrative Agent and the Lenders, by their respective representatives and agents, upon reasonable advance written notice (including email) and, at the Borrower’s expense, to inspect any of the Property, books and financial records of the Borrower and each Restricted Subsidiary, to examine and make copies of the books of accounts and other financial records of the Borrower and each Restricted Subsidiary, and to discuss the affairs, finances and accounts of the Borrower and each Restricted</w:t>
      </w:r>
    </w:p>
    <w:p>
      <w:pPr>
        <w:spacing w:after="0" w:line="15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40"/>
          </w:cols>
          <w:pgMar w:left="320" w:top="632" w:right="239" w:bottom="1440" w:gutter="0" w:footer="0" w:header="0"/>
        </w:sectPr>
      </w:pPr>
    </w:p>
    <w:bookmarkStart w:id="175" w:name="page176"/>
    <w:bookmarkEnd w:id="175"/>
    <w:p>
      <w:pPr>
        <w:jc w:val="both"/>
        <w:spacing w:after="0" w:line="263" w:lineRule="auto"/>
        <w:rPr>
          <w:sz w:val="20"/>
          <w:szCs w:val="20"/>
          <w:color w:val="auto"/>
        </w:rPr>
      </w:pPr>
      <w:r>
        <w:rPr>
          <w:rFonts w:ascii="Arial" w:cs="Arial" w:eastAsia="Arial" w:hAnsi="Arial"/>
          <w:sz w:val="22"/>
          <w:szCs w:val="22"/>
          <w:color w:val="auto"/>
        </w:rPr>
        <w:t>Subsidiary with, and to be advised as to the same by, their respective officers at such reasonable times and intervals as the Administrative Agent or any Lender may designate.</w:t>
      </w:r>
    </w:p>
    <w:p>
      <w:pPr>
        <w:spacing w:after="0" w:line="215" w:lineRule="exact"/>
        <w:rPr>
          <w:sz w:val="20"/>
          <w:szCs w:val="20"/>
          <w:color w:val="auto"/>
        </w:rPr>
      </w:pPr>
    </w:p>
    <w:p>
      <w:pPr>
        <w:jc w:val="both"/>
        <w:ind w:firstLine="1378"/>
        <w:spacing w:after="0" w:line="251" w:lineRule="auto"/>
        <w:rPr>
          <w:sz w:val="20"/>
          <w:szCs w:val="20"/>
          <w:color w:val="auto"/>
        </w:rPr>
      </w:pPr>
      <w:r>
        <w:rPr>
          <w:rFonts w:ascii="Arial" w:cs="Arial" w:eastAsia="Arial" w:hAnsi="Arial"/>
          <w:sz w:val="22"/>
          <w:szCs w:val="22"/>
          <w:color w:val="auto"/>
        </w:rPr>
        <w:t xml:space="preserve">6.10. </w:t>
      </w:r>
      <w:r>
        <w:rPr>
          <w:rFonts w:ascii="Arial" w:cs="Arial" w:eastAsia="Arial" w:hAnsi="Arial"/>
          <w:sz w:val="22"/>
          <w:szCs w:val="22"/>
          <w:u w:val="single" w:color="auto"/>
          <w:color w:val="auto"/>
        </w:rPr>
        <w:t>Payment of Obligations</w:t>
      </w:r>
      <w:r>
        <w:rPr>
          <w:rFonts w:ascii="Arial" w:cs="Arial" w:eastAsia="Arial" w:hAnsi="Arial"/>
          <w:sz w:val="22"/>
          <w:szCs w:val="22"/>
          <w:color w:val="auto"/>
        </w:rPr>
        <w:t>. The Borrower will, and will cause each of its Subsidiaries to, pay its obligations, including Tax liabilities, that, if not paid, would reasonably be expected to result in a Material Adverse Effect before the same shall become delinquent or in default, except where (a) the validity or amount thereof is being contested in good faith by appropriate proceedings, and (b) the Borrower or such Subsidiary has set aside on its books adequate reserves with respect thereto in accordance with GAAP.</w:t>
      </w:r>
    </w:p>
    <w:p>
      <w:pPr>
        <w:spacing w:after="0" w:line="230" w:lineRule="exact"/>
        <w:rPr>
          <w:sz w:val="20"/>
          <w:szCs w:val="20"/>
          <w:color w:val="auto"/>
        </w:rPr>
      </w:pPr>
    </w:p>
    <w:p>
      <w:pPr>
        <w:jc w:val="both"/>
        <w:ind w:firstLine="1378"/>
        <w:spacing w:after="0" w:line="276" w:lineRule="auto"/>
        <w:rPr>
          <w:sz w:val="20"/>
          <w:szCs w:val="20"/>
          <w:color w:val="auto"/>
        </w:rPr>
      </w:pPr>
      <w:r>
        <w:rPr>
          <w:rFonts w:ascii="Arial" w:cs="Arial" w:eastAsia="Arial" w:hAnsi="Arial"/>
          <w:sz w:val="22"/>
          <w:szCs w:val="22"/>
          <w:color w:val="auto"/>
        </w:rPr>
        <w:t xml:space="preserve">6.11. </w:t>
      </w:r>
      <w:r>
        <w:rPr>
          <w:rFonts w:ascii="Arial" w:cs="Arial" w:eastAsia="Arial" w:hAnsi="Arial"/>
          <w:sz w:val="22"/>
          <w:szCs w:val="22"/>
          <w:u w:val="single" w:color="auto"/>
          <w:color w:val="auto"/>
        </w:rPr>
        <w:t>Indebtedness</w:t>
      </w:r>
      <w:r>
        <w:rPr>
          <w:rFonts w:ascii="Arial" w:cs="Arial" w:eastAsia="Arial" w:hAnsi="Arial"/>
          <w:sz w:val="22"/>
          <w:szCs w:val="22"/>
          <w:color w:val="auto"/>
        </w:rPr>
        <w:t>. The Borrower will not, nor will it permit any Restricted Subsidiary to, create, incur or suffer to exist any Indebtedness, except:</w:t>
      </w:r>
    </w:p>
    <w:p>
      <w:pPr>
        <w:spacing w:after="0" w:line="201" w:lineRule="exact"/>
        <w:rPr>
          <w:sz w:val="20"/>
          <w:szCs w:val="20"/>
          <w:color w:val="auto"/>
        </w:rPr>
      </w:pPr>
    </w:p>
    <w:p>
      <w:pPr>
        <w:ind w:left="2180" w:hanging="1104"/>
        <w:spacing w:after="0"/>
        <w:tabs>
          <w:tab w:leader="none" w:pos="2180"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Loans and the Reimbursement Obligations.</w:t>
      </w:r>
    </w:p>
    <w:p>
      <w:pPr>
        <w:spacing w:after="0" w:line="300" w:lineRule="exact"/>
        <w:rPr>
          <w:rFonts w:ascii="Arial" w:cs="Arial" w:eastAsia="Arial" w:hAnsi="Arial"/>
          <w:sz w:val="22"/>
          <w:szCs w:val="22"/>
          <w:color w:val="auto"/>
        </w:rPr>
      </w:pPr>
    </w:p>
    <w:p>
      <w:pPr>
        <w:ind w:left="260" w:firstLine="1059"/>
        <w:spacing w:after="0" w:line="263" w:lineRule="auto"/>
        <w:tabs>
          <w:tab w:leader="none" w:pos="2443" w:val="left"/>
        </w:tabs>
        <w:numPr>
          <w:ilvl w:val="2"/>
          <w:numId w:val="98"/>
        </w:numPr>
        <w:rPr>
          <w:rFonts w:ascii="Arial" w:cs="Arial" w:eastAsia="Arial" w:hAnsi="Arial"/>
          <w:sz w:val="22"/>
          <w:szCs w:val="22"/>
          <w:color w:val="auto"/>
        </w:rPr>
      </w:pPr>
      <w:r>
        <w:rPr>
          <w:rFonts w:ascii="Arial" w:cs="Arial" w:eastAsia="Arial" w:hAnsi="Arial"/>
          <w:sz w:val="22"/>
          <w:szCs w:val="22"/>
          <w:color w:val="auto"/>
        </w:rPr>
        <w:t>Indebtedness existing on the date hereof and described in Schedule 6.11 and any renewal or extension of such Indebtedness that does not increase the principal amount thereof.</w:t>
      </w:r>
    </w:p>
    <w:p>
      <w:pPr>
        <w:spacing w:after="0" w:line="215" w:lineRule="exact"/>
        <w:rPr>
          <w:rFonts w:ascii="Arial" w:cs="Arial" w:eastAsia="Arial" w:hAnsi="Arial"/>
          <w:sz w:val="22"/>
          <w:szCs w:val="22"/>
          <w:color w:val="auto"/>
        </w:rPr>
      </w:pPr>
    </w:p>
    <w:p>
      <w:pPr>
        <w:ind w:left="260" w:right="20" w:firstLine="1059"/>
        <w:spacing w:after="0" w:line="263" w:lineRule="auto"/>
        <w:tabs>
          <w:tab w:leader="none" w:pos="2431" w:val="left"/>
        </w:tabs>
        <w:numPr>
          <w:ilvl w:val="2"/>
          <w:numId w:val="98"/>
        </w:numPr>
        <w:rPr>
          <w:rFonts w:ascii="Arial" w:cs="Arial" w:eastAsia="Arial" w:hAnsi="Arial"/>
          <w:sz w:val="22"/>
          <w:szCs w:val="22"/>
          <w:color w:val="auto"/>
        </w:rPr>
      </w:pPr>
      <w:r>
        <w:rPr>
          <w:rFonts w:ascii="Arial" w:cs="Arial" w:eastAsia="Arial" w:hAnsi="Arial"/>
          <w:sz w:val="22"/>
          <w:szCs w:val="22"/>
          <w:color w:val="auto"/>
        </w:rPr>
        <w:t>Indebtedness arising under Swaps, Rate Protection Agreements or Foreign Currency Hedging Agreements that are non-speculative in nature.</w:t>
      </w:r>
    </w:p>
    <w:p>
      <w:pPr>
        <w:spacing w:after="0" w:line="215" w:lineRule="exact"/>
        <w:rPr>
          <w:rFonts w:ascii="Arial" w:cs="Arial" w:eastAsia="Arial" w:hAnsi="Arial"/>
          <w:sz w:val="22"/>
          <w:szCs w:val="22"/>
          <w:color w:val="auto"/>
        </w:rPr>
      </w:pPr>
    </w:p>
    <w:p>
      <w:pPr>
        <w:jc w:val="both"/>
        <w:ind w:firstLine="1306"/>
        <w:spacing w:after="0" w:line="302" w:lineRule="auto"/>
        <w:tabs>
          <w:tab w:leader="none" w:pos="2426" w:val="left"/>
        </w:tabs>
        <w:numPr>
          <w:ilvl w:val="1"/>
          <w:numId w:val="98"/>
        </w:numPr>
        <w:rPr>
          <w:rFonts w:ascii="Arial" w:cs="Arial" w:eastAsia="Arial" w:hAnsi="Arial"/>
          <w:sz w:val="19"/>
          <w:szCs w:val="19"/>
          <w:color w:val="auto"/>
        </w:rPr>
      </w:pPr>
      <w:r>
        <w:rPr>
          <w:rFonts w:ascii="Arial" w:cs="Arial" w:eastAsia="Arial" w:hAnsi="Arial"/>
          <w:sz w:val="19"/>
          <w:szCs w:val="19"/>
          <w:color w:val="auto"/>
        </w:rPr>
        <w:t>Indebtedness for the purchase price of equipment used in the ordinary course of the Borrower’s business, provided, that in no event shall the amount of such purchase- money indebtedness with respect to any equipment exceed 100% of the fair market value of such equipment and, provided further, that any interest-bearing Indebtedness permitted under this Section 6.11(d), in the aggregate, shall not exceed $10,000,000 at any time outstanding.</w:t>
      </w:r>
    </w:p>
    <w:p>
      <w:pPr>
        <w:spacing w:after="0" w:line="183" w:lineRule="exact"/>
        <w:rPr>
          <w:rFonts w:ascii="Arial" w:cs="Arial" w:eastAsia="Arial" w:hAnsi="Arial"/>
          <w:sz w:val="19"/>
          <w:szCs w:val="19"/>
          <w:color w:val="auto"/>
        </w:rPr>
      </w:pPr>
    </w:p>
    <w:p>
      <w:pPr>
        <w:ind w:left="2220" w:hanging="887"/>
        <w:spacing w:after="0"/>
        <w:tabs>
          <w:tab w:leader="none" w:pos="2220" w:val="left"/>
        </w:tabs>
        <w:numPr>
          <w:ilvl w:val="3"/>
          <w:numId w:val="98"/>
        </w:numPr>
        <w:rPr>
          <w:rFonts w:ascii="Arial" w:cs="Arial" w:eastAsia="Arial" w:hAnsi="Arial"/>
          <w:sz w:val="22"/>
          <w:szCs w:val="22"/>
          <w:color w:val="auto"/>
        </w:rPr>
      </w:pPr>
      <w:r>
        <w:rPr>
          <w:rFonts w:ascii="Arial" w:cs="Arial" w:eastAsia="Arial" w:hAnsi="Arial"/>
          <w:sz w:val="22"/>
          <w:szCs w:val="22"/>
          <w:color w:val="auto"/>
        </w:rPr>
        <w:t>Indebtedness secured by Liens permitted under Section 6.16(a)-(h).</w:t>
      </w:r>
    </w:p>
    <w:p>
      <w:pPr>
        <w:spacing w:after="0" w:line="260" w:lineRule="exact"/>
        <w:rPr>
          <w:rFonts w:ascii="Arial" w:cs="Arial" w:eastAsia="Arial" w:hAnsi="Arial"/>
          <w:sz w:val="22"/>
          <w:szCs w:val="22"/>
          <w:color w:val="auto"/>
        </w:rPr>
      </w:pPr>
    </w:p>
    <w:p>
      <w:pPr>
        <w:ind w:left="2420" w:hanging="1101"/>
        <w:spacing w:after="0"/>
        <w:tabs>
          <w:tab w:leader="none" w:pos="2420" w:val="left"/>
        </w:tabs>
        <w:numPr>
          <w:ilvl w:val="2"/>
          <w:numId w:val="99"/>
        </w:numPr>
        <w:rPr>
          <w:rFonts w:ascii="Arial" w:cs="Arial" w:eastAsia="Arial" w:hAnsi="Arial"/>
          <w:sz w:val="22"/>
          <w:szCs w:val="22"/>
          <w:color w:val="auto"/>
        </w:rPr>
      </w:pPr>
      <w:r>
        <w:rPr>
          <w:rFonts w:ascii="Arial" w:cs="Arial" w:eastAsia="Arial" w:hAnsi="Arial"/>
          <w:sz w:val="22"/>
          <w:szCs w:val="22"/>
          <w:color w:val="auto"/>
        </w:rPr>
        <w:t>Contingent consideration payable in connection with a Permitted Acquisition.</w:t>
      </w:r>
    </w:p>
    <w:p>
      <w:pPr>
        <w:spacing w:after="0" w:line="260" w:lineRule="exact"/>
        <w:rPr>
          <w:rFonts w:ascii="Arial" w:cs="Arial" w:eastAsia="Arial" w:hAnsi="Arial"/>
          <w:sz w:val="22"/>
          <w:szCs w:val="22"/>
          <w:color w:val="auto"/>
        </w:rPr>
      </w:pPr>
    </w:p>
    <w:p>
      <w:pPr>
        <w:ind w:left="2440" w:hanging="1121"/>
        <w:spacing w:after="0"/>
        <w:tabs>
          <w:tab w:leader="none" w:pos="2440" w:val="left"/>
        </w:tabs>
        <w:numPr>
          <w:ilvl w:val="2"/>
          <w:numId w:val="99"/>
        </w:numPr>
        <w:rPr>
          <w:rFonts w:ascii="Arial" w:cs="Arial" w:eastAsia="Arial" w:hAnsi="Arial"/>
          <w:sz w:val="21"/>
          <w:szCs w:val="21"/>
          <w:color w:val="auto"/>
        </w:rPr>
      </w:pPr>
      <w:r>
        <w:rPr>
          <w:rFonts w:ascii="Arial" w:cs="Arial" w:eastAsia="Arial" w:hAnsi="Arial"/>
          <w:sz w:val="21"/>
          <w:szCs w:val="21"/>
          <w:color w:val="auto"/>
        </w:rPr>
        <w:t>Accounts payable, accruals, and deferred Taxes payable in the ordinary course of business.</w:t>
      </w:r>
    </w:p>
    <w:p>
      <w:pPr>
        <w:spacing w:after="0" w:line="271" w:lineRule="exact"/>
        <w:rPr>
          <w:rFonts w:ascii="Arial" w:cs="Arial" w:eastAsia="Arial" w:hAnsi="Arial"/>
          <w:sz w:val="21"/>
          <w:szCs w:val="21"/>
          <w:color w:val="auto"/>
        </w:rPr>
      </w:pPr>
    </w:p>
    <w:p>
      <w:pPr>
        <w:ind w:left="260" w:firstLine="1059"/>
        <w:spacing w:after="0" w:line="263" w:lineRule="auto"/>
        <w:tabs>
          <w:tab w:leader="none" w:pos="2443" w:val="left"/>
        </w:tabs>
        <w:numPr>
          <w:ilvl w:val="2"/>
          <w:numId w:val="99"/>
        </w:numPr>
        <w:rPr>
          <w:rFonts w:ascii="Arial" w:cs="Arial" w:eastAsia="Arial" w:hAnsi="Arial"/>
          <w:sz w:val="22"/>
          <w:szCs w:val="22"/>
          <w:color w:val="auto"/>
        </w:rPr>
      </w:pPr>
      <w:r>
        <w:rPr>
          <w:rFonts w:ascii="Arial" w:cs="Arial" w:eastAsia="Arial" w:hAnsi="Arial"/>
          <w:sz w:val="22"/>
          <w:szCs w:val="22"/>
          <w:color w:val="auto"/>
        </w:rPr>
        <w:t>Other Indebtedness, provided that the aggregate principal amount of Indebtedness permitted under this Section 6.11(h), in the aggregate, does not exceed $5,000,000 at any time outstanding.</w:t>
      </w:r>
    </w:p>
    <w:p>
      <w:pPr>
        <w:spacing w:after="0" w:line="215" w:lineRule="exact"/>
        <w:rPr>
          <w:sz w:val="20"/>
          <w:szCs w:val="20"/>
          <w:color w:val="auto"/>
        </w:rPr>
      </w:pPr>
    </w:p>
    <w:p>
      <w:pPr>
        <w:jc w:val="both"/>
        <w:ind w:left="260" w:firstLine="1378"/>
        <w:spacing w:after="0" w:line="250" w:lineRule="auto"/>
        <w:rPr>
          <w:sz w:val="20"/>
          <w:szCs w:val="20"/>
          <w:color w:val="auto"/>
        </w:rPr>
      </w:pPr>
      <w:r>
        <w:rPr>
          <w:rFonts w:ascii="Arial" w:cs="Arial" w:eastAsia="Arial" w:hAnsi="Arial"/>
          <w:sz w:val="22"/>
          <w:szCs w:val="22"/>
          <w:color w:val="auto"/>
        </w:rPr>
        <w:t xml:space="preserve">6.12. </w:t>
      </w:r>
      <w:r>
        <w:rPr>
          <w:rFonts w:ascii="Arial" w:cs="Arial" w:eastAsia="Arial" w:hAnsi="Arial"/>
          <w:sz w:val="22"/>
          <w:szCs w:val="22"/>
          <w:u w:val="single" w:color="auto"/>
          <w:color w:val="auto"/>
        </w:rPr>
        <w:t>Merger</w:t>
      </w:r>
      <w:r>
        <w:rPr>
          <w:rFonts w:ascii="Arial" w:cs="Arial" w:eastAsia="Arial" w:hAnsi="Arial"/>
          <w:sz w:val="22"/>
          <w:szCs w:val="22"/>
          <w:color w:val="auto"/>
        </w:rPr>
        <w:t>. The Borrower will not, nor will it permit any Restricted Subsidiary to, merge or consolidate with or into any other Person, or permit any other Person to merge into or consolidate with it, or liquidate or dissolve, except that (i) a Restricted Subsidiary may merge, consolidate, liquidate or dissolve into the Borrower or any wholly-owned Subsidiary (with the Borrower or the wholly-owned Subsidiary being the survivor therefrom) and, after giving effect to such transaction, the Borrowers complies with Section 6.27 and (ii) and the Borrower or any Restricted Subsidiary may merge or consolidate with or into any Person other than the Borrower</w:t>
      </w:r>
    </w:p>
    <w:p>
      <w:pPr>
        <w:spacing w:after="0" w:line="19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40"/>
          </w:cols>
          <w:pgMar w:left="320" w:top="375" w:right="239" w:bottom="1440" w:gutter="0" w:footer="0" w:header="0"/>
        </w:sectPr>
      </w:pPr>
    </w:p>
    <w:bookmarkStart w:id="176" w:name="page177"/>
    <w:bookmarkEnd w:id="176"/>
    <w:p>
      <w:pPr>
        <w:ind w:left="260" w:right="20"/>
        <w:spacing w:after="0" w:line="263" w:lineRule="auto"/>
        <w:rPr>
          <w:sz w:val="20"/>
          <w:szCs w:val="20"/>
          <w:color w:val="auto"/>
        </w:rPr>
      </w:pPr>
      <w:r>
        <w:rPr>
          <w:rFonts w:ascii="Arial" w:cs="Arial" w:eastAsia="Arial" w:hAnsi="Arial"/>
          <w:sz w:val="22"/>
          <w:szCs w:val="22"/>
          <w:color w:val="auto"/>
        </w:rPr>
        <w:t>or a Subsidiary for the sole purpose of effecting a Permitted Acquisition (with the Borrower or such Subsidiary being the survivor thereof).</w:t>
      </w:r>
    </w:p>
    <w:p>
      <w:pPr>
        <w:spacing w:after="0" w:line="215" w:lineRule="exact"/>
        <w:rPr>
          <w:sz w:val="20"/>
          <w:szCs w:val="20"/>
          <w:color w:val="auto"/>
        </w:rPr>
      </w:pPr>
    </w:p>
    <w:p>
      <w:pPr>
        <w:ind w:left="260" w:firstLine="1378"/>
        <w:spacing w:after="0" w:line="276" w:lineRule="auto"/>
        <w:rPr>
          <w:sz w:val="20"/>
          <w:szCs w:val="20"/>
          <w:color w:val="auto"/>
        </w:rPr>
      </w:pPr>
      <w:r>
        <w:rPr>
          <w:rFonts w:ascii="Arial" w:cs="Arial" w:eastAsia="Arial" w:hAnsi="Arial"/>
          <w:sz w:val="22"/>
          <w:szCs w:val="22"/>
          <w:color w:val="auto"/>
        </w:rPr>
        <w:t xml:space="preserve">6.13. </w:t>
      </w:r>
      <w:r>
        <w:rPr>
          <w:rFonts w:ascii="Arial" w:cs="Arial" w:eastAsia="Arial" w:hAnsi="Arial"/>
          <w:sz w:val="22"/>
          <w:szCs w:val="22"/>
          <w:u w:val="single" w:color="auto"/>
          <w:color w:val="auto"/>
        </w:rPr>
        <w:t>Sale of Assets</w:t>
      </w:r>
      <w:r>
        <w:rPr>
          <w:rFonts w:ascii="Arial" w:cs="Arial" w:eastAsia="Arial" w:hAnsi="Arial"/>
          <w:sz w:val="22"/>
          <w:szCs w:val="22"/>
          <w:color w:val="auto"/>
        </w:rPr>
        <w:t>. The Borrower will not, nor will it permit any Restricted Subsidiary to, lease, sell or otherwise dispose of its Property to any other Person, except:</w:t>
      </w:r>
    </w:p>
    <w:p>
      <w:pPr>
        <w:spacing w:after="0" w:line="201" w:lineRule="exact"/>
        <w:rPr>
          <w:sz w:val="20"/>
          <w:szCs w:val="20"/>
          <w:color w:val="auto"/>
        </w:rPr>
      </w:pPr>
    </w:p>
    <w:p>
      <w:pPr>
        <w:ind w:left="2440" w:hanging="1121"/>
        <w:spacing w:after="0"/>
        <w:tabs>
          <w:tab w:leader="none" w:pos="244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Sales of inventory, or used, worn-out or surplus equipment, all in the ordinary course of business.</w:t>
      </w:r>
    </w:p>
    <w:p>
      <w:pPr>
        <w:spacing w:after="0" w:line="294" w:lineRule="exact"/>
        <w:rPr>
          <w:rFonts w:ascii="Arial" w:cs="Arial" w:eastAsia="Arial" w:hAnsi="Arial"/>
          <w:sz w:val="19"/>
          <w:szCs w:val="19"/>
          <w:color w:val="auto"/>
        </w:rPr>
      </w:pPr>
    </w:p>
    <w:p>
      <w:pPr>
        <w:jc w:val="both"/>
        <w:ind w:left="260" w:firstLine="1059"/>
        <w:spacing w:after="0" w:line="253" w:lineRule="auto"/>
        <w:tabs>
          <w:tab w:leader="none" w:pos="2443"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sale of equipment to the extent that such equipment is exchanged for credit against the purchase price of similar replacement equipment, or the proceeds of such sale are applied with reasonable promptness to the purchase price of such replacement equipment.</w:t>
      </w:r>
    </w:p>
    <w:p>
      <w:pPr>
        <w:spacing w:after="0" w:line="226" w:lineRule="exact"/>
        <w:rPr>
          <w:rFonts w:ascii="Arial" w:cs="Arial" w:eastAsia="Arial" w:hAnsi="Arial"/>
          <w:sz w:val="22"/>
          <w:szCs w:val="22"/>
          <w:color w:val="auto"/>
        </w:rPr>
      </w:pPr>
    </w:p>
    <w:p>
      <w:pPr>
        <w:jc w:val="both"/>
        <w:ind w:left="260" w:firstLine="1059"/>
        <w:spacing w:after="0" w:line="253" w:lineRule="auto"/>
        <w:tabs>
          <w:tab w:leader="none" w:pos="2431" w:val="left"/>
        </w:tabs>
        <w:numPr>
          <w:ilvl w:val="0"/>
          <w:numId w:val="100"/>
        </w:numPr>
        <w:rPr>
          <w:rFonts w:ascii="Arial" w:cs="Arial" w:eastAsia="Arial" w:hAnsi="Arial"/>
          <w:sz w:val="22"/>
          <w:szCs w:val="22"/>
          <w:color w:val="auto"/>
        </w:rPr>
      </w:pPr>
      <w:r>
        <w:rPr>
          <w:rFonts w:ascii="Arial" w:cs="Arial" w:eastAsia="Arial" w:hAnsi="Arial"/>
          <w:sz w:val="22"/>
          <w:szCs w:val="22"/>
          <w:color w:val="auto"/>
        </w:rPr>
        <w:t>Leases, sales or other dispositions of its Property that, together with all other Property of the Borrower and its Subsidiaries previously leased, sold or disposed of (other than sales otherwise permitted under this Section 6.13(c)) during the twelve-month period ending</w:t>
      </w:r>
    </w:p>
    <w:p>
      <w:pPr>
        <w:spacing w:after="0" w:line="267" w:lineRule="exact"/>
        <w:rPr>
          <w:sz w:val="20"/>
          <w:szCs w:val="20"/>
          <w:color w:val="auto"/>
        </w:rPr>
      </w:pPr>
    </w:p>
    <w:p>
      <w:pPr>
        <w:ind w:right="140"/>
        <w:spacing w:after="0" w:line="263" w:lineRule="auto"/>
        <w:rPr>
          <w:sz w:val="20"/>
          <w:szCs w:val="20"/>
          <w:color w:val="auto"/>
        </w:rPr>
      </w:pPr>
      <w:r>
        <w:rPr>
          <w:rFonts w:ascii="Arial" w:cs="Arial" w:eastAsia="Arial" w:hAnsi="Arial"/>
          <w:sz w:val="22"/>
          <w:szCs w:val="22"/>
          <w:color w:val="auto"/>
        </w:rPr>
        <w:t>with the month in which any such lease, sale or other disposition occurs, do not constitute a Substantial Portion of the Property of the Borrower and its Subsidiaries.</w:t>
      </w:r>
    </w:p>
    <w:p>
      <w:pPr>
        <w:spacing w:after="0" w:line="215" w:lineRule="exact"/>
        <w:rPr>
          <w:sz w:val="20"/>
          <w:szCs w:val="20"/>
          <w:color w:val="auto"/>
        </w:rPr>
      </w:pPr>
    </w:p>
    <w:p>
      <w:pPr>
        <w:ind w:left="1960" w:hanging="884"/>
        <w:spacing w:after="0"/>
        <w:tabs>
          <w:tab w:leader="none" w:pos="19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China Facility Divestment.</w:t>
      </w:r>
    </w:p>
    <w:p>
      <w:pPr>
        <w:spacing w:after="0" w:line="260" w:lineRule="exact"/>
        <w:rPr>
          <w:sz w:val="20"/>
          <w:szCs w:val="20"/>
          <w:color w:val="auto"/>
        </w:rPr>
      </w:pPr>
    </w:p>
    <w:p>
      <w:pPr>
        <w:jc w:val="both"/>
        <w:ind w:right="20" w:firstLine="1378"/>
        <w:spacing w:after="0" w:line="320" w:lineRule="auto"/>
        <w:rPr>
          <w:sz w:val="20"/>
          <w:szCs w:val="20"/>
          <w:color w:val="auto"/>
        </w:rPr>
      </w:pPr>
      <w:r>
        <w:rPr>
          <w:rFonts w:ascii="Arial" w:cs="Arial" w:eastAsia="Arial" w:hAnsi="Arial"/>
          <w:sz w:val="19"/>
          <w:szCs w:val="19"/>
          <w:color w:val="auto"/>
        </w:rPr>
        <w:t xml:space="preserve">6.14. </w:t>
      </w:r>
      <w:r>
        <w:rPr>
          <w:rFonts w:ascii="Arial" w:cs="Arial" w:eastAsia="Arial" w:hAnsi="Arial"/>
          <w:sz w:val="19"/>
          <w:szCs w:val="19"/>
          <w:u w:val="single" w:color="auto"/>
          <w:color w:val="auto"/>
        </w:rPr>
        <w:t>Investments</w:t>
      </w:r>
      <w:r>
        <w:rPr>
          <w:rFonts w:ascii="Arial" w:cs="Arial" w:eastAsia="Arial" w:hAnsi="Arial"/>
          <w:sz w:val="19"/>
          <w:szCs w:val="19"/>
          <w:color w:val="auto"/>
        </w:rPr>
        <w:t>. The Borrower will not, nor will it permit any Restricted Subsidiary to, make or suffer to exist any Investments (including without limitation, loans and advances to, and other Investments in, Subsidiaries), or commitments therefor, or to create any Subsidiary or to become or remain a partner in any partnership or joint venture, except:</w:t>
      </w:r>
    </w:p>
    <w:p>
      <w:pPr>
        <w:spacing w:after="0" w:line="166" w:lineRule="exact"/>
        <w:rPr>
          <w:sz w:val="20"/>
          <w:szCs w:val="20"/>
          <w:color w:val="auto"/>
        </w:rPr>
      </w:pPr>
    </w:p>
    <w:p>
      <w:pPr>
        <w:ind w:left="2180" w:hanging="1118"/>
        <w:spacing w:after="0"/>
        <w:tabs>
          <w:tab w:leader="none" w:pos="218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Cash Equivalent Investments.</w:t>
      </w:r>
    </w:p>
    <w:p>
      <w:pPr>
        <w:spacing w:after="0" w:line="260" w:lineRule="exact"/>
        <w:rPr>
          <w:rFonts w:ascii="Arial" w:cs="Arial" w:eastAsia="Arial" w:hAnsi="Arial"/>
          <w:sz w:val="22"/>
          <w:szCs w:val="22"/>
          <w:color w:val="auto"/>
        </w:rPr>
      </w:pPr>
    </w:p>
    <w:p>
      <w:pPr>
        <w:ind w:left="2200" w:hanging="1138"/>
        <w:spacing w:after="0"/>
        <w:tabs>
          <w:tab w:leader="none" w:pos="220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Existing Investments in Subsidiaries and other Investments in existence on the date hereof and described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 Schedule 6.14.</w:t>
      </w:r>
    </w:p>
    <w:p>
      <w:pPr>
        <w:spacing w:after="0" w:line="242" w:lineRule="exact"/>
        <w:rPr>
          <w:rFonts w:ascii="Arial" w:cs="Arial" w:eastAsia="Arial" w:hAnsi="Arial"/>
          <w:sz w:val="19"/>
          <w:szCs w:val="19"/>
          <w:color w:val="auto"/>
        </w:rPr>
      </w:pPr>
    </w:p>
    <w:p>
      <w:pPr>
        <w:ind w:left="1960" w:hanging="884"/>
        <w:spacing w:after="0"/>
        <w:tabs>
          <w:tab w:leader="none" w:pos="196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Investments constituting Permitted Acquisitions.</w:t>
      </w:r>
    </w:p>
    <w:p>
      <w:pPr>
        <w:spacing w:after="0" w:line="260" w:lineRule="exact"/>
        <w:rPr>
          <w:rFonts w:ascii="Arial" w:cs="Arial" w:eastAsia="Arial" w:hAnsi="Arial"/>
          <w:sz w:val="22"/>
          <w:szCs w:val="22"/>
          <w:color w:val="auto"/>
        </w:rPr>
      </w:pPr>
    </w:p>
    <w:p>
      <w:pPr>
        <w:ind w:left="2200" w:hanging="1138"/>
        <w:spacing w:after="0"/>
        <w:tabs>
          <w:tab w:leader="none" w:pos="2200" w:val="left"/>
        </w:tabs>
        <w:numPr>
          <w:ilvl w:val="1"/>
          <w:numId w:val="102"/>
        </w:numPr>
        <w:rPr>
          <w:rFonts w:ascii="Arial" w:cs="Arial" w:eastAsia="Arial" w:hAnsi="Arial"/>
          <w:sz w:val="21"/>
          <w:szCs w:val="21"/>
          <w:color w:val="auto"/>
        </w:rPr>
      </w:pPr>
      <w:r>
        <w:rPr>
          <w:rFonts w:ascii="Arial" w:cs="Arial" w:eastAsia="Arial" w:hAnsi="Arial"/>
          <w:sz w:val="21"/>
          <w:szCs w:val="21"/>
          <w:color w:val="auto"/>
        </w:rPr>
        <w:t>Travel advances to management personnel and employees in the ordinary course of business.</w:t>
      </w:r>
    </w:p>
    <w:p>
      <w:pPr>
        <w:spacing w:after="0" w:line="272" w:lineRule="exact"/>
        <w:rPr>
          <w:sz w:val="20"/>
          <w:szCs w:val="20"/>
          <w:color w:val="auto"/>
        </w:rPr>
      </w:pPr>
    </w:p>
    <w:p>
      <w:pPr>
        <w:ind w:firstLine="1062"/>
        <w:spacing w:after="0" w:line="263" w:lineRule="auto"/>
        <w:tabs>
          <w:tab w:leader="none" w:pos="2171"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Investments constituting Swaps, Rate Protection Agreements or Foreign Currency Hedging Agreements that are non-speculative in nature and are permitted under Section 6.18.</w:t>
      </w:r>
    </w:p>
    <w:p>
      <w:pPr>
        <w:spacing w:after="0" w:line="215" w:lineRule="exact"/>
        <w:rPr>
          <w:rFonts w:ascii="Arial" w:cs="Arial" w:eastAsia="Arial" w:hAnsi="Arial"/>
          <w:sz w:val="22"/>
          <w:szCs w:val="22"/>
          <w:color w:val="auto"/>
        </w:rPr>
      </w:pPr>
    </w:p>
    <w:p>
      <w:pPr>
        <w:jc w:val="both"/>
        <w:ind w:firstLine="1062"/>
        <w:spacing w:after="0" w:line="250" w:lineRule="auto"/>
        <w:tabs>
          <w:tab w:leader="none" w:pos="2147"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Investments in Subsidiaries after the date of this Agreement, whether through the formation or acquisition of such Subsidiaries, so long as the Borrower has complied with Section 6.27, no Default or Event of Default then exists or would occur as a result of any such Investment, and if any such Investment occurs through an Acquisition, such Acquisition is a Permitted Acquisition.</w:t>
      </w:r>
    </w:p>
    <w:p>
      <w:pPr>
        <w:spacing w:after="0" w:line="19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40"/>
          </w:cols>
          <w:pgMar w:left="320" w:top="375" w:right="239" w:bottom="1440" w:gutter="0" w:footer="0" w:header="0"/>
        </w:sectPr>
      </w:pPr>
    </w:p>
    <w:bookmarkStart w:id="177" w:name="page178"/>
    <w:bookmarkEnd w:id="177"/>
    <w:p>
      <w:pPr>
        <w:ind w:firstLine="1062"/>
        <w:spacing w:after="0" w:line="263" w:lineRule="auto"/>
        <w:tabs>
          <w:tab w:leader="none" w:pos="2183"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Investments in joint ventures, provided that no Default or Event of Default then exists or would occur as a result of any such Investment.</w:t>
      </w:r>
    </w:p>
    <w:p>
      <w:pPr>
        <w:spacing w:after="0" w:line="215" w:lineRule="exact"/>
        <w:rPr>
          <w:rFonts w:ascii="Arial" w:cs="Arial" w:eastAsia="Arial" w:hAnsi="Arial"/>
          <w:sz w:val="22"/>
          <w:szCs w:val="22"/>
          <w:color w:val="auto"/>
        </w:rPr>
      </w:pPr>
    </w:p>
    <w:p>
      <w:pPr>
        <w:ind w:left="2200" w:hanging="1138"/>
        <w:spacing w:after="0"/>
        <w:tabs>
          <w:tab w:leader="none" w:pos="220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Other  readily  marketable  Investments  in  debt  securities  that  are  reasonably  acceptable  to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Administrative Agent.</w:t>
      </w:r>
    </w:p>
    <w:p>
      <w:pPr>
        <w:spacing w:after="0" w:line="242" w:lineRule="exact"/>
        <w:rPr>
          <w:rFonts w:ascii="Arial" w:cs="Arial" w:eastAsia="Arial" w:hAnsi="Arial"/>
          <w:sz w:val="19"/>
          <w:szCs w:val="19"/>
          <w:color w:val="auto"/>
        </w:rPr>
      </w:pPr>
    </w:p>
    <w:p>
      <w:pPr>
        <w:jc w:val="both"/>
        <w:ind w:firstLine="1062"/>
        <w:spacing w:after="0" w:line="253" w:lineRule="auto"/>
        <w:tabs>
          <w:tab w:leader="none" w:pos="2135" w:val="left"/>
        </w:tabs>
        <w:numPr>
          <w:ilvl w:val="0"/>
          <w:numId w:val="104"/>
        </w:numPr>
        <w:rPr>
          <w:rFonts w:ascii="Arial" w:cs="Arial" w:eastAsia="Arial" w:hAnsi="Arial"/>
          <w:sz w:val="22"/>
          <w:szCs w:val="22"/>
          <w:color w:val="auto"/>
        </w:rPr>
      </w:pPr>
      <w:r>
        <w:rPr>
          <w:rFonts w:ascii="Arial" w:cs="Arial" w:eastAsia="Arial" w:hAnsi="Arial"/>
          <w:sz w:val="22"/>
          <w:szCs w:val="22"/>
          <w:color w:val="auto"/>
        </w:rPr>
        <w:t>Other Investments, provided that the aggregate principal amount of such other Investments does not exceed $7,500,000 at any time outstanding provided that no Default or Event of Default then exists or would occur as a result of any such Investment.</w:t>
      </w:r>
    </w:p>
    <w:p>
      <w:pPr>
        <w:spacing w:after="0" w:line="226" w:lineRule="exact"/>
        <w:rPr>
          <w:sz w:val="20"/>
          <w:szCs w:val="20"/>
          <w:color w:val="auto"/>
        </w:rPr>
      </w:pPr>
    </w:p>
    <w:p>
      <w:pPr>
        <w:ind w:firstLine="1378"/>
        <w:spacing w:after="0" w:line="276" w:lineRule="auto"/>
        <w:rPr>
          <w:sz w:val="20"/>
          <w:szCs w:val="20"/>
          <w:color w:val="auto"/>
        </w:rPr>
      </w:pPr>
      <w:r>
        <w:rPr>
          <w:rFonts w:ascii="Arial" w:cs="Arial" w:eastAsia="Arial" w:hAnsi="Arial"/>
          <w:sz w:val="22"/>
          <w:szCs w:val="22"/>
          <w:color w:val="auto"/>
        </w:rPr>
        <w:t xml:space="preserve">6.15. </w:t>
      </w:r>
      <w:r>
        <w:rPr>
          <w:rFonts w:ascii="Arial" w:cs="Arial" w:eastAsia="Arial" w:hAnsi="Arial"/>
          <w:sz w:val="22"/>
          <w:szCs w:val="22"/>
          <w:u w:val="single" w:color="auto"/>
          <w:color w:val="auto"/>
        </w:rPr>
        <w:t>Acquisitions</w:t>
      </w:r>
      <w:r>
        <w:rPr>
          <w:rFonts w:ascii="Arial" w:cs="Arial" w:eastAsia="Arial" w:hAnsi="Arial"/>
          <w:sz w:val="22"/>
          <w:szCs w:val="22"/>
          <w:color w:val="auto"/>
        </w:rPr>
        <w:t>. The Borrower will not, nor will it permit any Restricted Subsidiary, to make any Acquisition other than a Permitted Acquisition.</w:t>
      </w:r>
    </w:p>
    <w:p>
      <w:pPr>
        <w:spacing w:after="0" w:line="201" w:lineRule="exact"/>
        <w:rPr>
          <w:sz w:val="20"/>
          <w:szCs w:val="20"/>
          <w:color w:val="auto"/>
        </w:rPr>
      </w:pPr>
    </w:p>
    <w:p>
      <w:pPr>
        <w:ind w:firstLine="1378"/>
        <w:spacing w:after="0" w:line="276" w:lineRule="auto"/>
        <w:rPr>
          <w:sz w:val="20"/>
          <w:szCs w:val="20"/>
          <w:color w:val="auto"/>
        </w:rPr>
      </w:pPr>
      <w:r>
        <w:rPr>
          <w:rFonts w:ascii="Arial" w:cs="Arial" w:eastAsia="Arial" w:hAnsi="Arial"/>
          <w:sz w:val="22"/>
          <w:szCs w:val="22"/>
          <w:color w:val="auto"/>
        </w:rPr>
        <w:t xml:space="preserve">6.16. </w:t>
      </w:r>
      <w:r>
        <w:rPr>
          <w:rFonts w:ascii="Arial" w:cs="Arial" w:eastAsia="Arial" w:hAnsi="Arial"/>
          <w:sz w:val="22"/>
          <w:szCs w:val="22"/>
          <w:u w:val="single" w:color="auto"/>
          <w:color w:val="auto"/>
        </w:rPr>
        <w:t>Liens</w:t>
      </w:r>
      <w:r>
        <w:rPr>
          <w:rFonts w:ascii="Arial" w:cs="Arial" w:eastAsia="Arial" w:hAnsi="Arial"/>
          <w:sz w:val="22"/>
          <w:szCs w:val="22"/>
          <w:color w:val="auto"/>
        </w:rPr>
        <w:t>. The Borrower will not, nor will it permit any Restricted Subsidiary to, create, incur, or suffer to exist any Lien in, of or on the Property of the Borrower or any of its Restricted Subsidiaries, except:</w:t>
      </w:r>
    </w:p>
    <w:p>
      <w:pPr>
        <w:spacing w:after="0" w:line="242" w:lineRule="exact"/>
        <w:rPr>
          <w:sz w:val="20"/>
          <w:szCs w:val="20"/>
          <w:color w:val="auto"/>
        </w:rPr>
      </w:pPr>
    </w:p>
    <w:p>
      <w:pPr>
        <w:jc w:val="both"/>
        <w:ind w:left="40" w:firstLine="1049"/>
        <w:spacing w:after="0" w:line="312" w:lineRule="auto"/>
        <w:tabs>
          <w:tab w:leader="none" w:pos="2211" w:val="left"/>
        </w:tabs>
        <w:numPr>
          <w:ilvl w:val="1"/>
          <w:numId w:val="105"/>
        </w:numPr>
        <w:rPr>
          <w:rFonts w:ascii="Arial" w:cs="Arial" w:eastAsia="Arial" w:hAnsi="Arial"/>
          <w:sz w:val="19"/>
          <w:szCs w:val="19"/>
          <w:color w:val="auto"/>
        </w:rPr>
      </w:pPr>
      <w:r>
        <w:rPr>
          <w:rFonts w:ascii="Arial" w:cs="Arial" w:eastAsia="Arial" w:hAnsi="Arial"/>
          <w:sz w:val="19"/>
          <w:szCs w:val="19"/>
          <w:color w:val="auto"/>
        </w:rPr>
        <w:t>Liens for taxes, assessments or governmental charges or levies on its Property if the same shall not at the time be delinquent or thereafter can be paid without penalty, or are being contested in good faith and by appropriate proceedings and for which adequate reserves in accordance with GAAP shall have been set aside on its books.</w:t>
      </w:r>
    </w:p>
    <w:p>
      <w:pPr>
        <w:spacing w:after="0" w:line="174" w:lineRule="exact"/>
        <w:rPr>
          <w:rFonts w:ascii="Arial" w:cs="Arial" w:eastAsia="Arial" w:hAnsi="Arial"/>
          <w:sz w:val="19"/>
          <w:szCs w:val="19"/>
          <w:color w:val="auto"/>
        </w:rPr>
      </w:pPr>
    </w:p>
    <w:p>
      <w:pPr>
        <w:jc w:val="both"/>
        <w:ind w:left="40" w:firstLine="1049"/>
        <w:spacing w:after="0" w:line="250" w:lineRule="auto"/>
        <w:tabs>
          <w:tab w:leader="none" w:pos="2223" w:val="left"/>
        </w:tabs>
        <w:numPr>
          <w:ilvl w:val="1"/>
          <w:numId w:val="105"/>
        </w:numPr>
        <w:rPr>
          <w:rFonts w:ascii="Arial" w:cs="Arial" w:eastAsia="Arial" w:hAnsi="Arial"/>
          <w:sz w:val="22"/>
          <w:szCs w:val="22"/>
          <w:color w:val="auto"/>
        </w:rPr>
      </w:pPr>
      <w:r>
        <w:rPr>
          <w:rFonts w:ascii="Arial" w:cs="Arial" w:eastAsia="Arial" w:hAnsi="Arial"/>
          <w:sz w:val="22"/>
          <w:szCs w:val="22"/>
          <w:color w:val="auto"/>
        </w:rPr>
        <w:t>Liens imposed by law, such as carriers’, warehousemen’s and mechanics’ liens and other similar liens arising in the ordinary course of business which secure payment of obligations not more than 60 days past due or which are being contested in good faith by appropriate proceedings and for which adequate reserves in accordance with GAAP shall have been set aside on its books.</w:t>
      </w:r>
    </w:p>
    <w:p>
      <w:pPr>
        <w:spacing w:after="0" w:line="228" w:lineRule="exact"/>
        <w:rPr>
          <w:rFonts w:ascii="Arial" w:cs="Arial" w:eastAsia="Arial" w:hAnsi="Arial"/>
          <w:sz w:val="22"/>
          <w:szCs w:val="22"/>
          <w:color w:val="auto"/>
        </w:rPr>
      </w:pPr>
    </w:p>
    <w:p>
      <w:pPr>
        <w:ind w:left="40" w:firstLine="1049"/>
        <w:spacing w:after="0" w:line="263" w:lineRule="auto"/>
        <w:tabs>
          <w:tab w:leader="none" w:pos="2211" w:val="left"/>
        </w:tabs>
        <w:numPr>
          <w:ilvl w:val="1"/>
          <w:numId w:val="105"/>
        </w:numPr>
        <w:rPr>
          <w:rFonts w:ascii="Arial" w:cs="Arial" w:eastAsia="Arial" w:hAnsi="Arial"/>
          <w:sz w:val="22"/>
          <w:szCs w:val="22"/>
          <w:color w:val="auto"/>
        </w:rPr>
      </w:pPr>
      <w:r>
        <w:rPr>
          <w:rFonts w:ascii="Arial" w:cs="Arial" w:eastAsia="Arial" w:hAnsi="Arial"/>
          <w:sz w:val="22"/>
          <w:szCs w:val="22"/>
          <w:color w:val="auto"/>
        </w:rPr>
        <w:t>Liens arising out of pledges or deposits under worker’s compensation laws, unemployment insurance, old age pensions, or other social security or retirement benefits, or similar legislation.</w:t>
      </w:r>
    </w:p>
    <w:p>
      <w:pPr>
        <w:spacing w:after="0" w:line="215" w:lineRule="exact"/>
        <w:rPr>
          <w:rFonts w:ascii="Arial" w:cs="Arial" w:eastAsia="Arial" w:hAnsi="Arial"/>
          <w:sz w:val="22"/>
          <w:szCs w:val="22"/>
          <w:color w:val="auto"/>
        </w:rPr>
      </w:pPr>
    </w:p>
    <w:p>
      <w:pPr>
        <w:jc w:val="both"/>
        <w:ind w:left="40" w:firstLine="1049"/>
        <w:spacing w:after="0" w:line="312" w:lineRule="auto"/>
        <w:tabs>
          <w:tab w:leader="none" w:pos="2223" w:val="left"/>
        </w:tabs>
        <w:numPr>
          <w:ilvl w:val="1"/>
          <w:numId w:val="105"/>
        </w:numPr>
        <w:rPr>
          <w:rFonts w:ascii="Arial" w:cs="Arial" w:eastAsia="Arial" w:hAnsi="Arial"/>
          <w:sz w:val="19"/>
          <w:szCs w:val="19"/>
          <w:color w:val="auto"/>
        </w:rPr>
      </w:pPr>
      <w:r>
        <w:rPr>
          <w:rFonts w:ascii="Arial" w:cs="Arial" w:eastAsia="Arial" w:hAnsi="Arial"/>
          <w:sz w:val="19"/>
          <w:szCs w:val="19"/>
          <w:color w:val="auto"/>
        </w:rPr>
        <w:t>Utility easements, building restrictions and such other encumbrances or charges against real property as are of a nature generally existing with respect to Properties of a similar character and which do not in any material way affect the marketability of the same or interfere with the use thereof in the business of the Borrower or its Subsidiaries.</w:t>
      </w:r>
    </w:p>
    <w:p>
      <w:pPr>
        <w:spacing w:after="0" w:line="174" w:lineRule="exact"/>
        <w:rPr>
          <w:rFonts w:ascii="Arial" w:cs="Arial" w:eastAsia="Arial" w:hAnsi="Arial"/>
          <w:sz w:val="19"/>
          <w:szCs w:val="19"/>
          <w:color w:val="auto"/>
        </w:rPr>
      </w:pPr>
    </w:p>
    <w:p>
      <w:pPr>
        <w:jc w:val="both"/>
        <w:ind w:left="40" w:firstLine="1049"/>
        <w:spacing w:after="0" w:line="249" w:lineRule="auto"/>
        <w:tabs>
          <w:tab w:leader="none" w:pos="2211" w:val="left"/>
        </w:tabs>
        <w:numPr>
          <w:ilvl w:val="1"/>
          <w:numId w:val="105"/>
        </w:numPr>
        <w:rPr>
          <w:rFonts w:ascii="Arial" w:cs="Arial" w:eastAsia="Arial" w:hAnsi="Arial"/>
          <w:sz w:val="22"/>
          <w:szCs w:val="22"/>
          <w:color w:val="auto"/>
        </w:rPr>
      </w:pPr>
      <w:r>
        <w:rPr>
          <w:rFonts w:ascii="Arial" w:cs="Arial" w:eastAsia="Arial" w:hAnsi="Arial"/>
          <w:sz w:val="22"/>
          <w:szCs w:val="22"/>
          <w:color w:val="auto"/>
        </w:rPr>
        <w:t>Liens arising solely by virtue of any statutory or common law provision relating to bankers’ liens, rights of set-off or similar rights and remedies as to deposit accounts, securities accounts or other funds maintained with a creditor depository institution; provided that</w:t>
      </w:r>
    </w:p>
    <w:p>
      <w:pPr>
        <w:jc w:val="both"/>
        <w:ind w:left="40" w:hanging="4"/>
        <w:spacing w:after="0" w:line="302" w:lineRule="auto"/>
        <w:tabs>
          <w:tab w:leader="none" w:pos="514" w:val="left"/>
        </w:tabs>
        <w:numPr>
          <w:ilvl w:val="0"/>
          <w:numId w:val="106"/>
        </w:numPr>
        <w:rPr>
          <w:rFonts w:ascii="Arial" w:cs="Arial" w:eastAsia="Arial" w:hAnsi="Arial"/>
          <w:sz w:val="19"/>
          <w:szCs w:val="19"/>
          <w:color w:val="auto"/>
        </w:rPr>
      </w:pPr>
      <w:r>
        <w:rPr>
          <w:rFonts w:ascii="Arial" w:cs="Arial" w:eastAsia="Arial" w:hAnsi="Arial"/>
          <w:sz w:val="19"/>
          <w:szCs w:val="19"/>
          <w:color w:val="auto"/>
        </w:rPr>
        <w:t>such account is not a dedicated cash collateral account and is not subject to restriction against access by Borrower or a Subsidiary in excess of those set forth by regulations promulgated by the Board of Governors of the Federal Reserve, and (ii) such account is not intended by the Borrower or any Subsidiary to provide collateral to the depository institution.</w:t>
      </w:r>
    </w:p>
    <w:p>
      <w:pPr>
        <w:spacing w:after="0" w:line="200" w:lineRule="exact"/>
        <w:rPr>
          <w:sz w:val="20"/>
          <w:szCs w:val="20"/>
          <w:color w:val="auto"/>
        </w:rPr>
      </w:pPr>
    </w:p>
    <w:p>
      <w:pPr>
        <w:spacing w:after="0" w:line="20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40"/>
          </w:cols>
          <w:pgMar w:left="320" w:top="632" w:right="239" w:bottom="1440" w:gutter="0" w:footer="0" w:header="0"/>
        </w:sectPr>
      </w:pPr>
    </w:p>
    <w:bookmarkStart w:id="178" w:name="page179"/>
    <w:bookmarkEnd w:id="178"/>
    <w:p>
      <w:pPr>
        <w:ind w:left="1980" w:hanging="891"/>
        <w:spacing w:after="0"/>
        <w:tabs>
          <w:tab w:leader="none" w:pos="198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Liens existing on the date hereof and described in Schedule 6.16.</w:t>
      </w:r>
    </w:p>
    <w:p>
      <w:pPr>
        <w:spacing w:after="0" w:line="260" w:lineRule="exact"/>
        <w:rPr>
          <w:rFonts w:ascii="Arial" w:cs="Arial" w:eastAsia="Arial" w:hAnsi="Arial"/>
          <w:sz w:val="22"/>
          <w:szCs w:val="22"/>
          <w:color w:val="auto"/>
        </w:rPr>
      </w:pPr>
    </w:p>
    <w:p>
      <w:pPr>
        <w:ind w:left="40" w:firstLine="1049"/>
        <w:spacing w:after="0" w:line="263" w:lineRule="auto"/>
        <w:tabs>
          <w:tab w:leader="none" w:pos="2223" w:val="left"/>
        </w:tabs>
        <w:numPr>
          <w:ilvl w:val="0"/>
          <w:numId w:val="107"/>
        </w:numPr>
        <w:rPr>
          <w:rFonts w:ascii="Arial" w:cs="Arial" w:eastAsia="Arial" w:hAnsi="Arial"/>
          <w:sz w:val="22"/>
          <w:szCs w:val="22"/>
          <w:color w:val="auto"/>
        </w:rPr>
      </w:pPr>
      <w:r>
        <w:rPr>
          <w:rFonts w:ascii="Arial" w:cs="Arial" w:eastAsia="Arial" w:hAnsi="Arial"/>
          <w:sz w:val="22"/>
          <w:szCs w:val="22"/>
          <w:color w:val="auto"/>
        </w:rPr>
        <w:t>Liens on Property acquired in a Permitted Acquisition, provided that such Liens extend only to the Property so acquired and were not created in contemplation of such acquisition.</w:t>
      </w:r>
    </w:p>
    <w:p>
      <w:pPr>
        <w:spacing w:after="0" w:line="215" w:lineRule="exact"/>
        <w:rPr>
          <w:rFonts w:ascii="Arial" w:cs="Arial" w:eastAsia="Arial" w:hAnsi="Arial"/>
          <w:sz w:val="22"/>
          <w:szCs w:val="22"/>
          <w:color w:val="auto"/>
        </w:rPr>
      </w:pPr>
    </w:p>
    <w:p>
      <w:pPr>
        <w:ind w:left="40" w:firstLine="1049"/>
        <w:spacing w:after="0" w:line="263" w:lineRule="auto"/>
        <w:tabs>
          <w:tab w:leader="none" w:pos="2223" w:val="left"/>
        </w:tabs>
        <w:numPr>
          <w:ilvl w:val="0"/>
          <w:numId w:val="107"/>
        </w:numPr>
        <w:rPr>
          <w:rFonts w:ascii="Arial" w:cs="Arial" w:eastAsia="Arial" w:hAnsi="Arial"/>
          <w:sz w:val="22"/>
          <w:szCs w:val="22"/>
          <w:color w:val="auto"/>
        </w:rPr>
      </w:pPr>
      <w:r>
        <w:rPr>
          <w:rFonts w:ascii="Arial" w:cs="Arial" w:eastAsia="Arial" w:hAnsi="Arial"/>
          <w:sz w:val="22"/>
          <w:szCs w:val="22"/>
          <w:color w:val="auto"/>
        </w:rPr>
        <w:t>Liens in favor of the Administrative Agent or its Affiliates, for the benefit of the Lenders, granted pursuant to any Collateral Document.</w:t>
      </w:r>
    </w:p>
    <w:p>
      <w:pPr>
        <w:spacing w:after="0" w:line="215" w:lineRule="exact"/>
        <w:rPr>
          <w:rFonts w:ascii="Arial" w:cs="Arial" w:eastAsia="Arial" w:hAnsi="Arial"/>
          <w:sz w:val="22"/>
          <w:szCs w:val="22"/>
          <w:color w:val="auto"/>
        </w:rPr>
      </w:pPr>
    </w:p>
    <w:p>
      <w:pPr>
        <w:jc w:val="both"/>
        <w:ind w:left="40" w:firstLine="1049"/>
        <w:spacing w:after="0" w:line="253" w:lineRule="auto"/>
        <w:tabs>
          <w:tab w:leader="none" w:pos="2175" w:val="left"/>
        </w:tabs>
        <w:numPr>
          <w:ilvl w:val="0"/>
          <w:numId w:val="107"/>
        </w:numPr>
        <w:rPr>
          <w:rFonts w:ascii="Arial" w:cs="Arial" w:eastAsia="Arial" w:hAnsi="Arial"/>
          <w:sz w:val="22"/>
          <w:szCs w:val="22"/>
          <w:color w:val="auto"/>
        </w:rPr>
      </w:pPr>
      <w:r>
        <w:rPr>
          <w:rFonts w:ascii="Arial" w:cs="Arial" w:eastAsia="Arial" w:hAnsi="Arial"/>
          <w:sz w:val="22"/>
          <w:szCs w:val="22"/>
          <w:color w:val="auto"/>
        </w:rPr>
        <w:t>Other Liens securing Indebtedness permitted under Section 6.11(h) provided that the aggregate principal amount of Indebtedness secured by Liens described in this clause (i) at any time does not exceed $5,000,000 at any time outstanding.</w:t>
      </w:r>
    </w:p>
    <w:p>
      <w:pPr>
        <w:spacing w:after="0" w:line="226" w:lineRule="exact"/>
        <w:rPr>
          <w:sz w:val="20"/>
          <w:szCs w:val="20"/>
          <w:color w:val="auto"/>
        </w:rPr>
      </w:pPr>
    </w:p>
    <w:p>
      <w:pPr>
        <w:jc w:val="both"/>
        <w:ind w:left="40" w:firstLine="1378"/>
        <w:spacing w:after="0" w:line="260" w:lineRule="auto"/>
        <w:rPr>
          <w:sz w:val="20"/>
          <w:szCs w:val="20"/>
          <w:color w:val="auto"/>
        </w:rPr>
      </w:pPr>
      <w:r>
        <w:rPr>
          <w:rFonts w:ascii="Arial" w:cs="Arial" w:eastAsia="Arial" w:hAnsi="Arial"/>
          <w:sz w:val="22"/>
          <w:szCs w:val="22"/>
          <w:color w:val="auto"/>
        </w:rPr>
        <w:t xml:space="preserve">6.17. </w:t>
      </w:r>
      <w:r>
        <w:rPr>
          <w:rFonts w:ascii="Arial" w:cs="Arial" w:eastAsia="Arial" w:hAnsi="Arial"/>
          <w:sz w:val="22"/>
          <w:szCs w:val="22"/>
          <w:u w:val="single" w:color="auto"/>
          <w:color w:val="auto"/>
        </w:rPr>
        <w:t>Transactions with Affiliates</w:t>
      </w:r>
      <w:r>
        <w:rPr>
          <w:rFonts w:ascii="Arial" w:cs="Arial" w:eastAsia="Arial" w:hAnsi="Arial"/>
          <w:sz w:val="22"/>
          <w:szCs w:val="22"/>
          <w:color w:val="auto"/>
        </w:rPr>
        <w:t>. The Borrower will not, and will not permit any Restricted Subsidiary to, enter into any transaction with any Affiliate of the Borrower except upon fair and reasonable terms no less favorable than the Borrower or such Restricted Subsidiary would obtain in a comparable arms-length transaction.</w:t>
      </w:r>
    </w:p>
    <w:p>
      <w:pPr>
        <w:spacing w:after="0" w:line="258" w:lineRule="exact"/>
        <w:rPr>
          <w:sz w:val="20"/>
          <w:szCs w:val="20"/>
          <w:color w:val="auto"/>
        </w:rPr>
      </w:pPr>
    </w:p>
    <w:p>
      <w:pPr>
        <w:jc w:val="both"/>
        <w:ind w:firstLine="1378"/>
        <w:spacing w:after="0" w:line="260" w:lineRule="auto"/>
        <w:rPr>
          <w:sz w:val="20"/>
          <w:szCs w:val="20"/>
          <w:color w:val="auto"/>
        </w:rPr>
      </w:pPr>
      <w:r>
        <w:rPr>
          <w:rFonts w:ascii="Arial" w:cs="Arial" w:eastAsia="Arial" w:hAnsi="Arial"/>
          <w:sz w:val="22"/>
          <w:szCs w:val="22"/>
          <w:color w:val="auto"/>
        </w:rPr>
        <w:t xml:space="preserve">6.18. </w:t>
      </w:r>
      <w:r>
        <w:rPr>
          <w:rFonts w:ascii="Arial" w:cs="Arial" w:eastAsia="Arial" w:hAnsi="Arial"/>
          <w:sz w:val="22"/>
          <w:szCs w:val="22"/>
          <w:u w:val="single" w:color="auto"/>
          <w:color w:val="auto"/>
        </w:rPr>
        <w:t>Rate Protection and Foreign Currency Hedging Agreements</w:t>
      </w:r>
      <w:r>
        <w:rPr>
          <w:rFonts w:ascii="Arial" w:cs="Arial" w:eastAsia="Arial" w:hAnsi="Arial"/>
          <w:sz w:val="22"/>
          <w:szCs w:val="22"/>
          <w:color w:val="auto"/>
        </w:rPr>
        <w:t>. Borrower shall not, and shall not permit any Restricted Subsidiary to, enter into any hedging arrangements, other than any Rate Protection Agreements and Foreign Currency Hedging Agreements.</w:t>
      </w:r>
    </w:p>
    <w:p>
      <w:pPr>
        <w:spacing w:after="0" w:line="218" w:lineRule="exact"/>
        <w:rPr>
          <w:sz w:val="20"/>
          <w:szCs w:val="20"/>
          <w:color w:val="auto"/>
        </w:rPr>
      </w:pPr>
    </w:p>
    <w:p>
      <w:pPr>
        <w:jc w:val="both"/>
        <w:ind w:firstLine="1378"/>
        <w:spacing w:after="0" w:line="266" w:lineRule="auto"/>
        <w:rPr>
          <w:sz w:val="20"/>
          <w:szCs w:val="20"/>
          <w:color w:val="auto"/>
        </w:rPr>
      </w:pPr>
      <w:r>
        <w:rPr>
          <w:rFonts w:ascii="Arial" w:cs="Arial" w:eastAsia="Arial" w:hAnsi="Arial"/>
          <w:sz w:val="21"/>
          <w:szCs w:val="21"/>
          <w:color w:val="auto"/>
        </w:rPr>
        <w:t xml:space="preserve">6.19. </w:t>
      </w:r>
      <w:r>
        <w:rPr>
          <w:rFonts w:ascii="Arial" w:cs="Arial" w:eastAsia="Arial" w:hAnsi="Arial"/>
          <w:sz w:val="21"/>
          <w:szCs w:val="21"/>
          <w:u w:val="single" w:color="auto"/>
          <w:color w:val="auto"/>
        </w:rPr>
        <w:t>Restricted Payments</w:t>
      </w:r>
      <w:r>
        <w:rPr>
          <w:rFonts w:ascii="Arial" w:cs="Arial" w:eastAsia="Arial" w:hAnsi="Arial"/>
          <w:sz w:val="21"/>
          <w:szCs w:val="21"/>
          <w:color w:val="auto"/>
        </w:rPr>
        <w:t>. The Borrower will not, nor will it permit any Restricted Subsidiary to, make any Restricted Payment, except that (i) any Subsidiary may declare and pay dividends or make distributions to the Borrower or to a Wholly-Owned Subsidiary of the Borrower subject to continuing compliance with Section 6.27, (ii) the Borrower may declare and pay dividends on its capital stock or repurchase shares of the Borrower’s capital stock provided that no Default or Event of Default shall exist before or after giving effect to such dividends or repurchase as a result thereof.</w:t>
      </w:r>
    </w:p>
    <w:p>
      <w:pPr>
        <w:spacing w:after="0" w:line="215" w:lineRule="exact"/>
        <w:rPr>
          <w:sz w:val="20"/>
          <w:szCs w:val="20"/>
          <w:color w:val="auto"/>
        </w:rPr>
      </w:pPr>
    </w:p>
    <w:p>
      <w:pPr>
        <w:jc w:val="both"/>
        <w:ind w:firstLine="1378"/>
        <w:spacing w:after="0" w:line="288" w:lineRule="auto"/>
        <w:rPr>
          <w:sz w:val="20"/>
          <w:szCs w:val="20"/>
          <w:color w:val="auto"/>
        </w:rPr>
      </w:pPr>
      <w:r>
        <w:rPr>
          <w:rFonts w:ascii="Arial" w:cs="Arial" w:eastAsia="Arial" w:hAnsi="Arial"/>
          <w:sz w:val="19"/>
          <w:szCs w:val="19"/>
          <w:color w:val="auto"/>
        </w:rPr>
        <w:t xml:space="preserve">6.20. </w:t>
      </w:r>
      <w:r>
        <w:rPr>
          <w:rFonts w:ascii="Arial" w:cs="Arial" w:eastAsia="Arial" w:hAnsi="Arial"/>
          <w:sz w:val="19"/>
          <w:szCs w:val="19"/>
          <w:u w:val="single" w:color="auto"/>
          <w:color w:val="auto"/>
        </w:rPr>
        <w:t>Restrictive Agreements</w:t>
      </w:r>
      <w:r>
        <w:rPr>
          <w:rFonts w:ascii="Arial" w:cs="Arial" w:eastAsia="Arial" w:hAnsi="Arial"/>
          <w:sz w:val="19"/>
          <w:szCs w:val="19"/>
          <w:color w:val="auto"/>
        </w:rPr>
        <w:t>. The Borrower will not, and will not permit any of its Restricted Subsidiaries to, directly or indirectly, enter into, incur or permit to exist any agreement or other arrangement that prohibits, restricts or imposes any condition upon (a) the ability of the Borrower or any Restricted Subsidiary to create, incur or permit to exist any Lien upon any of its property or assets, or (b) the ability of any Restricted Subsidiary to pay dividends or other distributions with respect to holders of its equity interests or to make or repay loans or advances to the Borrower or any other Restricted Subsidiary or to guarantee Indebtedness of the Borrower or any other Restricted Subsidiary; provided that (i) the foregoing shall not apply to restrictions and conditions imposed by law or by any Loan Document, (ii) the foregoing shall not apply to customary restrictions and conditions contained in agreements relating to the sale of a Restricted Subsidiary pending such sale, provided such restrictions and conditions apply only to the Restricted Subsidiary that is to be sold and such sale is permitted hereunder, (iii) clause (a) of the foregoing shall not apply to restrictions or conditions imposed by any agreement relating to secured Indebtedness permitted by this Agreement if such restrictions or conditions apply only to the property or assets securing such Indebtedness and (iv) clause (a) of the foregoing shall not apply to customary provisions in leases and other contracts restricting the assignment thereof.</w:t>
      </w:r>
    </w:p>
    <w:p>
      <w:pPr>
        <w:spacing w:after="0" w:line="17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40"/>
          </w:cols>
          <w:pgMar w:left="320" w:top="375" w:right="239" w:bottom="1440" w:gutter="0" w:footer="0" w:header="0"/>
        </w:sectPr>
      </w:pPr>
    </w:p>
    <w:bookmarkStart w:id="179" w:name="page180"/>
    <w:bookmarkEnd w:id="179"/>
    <w:p>
      <w:pPr>
        <w:ind w:left="1400"/>
        <w:spacing w:after="0"/>
        <w:rPr>
          <w:sz w:val="20"/>
          <w:szCs w:val="20"/>
          <w:color w:val="auto"/>
        </w:rPr>
      </w:pPr>
      <w:r>
        <w:rPr>
          <w:rFonts w:ascii="Arial" w:cs="Arial" w:eastAsia="Arial" w:hAnsi="Arial"/>
          <w:sz w:val="22"/>
          <w:szCs w:val="22"/>
          <w:color w:val="auto"/>
        </w:rPr>
        <w:t xml:space="preserve">6.21. </w:t>
      </w:r>
      <w:r>
        <w:rPr>
          <w:rFonts w:ascii="Arial" w:cs="Arial" w:eastAsia="Arial" w:hAnsi="Arial"/>
          <w:sz w:val="22"/>
          <w:szCs w:val="22"/>
          <w:u w:val="single" w:color="auto"/>
          <w:color w:val="auto"/>
        </w:rPr>
        <w:t>Financial Covenants</w:t>
      </w:r>
      <w:r>
        <w:rPr>
          <w:rFonts w:ascii="Arial" w:cs="Arial" w:eastAsia="Arial" w:hAnsi="Arial"/>
          <w:sz w:val="22"/>
          <w:szCs w:val="22"/>
          <w:color w:val="auto"/>
        </w:rPr>
        <w:t>.</w:t>
      </w:r>
    </w:p>
    <w:p>
      <w:pPr>
        <w:spacing w:after="0" w:line="206" w:lineRule="exact"/>
        <w:rPr>
          <w:sz w:val="20"/>
          <w:szCs w:val="20"/>
          <w:color w:val="auto"/>
        </w:rPr>
      </w:pPr>
    </w:p>
    <w:p>
      <w:pPr>
        <w:ind w:firstLine="1062"/>
        <w:spacing w:after="0" w:line="343" w:lineRule="auto"/>
        <w:tabs>
          <w:tab w:leader="none" w:pos="2158" w:val="left"/>
        </w:tabs>
        <w:numPr>
          <w:ilvl w:val="1"/>
          <w:numId w:val="108"/>
        </w:numPr>
        <w:rPr>
          <w:rFonts w:ascii="Arial" w:cs="Arial" w:eastAsia="Arial" w:hAnsi="Arial"/>
          <w:sz w:val="19"/>
          <w:szCs w:val="19"/>
          <w:color w:val="auto"/>
        </w:rPr>
      </w:pPr>
      <w:r>
        <w:rPr>
          <w:rFonts w:ascii="Arial" w:cs="Arial" w:eastAsia="Arial" w:hAnsi="Arial"/>
          <w:sz w:val="19"/>
          <w:szCs w:val="19"/>
          <w:u w:val="single" w:color="auto"/>
          <w:color w:val="auto"/>
        </w:rPr>
        <w:t>Consolidated Fixed Charge Coverage Ratio</w:t>
      </w:r>
      <w:r>
        <w:rPr>
          <w:rFonts w:ascii="Arial" w:cs="Arial" w:eastAsia="Arial" w:hAnsi="Arial"/>
          <w:sz w:val="19"/>
          <w:szCs w:val="19"/>
          <w:color w:val="auto"/>
        </w:rPr>
        <w:t>. The Borrower will not permit the Consolidated Fixed Charge Coverage Ratio to be less than 2.0 to 1.0 as of the end of the then most-recently completed four (4) fiscal quarters.</w:t>
      </w:r>
    </w:p>
    <w:p>
      <w:pPr>
        <w:spacing w:after="0" w:line="145" w:lineRule="exact"/>
        <w:rPr>
          <w:rFonts w:ascii="Arial" w:cs="Arial" w:eastAsia="Arial" w:hAnsi="Arial"/>
          <w:sz w:val="19"/>
          <w:szCs w:val="19"/>
          <w:color w:val="auto"/>
        </w:rPr>
      </w:pPr>
    </w:p>
    <w:p>
      <w:pPr>
        <w:jc w:val="both"/>
        <w:ind w:firstLine="1062"/>
        <w:spacing w:after="0" w:line="249" w:lineRule="auto"/>
        <w:tabs>
          <w:tab w:leader="none" w:pos="2170" w:val="left"/>
        </w:tabs>
        <w:numPr>
          <w:ilvl w:val="1"/>
          <w:numId w:val="108"/>
        </w:numPr>
        <w:rPr>
          <w:rFonts w:ascii="Arial" w:cs="Arial" w:eastAsia="Arial" w:hAnsi="Arial"/>
          <w:sz w:val="22"/>
          <w:szCs w:val="22"/>
          <w:color w:val="auto"/>
        </w:rPr>
      </w:pPr>
      <w:r>
        <w:rPr>
          <w:rFonts w:ascii="Arial" w:cs="Arial" w:eastAsia="Arial" w:hAnsi="Arial"/>
          <w:sz w:val="22"/>
          <w:szCs w:val="22"/>
          <w:u w:val="single" w:color="auto"/>
          <w:color w:val="auto"/>
        </w:rPr>
        <w:t>Consolidated Cash Flow Leverage Ratio</w:t>
      </w:r>
      <w:r>
        <w:rPr>
          <w:rFonts w:ascii="Arial" w:cs="Arial" w:eastAsia="Arial" w:hAnsi="Arial"/>
          <w:sz w:val="22"/>
          <w:szCs w:val="22"/>
          <w:color w:val="auto"/>
        </w:rPr>
        <w:t>. The Borrower will not permit the Consolidated Cash Flow Leverage Ratio as of the last day of any fiscal quarter to be greater than, (i) in the case of any fiscal quarter ending on or before September 30, 2018, 2.5 to 1.0 and</w:t>
      </w:r>
    </w:p>
    <w:p>
      <w:pPr>
        <w:ind w:left="320" w:hanging="311"/>
        <w:spacing w:after="0"/>
        <w:tabs>
          <w:tab w:leader="none" w:pos="32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in the case of any fiscal quarter ending after September 30, 2018, 2.25 to 1.0</w:t>
      </w:r>
    </w:p>
    <w:p>
      <w:pPr>
        <w:spacing w:after="0" w:line="242" w:lineRule="exact"/>
        <w:rPr>
          <w:sz w:val="20"/>
          <w:szCs w:val="20"/>
          <w:color w:val="auto"/>
        </w:rPr>
      </w:pPr>
    </w:p>
    <w:p>
      <w:pPr>
        <w:jc w:val="both"/>
        <w:ind w:firstLine="1378"/>
        <w:spacing w:after="0" w:line="292" w:lineRule="auto"/>
        <w:rPr>
          <w:sz w:val="20"/>
          <w:szCs w:val="20"/>
          <w:color w:val="auto"/>
        </w:rPr>
      </w:pPr>
      <w:r>
        <w:rPr>
          <w:rFonts w:ascii="Arial" w:cs="Arial" w:eastAsia="Arial" w:hAnsi="Arial"/>
          <w:sz w:val="19"/>
          <w:szCs w:val="19"/>
          <w:color w:val="auto"/>
        </w:rPr>
        <w:t xml:space="preserve">6.22. </w:t>
      </w:r>
      <w:r>
        <w:rPr>
          <w:rFonts w:ascii="Arial" w:cs="Arial" w:eastAsia="Arial" w:hAnsi="Arial"/>
          <w:sz w:val="19"/>
          <w:szCs w:val="19"/>
          <w:u w:val="single" w:color="auto"/>
          <w:color w:val="auto"/>
        </w:rPr>
        <w:t>Material Domestic Subsidiaries</w:t>
      </w:r>
      <w:r>
        <w:rPr>
          <w:rFonts w:ascii="Arial" w:cs="Arial" w:eastAsia="Arial" w:hAnsi="Arial"/>
          <w:sz w:val="19"/>
          <w:szCs w:val="19"/>
          <w:color w:val="auto"/>
        </w:rPr>
        <w:t>. As promptly as possible but in any event within thirty (30) days (or such later date as may be agreed by the Administrative Agent in its sole discretion) after a Material Domestic Subsidiary is organized or acquired, or any Person becomes a Material Domestic Subsidiary pursuant to the definition thereof, or is designated by the Borrower or the Administrative Agent as a Material Domestic Subsidiary, the Borrower shall provide the Administrative Agent with written notice thereof setting forth information in reasonable detail describing the material assets of such Subsidiary and, upon the written request of the Administrative Agent, shall cause each such Subsidiary to (i) enter into a guaranty with the Administrative Agent in a form reasonably acceptable to the Administrative Agent and (ii) deliver a joinder to the Security Agreement and provide such other documentation as the Administrative Agent may reasonably request.</w:t>
      </w:r>
    </w:p>
    <w:p>
      <w:pPr>
        <w:spacing w:after="0" w:line="196" w:lineRule="exact"/>
        <w:rPr>
          <w:sz w:val="20"/>
          <w:szCs w:val="20"/>
          <w:color w:val="auto"/>
        </w:rPr>
      </w:pPr>
    </w:p>
    <w:p>
      <w:pPr>
        <w:jc w:val="both"/>
        <w:ind w:left="40" w:firstLine="1378"/>
        <w:spacing w:after="0" w:line="260" w:lineRule="auto"/>
        <w:rPr>
          <w:sz w:val="20"/>
          <w:szCs w:val="20"/>
          <w:color w:val="auto"/>
        </w:rPr>
      </w:pPr>
      <w:r>
        <w:rPr>
          <w:rFonts w:ascii="Arial" w:cs="Arial" w:eastAsia="Arial" w:hAnsi="Arial"/>
          <w:sz w:val="22"/>
          <w:szCs w:val="22"/>
          <w:color w:val="auto"/>
        </w:rPr>
        <w:t xml:space="preserve">6.23. </w:t>
      </w:r>
      <w:r>
        <w:rPr>
          <w:rFonts w:ascii="Arial" w:cs="Arial" w:eastAsia="Arial" w:hAnsi="Arial"/>
          <w:sz w:val="22"/>
          <w:szCs w:val="22"/>
          <w:u w:val="single" w:color="auto"/>
          <w:color w:val="auto"/>
        </w:rPr>
        <w:t>Further Assurances</w:t>
      </w:r>
      <w:r>
        <w:rPr>
          <w:rFonts w:ascii="Arial" w:cs="Arial" w:eastAsia="Arial" w:hAnsi="Arial"/>
          <w:sz w:val="22"/>
          <w:szCs w:val="22"/>
          <w:color w:val="auto"/>
        </w:rPr>
        <w:t>. Each Loan Party will, and will cause each Subsidiary to, in keeping with Section 8.3 hereof, as applicable, promptly correct any ambiguity, omission, mistake, defect, inconsistency or error that may be discovered in any Loan Document or in the execution, acknowledgment or recordation thereof.</w:t>
      </w:r>
    </w:p>
    <w:p>
      <w:pPr>
        <w:spacing w:after="0" w:line="218" w:lineRule="exact"/>
        <w:rPr>
          <w:sz w:val="20"/>
          <w:szCs w:val="20"/>
          <w:color w:val="auto"/>
        </w:rPr>
      </w:pPr>
    </w:p>
    <w:p>
      <w:pPr>
        <w:ind w:left="40" w:right="20" w:firstLine="1378"/>
        <w:spacing w:after="0" w:line="320" w:lineRule="auto"/>
        <w:rPr>
          <w:sz w:val="20"/>
          <w:szCs w:val="20"/>
          <w:color w:val="auto"/>
        </w:rPr>
      </w:pPr>
      <w:r>
        <w:rPr>
          <w:rFonts w:ascii="Arial" w:cs="Arial" w:eastAsia="Arial" w:hAnsi="Arial"/>
          <w:sz w:val="19"/>
          <w:szCs w:val="19"/>
          <w:color w:val="auto"/>
        </w:rPr>
        <w:t xml:space="preserve">6.24. </w:t>
      </w:r>
      <w:r>
        <w:rPr>
          <w:rFonts w:ascii="Arial" w:cs="Arial" w:eastAsia="Arial" w:hAnsi="Arial"/>
          <w:sz w:val="19"/>
          <w:szCs w:val="19"/>
          <w:u w:val="single" w:color="auto"/>
          <w:color w:val="auto"/>
        </w:rPr>
        <w:t>Anti-Money Laundering Compliance</w:t>
      </w:r>
      <w:r>
        <w:rPr>
          <w:rFonts w:ascii="Arial" w:cs="Arial" w:eastAsia="Arial" w:hAnsi="Arial"/>
          <w:sz w:val="19"/>
          <w:szCs w:val="19"/>
          <w:color w:val="auto"/>
        </w:rPr>
        <w:t>. The Borrower shall, and shall cause each Subsidiary to, provide such information and take such actions as are reasonably requested by the Administrative Agent or any Lender in order to assist the Administrative Agent and the Lenders in maintaining compliance with anti-money laundering laws and regulations.</w:t>
      </w:r>
    </w:p>
    <w:p>
      <w:pPr>
        <w:spacing w:after="0" w:line="220" w:lineRule="exact"/>
        <w:rPr>
          <w:sz w:val="20"/>
          <w:szCs w:val="20"/>
          <w:color w:val="auto"/>
        </w:rPr>
      </w:pPr>
    </w:p>
    <w:p>
      <w:pPr>
        <w:jc w:val="both"/>
        <w:ind w:left="40" w:firstLine="1378"/>
        <w:spacing w:after="0" w:line="301" w:lineRule="auto"/>
        <w:rPr>
          <w:sz w:val="20"/>
          <w:szCs w:val="20"/>
          <w:color w:val="auto"/>
        </w:rPr>
      </w:pPr>
      <w:r>
        <w:rPr>
          <w:rFonts w:ascii="Arial" w:cs="Arial" w:eastAsia="Arial" w:hAnsi="Arial"/>
          <w:sz w:val="21"/>
          <w:szCs w:val="21"/>
          <w:color w:val="auto"/>
        </w:rPr>
        <w:t xml:space="preserve">6.25. </w:t>
      </w:r>
      <w:r>
        <w:rPr>
          <w:rFonts w:ascii="Arial" w:cs="Arial" w:eastAsia="Arial" w:hAnsi="Arial"/>
          <w:sz w:val="21"/>
          <w:szCs w:val="21"/>
          <w:u w:val="single" w:color="auto"/>
          <w:color w:val="auto"/>
        </w:rPr>
        <w:t>Deposit Accounts</w:t>
      </w:r>
      <w:r>
        <w:rPr>
          <w:rFonts w:ascii="Arial" w:cs="Arial" w:eastAsia="Arial" w:hAnsi="Arial"/>
          <w:sz w:val="21"/>
          <w:szCs w:val="21"/>
          <w:color w:val="auto"/>
        </w:rPr>
        <w:t>. The Borrower will maintain all of its primary United States borrowing, depository, and treasury management at the Administrative Agent for such time as the Administrative Agent is also a Lender.</w:t>
      </w:r>
    </w:p>
    <w:p>
      <w:pPr>
        <w:spacing w:after="0" w:line="178" w:lineRule="exact"/>
        <w:rPr>
          <w:sz w:val="20"/>
          <w:szCs w:val="20"/>
          <w:color w:val="auto"/>
        </w:rPr>
      </w:pPr>
    </w:p>
    <w:p>
      <w:pPr>
        <w:jc w:val="both"/>
        <w:ind w:left="40" w:firstLine="1378"/>
        <w:spacing w:after="0" w:line="300" w:lineRule="auto"/>
        <w:rPr>
          <w:sz w:val="20"/>
          <w:szCs w:val="20"/>
          <w:color w:val="auto"/>
        </w:rPr>
      </w:pPr>
      <w:r>
        <w:rPr>
          <w:rFonts w:ascii="Arial" w:cs="Arial" w:eastAsia="Arial" w:hAnsi="Arial"/>
          <w:sz w:val="19"/>
          <w:szCs w:val="19"/>
          <w:color w:val="auto"/>
        </w:rPr>
        <w:t xml:space="preserve">6.26. </w:t>
      </w:r>
      <w:r>
        <w:rPr>
          <w:rFonts w:ascii="Arial" w:cs="Arial" w:eastAsia="Arial" w:hAnsi="Arial"/>
          <w:sz w:val="19"/>
          <w:szCs w:val="19"/>
          <w:u w:val="single" w:color="auto"/>
          <w:color w:val="auto"/>
        </w:rPr>
        <w:t>Existence</w:t>
      </w:r>
      <w:r>
        <w:rPr>
          <w:rFonts w:ascii="Arial" w:cs="Arial" w:eastAsia="Arial" w:hAnsi="Arial"/>
          <w:sz w:val="19"/>
          <w:szCs w:val="19"/>
          <w:color w:val="auto"/>
        </w:rPr>
        <w:t>. The Borrower shall maintain, and cause each Restricted Subsidiary to maintain, its corporate existence in good standing under the laws of its jurisdiction of organization and its qualification to transact business in each jurisdiction where failure so to qualify would permanently preclude the Borrower or such Restricted Subsidiary from enforcing its rights with respect to any material asset or would expose the Borrower or such Restricted Subsidiary to any material liability; provided, however, that nothing herein shall prohibit the merger or liquidation of any Subsidiary allowed under Section 6.12.</w:t>
      </w:r>
    </w:p>
    <w:p>
      <w:pPr>
        <w:spacing w:after="0" w:line="200" w:lineRule="exact"/>
        <w:rPr>
          <w:sz w:val="20"/>
          <w:szCs w:val="20"/>
          <w:color w:val="auto"/>
        </w:rPr>
      </w:pP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40"/>
          </w:cols>
          <w:pgMar w:left="320" w:top="631" w:right="239" w:bottom="1440" w:gutter="0" w:footer="0" w:header="0"/>
        </w:sectPr>
      </w:pPr>
    </w:p>
    <w:bookmarkStart w:id="180" w:name="page181"/>
    <w:bookmarkEnd w:id="180"/>
    <w:p>
      <w:pPr>
        <w:ind w:left="1384"/>
        <w:spacing w:after="0"/>
        <w:tabs>
          <w:tab w:leader="none" w:pos="1984" w:val="left"/>
        </w:tabs>
        <w:rPr>
          <w:sz w:val="20"/>
          <w:szCs w:val="20"/>
          <w:color w:val="auto"/>
        </w:rPr>
      </w:pPr>
      <w:r>
        <w:rPr>
          <w:rFonts w:ascii="Arial" w:cs="Arial" w:eastAsia="Arial" w:hAnsi="Arial"/>
          <w:sz w:val="22"/>
          <w:szCs w:val="22"/>
          <w:color w:val="auto"/>
        </w:rPr>
        <w:t>6.27.</w:t>
      </w:r>
      <w:r>
        <w:rPr>
          <w:sz w:val="20"/>
          <w:szCs w:val="20"/>
          <w:color w:val="auto"/>
        </w:rPr>
        <w:tab/>
      </w:r>
      <w:r>
        <w:rPr>
          <w:rFonts w:ascii="Arial" w:cs="Arial" w:eastAsia="Arial" w:hAnsi="Arial"/>
          <w:sz w:val="19"/>
          <w:szCs w:val="19"/>
          <w:u w:val="single" w:color="auto"/>
          <w:color w:val="auto"/>
        </w:rPr>
        <w:t>Additional Restricted Subsidiaries</w:t>
      </w:r>
      <w:r>
        <w:rPr>
          <w:rFonts w:ascii="Arial" w:cs="Arial" w:eastAsia="Arial" w:hAnsi="Arial"/>
          <w:sz w:val="19"/>
          <w:szCs w:val="19"/>
          <w:color w:val="auto"/>
        </w:rPr>
        <w:t>. In the event that upon (a) the delivery of any Compliance Certificate or</w:t>
      </w:r>
    </w:p>
    <w:p>
      <w:pPr>
        <w:spacing w:after="0" w:line="22" w:lineRule="exact"/>
        <w:rPr>
          <w:sz w:val="20"/>
          <w:szCs w:val="20"/>
          <w:color w:val="auto"/>
        </w:rPr>
      </w:pPr>
    </w:p>
    <w:p>
      <w:pPr>
        <w:jc w:val="both"/>
        <w:ind w:left="4" w:hanging="4"/>
        <w:spacing w:after="0" w:line="291" w:lineRule="auto"/>
        <w:tabs>
          <w:tab w:leader="none" w:pos="32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completion of any transaction involving the Borrower or any of its Subsidiaries, including the formation or acquisition of any Subsidiary, the aggregate amount of the consolidated assets or aggregate Consolidated EBITDA of the Borrower and the Restricted Subsidiaries existing as of the date for which such Compliance Certificate was prepared or upon giving effect to such transaction was, respectively, either less than (i) 70% of the aggregate amount of the consolidated assets of the Borrower and the Borrower's Subsidiaries or (ii) 70% of the Consolidated EBITDA of the Borrower and the Borrower's Subsidiaries, then the Borrower shall, within 30 days thereafter, designate one or more additional Subsidiaries as Restricted Subsidiaries, and each such additional Restricted Subsidiary shall thereafter be a Restricted Subsidiary for all purposes under this Agreement.</w:t>
      </w:r>
    </w:p>
    <w:p>
      <w:pPr>
        <w:spacing w:after="0" w:line="200" w:lineRule="exact"/>
        <w:rPr>
          <w:sz w:val="20"/>
          <w:szCs w:val="20"/>
          <w:color w:val="auto"/>
        </w:rPr>
      </w:pPr>
    </w:p>
    <w:p>
      <w:pPr>
        <w:spacing w:after="0" w:line="339" w:lineRule="exact"/>
        <w:rPr>
          <w:sz w:val="20"/>
          <w:szCs w:val="20"/>
          <w:color w:val="auto"/>
        </w:rPr>
      </w:pPr>
    </w:p>
    <w:p>
      <w:pPr>
        <w:ind w:left="6144"/>
        <w:spacing w:after="0"/>
        <w:rPr>
          <w:sz w:val="20"/>
          <w:szCs w:val="20"/>
          <w:color w:val="auto"/>
        </w:rPr>
      </w:pPr>
      <w:r>
        <w:rPr>
          <w:rFonts w:ascii="Arial" w:cs="Arial" w:eastAsia="Arial" w:hAnsi="Arial"/>
          <w:sz w:val="22"/>
          <w:szCs w:val="22"/>
          <w:b w:val="1"/>
          <w:bCs w:val="1"/>
          <w:u w:val="single" w:color="auto"/>
          <w:color w:val="auto"/>
        </w:rPr>
        <w:t>ARTICLE VII DEFAULTS</w:t>
      </w:r>
    </w:p>
    <w:p>
      <w:pPr>
        <w:spacing w:after="0" w:line="200" w:lineRule="exact"/>
        <w:rPr>
          <w:sz w:val="20"/>
          <w:szCs w:val="20"/>
          <w:color w:val="auto"/>
        </w:rPr>
      </w:pPr>
    </w:p>
    <w:p>
      <w:pPr>
        <w:spacing w:after="0" w:line="201" w:lineRule="exact"/>
        <w:rPr>
          <w:sz w:val="20"/>
          <w:szCs w:val="20"/>
          <w:color w:val="auto"/>
        </w:rPr>
      </w:pPr>
    </w:p>
    <w:p>
      <w:pPr>
        <w:ind w:left="644"/>
        <w:spacing w:after="0"/>
        <w:rPr>
          <w:sz w:val="20"/>
          <w:szCs w:val="20"/>
          <w:color w:val="auto"/>
        </w:rPr>
      </w:pPr>
      <w:r>
        <w:rPr>
          <w:rFonts w:ascii="Arial" w:cs="Arial" w:eastAsia="Arial" w:hAnsi="Arial"/>
          <w:sz w:val="22"/>
          <w:szCs w:val="22"/>
          <w:color w:val="auto"/>
        </w:rPr>
        <w:t>The occurrence of any one or more of the following events shall constitute an Event of</w:t>
      </w:r>
    </w:p>
    <w:p>
      <w:pPr>
        <w:spacing w:after="0" w:line="22" w:lineRule="exact"/>
        <w:rPr>
          <w:sz w:val="20"/>
          <w:szCs w:val="20"/>
          <w:color w:val="auto"/>
        </w:rPr>
      </w:pPr>
    </w:p>
    <w:p>
      <w:pPr>
        <w:ind w:left="4"/>
        <w:spacing w:after="0"/>
        <w:rPr>
          <w:sz w:val="20"/>
          <w:szCs w:val="20"/>
          <w:color w:val="auto"/>
        </w:rPr>
      </w:pPr>
      <w:r>
        <w:rPr>
          <w:rFonts w:ascii="Arial" w:cs="Arial" w:eastAsia="Arial" w:hAnsi="Arial"/>
          <w:sz w:val="22"/>
          <w:szCs w:val="22"/>
          <w:color w:val="auto"/>
        </w:rPr>
        <w:t>Default (each, an “Event of Default”):</w:t>
      </w:r>
    </w:p>
    <w:p>
      <w:pPr>
        <w:spacing w:after="0" w:line="283" w:lineRule="exact"/>
        <w:rPr>
          <w:sz w:val="20"/>
          <w:szCs w:val="20"/>
          <w:color w:val="auto"/>
        </w:rPr>
      </w:pPr>
    </w:p>
    <w:p>
      <w:pPr>
        <w:jc w:val="both"/>
        <w:ind w:left="4" w:firstLine="648"/>
        <w:spacing w:after="0" w:line="270" w:lineRule="auto"/>
        <w:rPr>
          <w:sz w:val="20"/>
          <w:szCs w:val="20"/>
          <w:color w:val="auto"/>
        </w:rPr>
      </w:pPr>
      <w:r>
        <w:rPr>
          <w:rFonts w:ascii="Arial" w:cs="Arial" w:eastAsia="Arial" w:hAnsi="Arial"/>
          <w:sz w:val="21"/>
          <w:szCs w:val="21"/>
          <w:color w:val="auto"/>
        </w:rPr>
        <w:t>7.1. Any representation or warranty made or deemed made by or on behalf of the Borrower or any of its Subsidiaries to the Lenders or the Administrative Agent under or in connection with this Agreement, any Credit Extension, or any certificate or information delivered in connection with this Agreement or any other Loan Document shall be materially false on the date made or confirmed, except to the extent the same expressly relates solely to an earlier date.</w:t>
      </w:r>
    </w:p>
    <w:p>
      <w:pPr>
        <w:spacing w:after="0" w:line="210" w:lineRule="exact"/>
        <w:rPr>
          <w:sz w:val="20"/>
          <w:szCs w:val="20"/>
          <w:color w:val="auto"/>
        </w:rPr>
      </w:pPr>
    </w:p>
    <w:p>
      <w:pPr>
        <w:jc w:val="both"/>
        <w:ind w:left="4" w:firstLine="648"/>
        <w:spacing w:after="0" w:line="260" w:lineRule="auto"/>
        <w:rPr>
          <w:sz w:val="20"/>
          <w:szCs w:val="20"/>
          <w:color w:val="auto"/>
        </w:rPr>
      </w:pPr>
      <w:r>
        <w:rPr>
          <w:rFonts w:ascii="Arial" w:cs="Arial" w:eastAsia="Arial" w:hAnsi="Arial"/>
          <w:sz w:val="22"/>
          <w:szCs w:val="22"/>
          <w:color w:val="auto"/>
        </w:rPr>
        <w:t>7.2. Nonpayment of (i) principal of any Loan when due or (ii) any Reimbursement Obligation, interest upon any Loan, any LC Fee, or any other obligation under any of the Loan Documents within three (3) Business Days after the same becomes due.</w:t>
      </w:r>
    </w:p>
    <w:p>
      <w:pPr>
        <w:spacing w:after="0" w:line="218" w:lineRule="exact"/>
        <w:rPr>
          <w:sz w:val="20"/>
          <w:szCs w:val="20"/>
          <w:color w:val="auto"/>
        </w:rPr>
      </w:pPr>
    </w:p>
    <w:p>
      <w:pPr>
        <w:ind w:left="4" w:firstLine="648"/>
        <w:spacing w:after="0" w:line="251" w:lineRule="auto"/>
        <w:rPr>
          <w:sz w:val="20"/>
          <w:szCs w:val="20"/>
          <w:color w:val="auto"/>
        </w:rPr>
      </w:pPr>
      <w:r>
        <w:rPr>
          <w:rFonts w:ascii="Arial" w:cs="Arial" w:eastAsia="Arial" w:hAnsi="Arial"/>
          <w:sz w:val="22"/>
          <w:szCs w:val="22"/>
          <w:color w:val="auto"/>
        </w:rPr>
        <w:t>7.3. The breach by the Borrower of any of the terms or provisions of Section 6.1 (Financial Reporting), 6.2 (Use of Proceeds), 6.3 (Notice of Material Events), 6.4 (Conduct of Business), 6.7 (Compliance with Laws and Material Contractual Obligations), 6.10 (Payment of Obligations), 6.11 (Indebtedness), 6.12 (Merger), 6.13 (Sale of Assets), 6.14 (Investments), 6.15 (Acquisitions), 6.16 (Liens), 6.19 (Restricted Payments), 6.21 (Financial Covenants), 6.24 (Anti- Money Laundering Compliance) or 6.26 (Existence).</w:t>
      </w:r>
    </w:p>
    <w:p>
      <w:pPr>
        <w:spacing w:after="0" w:line="230" w:lineRule="exact"/>
        <w:rPr>
          <w:sz w:val="20"/>
          <w:szCs w:val="20"/>
          <w:color w:val="auto"/>
        </w:rPr>
      </w:pPr>
    </w:p>
    <w:p>
      <w:pPr>
        <w:ind w:left="4" w:firstLine="648"/>
        <w:spacing w:after="0" w:line="299" w:lineRule="auto"/>
        <w:rPr>
          <w:sz w:val="20"/>
          <w:szCs w:val="20"/>
          <w:color w:val="auto"/>
        </w:rPr>
      </w:pPr>
      <w:r>
        <w:rPr>
          <w:rFonts w:ascii="Arial" w:cs="Arial" w:eastAsia="Arial" w:hAnsi="Arial"/>
          <w:sz w:val="19"/>
          <w:szCs w:val="19"/>
          <w:color w:val="auto"/>
        </w:rPr>
        <w:t>7.4. The breach by the Borrower (other than a breach which constitutes an Event of Default under another Section of this Article VII) of any of the terms or provisions of this Agreement which is not remedied within thirty (30) days after the earlier of</w:t>
      </w:r>
    </w:p>
    <w:p>
      <w:pPr>
        <w:ind w:left="4" w:hanging="4"/>
        <w:spacing w:after="0" w:line="246" w:lineRule="auto"/>
        <w:tabs>
          <w:tab w:leader="none" w:pos="269"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Borrower or any Restricted Subsidiary becoming aware of any such breach and (ii) the Administrative Agent notifying the Borrower of any such breach.</w:t>
      </w:r>
    </w:p>
    <w:p>
      <w:pPr>
        <w:spacing w:after="0" w:line="233" w:lineRule="exact"/>
        <w:rPr>
          <w:sz w:val="20"/>
          <w:szCs w:val="20"/>
          <w:color w:val="auto"/>
        </w:rPr>
      </w:pPr>
    </w:p>
    <w:p>
      <w:pPr>
        <w:ind w:left="4" w:firstLine="648"/>
        <w:spacing w:after="0" w:line="276" w:lineRule="auto"/>
        <w:rPr>
          <w:sz w:val="20"/>
          <w:szCs w:val="20"/>
          <w:color w:val="auto"/>
        </w:rPr>
      </w:pPr>
      <w:r>
        <w:rPr>
          <w:rFonts w:ascii="Arial" w:cs="Arial" w:eastAsia="Arial" w:hAnsi="Arial"/>
          <w:sz w:val="22"/>
          <w:szCs w:val="22"/>
          <w:color w:val="auto"/>
        </w:rPr>
        <w:t>7.5. (i) Failure of the Borrower or any of its Subsidiaries to pay when due any payment (whether of principal, interest or any other amount) in respect of any Material Indebtedness, (ii) the</w:t>
      </w:r>
    </w:p>
    <w:p>
      <w:pPr>
        <w:spacing w:after="0" w:line="168"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04"/>
          </w:cols>
          <w:pgMar w:left="356" w:top="375" w:right="239" w:bottom="1440" w:gutter="0" w:footer="0" w:header="0"/>
        </w:sectPr>
      </w:pPr>
    </w:p>
    <w:bookmarkStart w:id="181" w:name="page182"/>
    <w:bookmarkEnd w:id="181"/>
    <w:p>
      <w:pPr>
        <w:jc w:val="both"/>
        <w:spacing w:after="0" w:line="259" w:lineRule="auto"/>
        <w:rPr>
          <w:sz w:val="20"/>
          <w:szCs w:val="20"/>
          <w:color w:val="auto"/>
        </w:rPr>
      </w:pPr>
      <w:r>
        <w:rPr>
          <w:rFonts w:ascii="Arial" w:cs="Arial" w:eastAsia="Arial" w:hAnsi="Arial"/>
          <w:sz w:val="21"/>
          <w:szCs w:val="21"/>
          <w:color w:val="auto"/>
        </w:rPr>
        <w:t>default by the Borrower or any of its Subsidiaries in the performance (beyond the applicable grace period with respect thereto, if any) of any term, provision or condition contained in any Material Indebtedness Agreement, or any other event shall occur or condition exist, the effect of which default, event or condition under this clause (ii) is to cause, or to permit the holder(s) of such Material Indebtedness or the lender(s) under any Material Indebtedness Agreement to cause, any portion of such Material Indebtedness to become due prior to its stated maturity or any commitment to lend under any Material Indebtedness Agreement to be terminated prior to its stated expiration date, or (iii) any portion of Material Indebtedness of the Borrower or any of its Subsidiaries shall be declared to be due and payable or required to be prepaid or repurchased (other than by a regularly scheduled payment) prior to the stated maturity thereof.</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7.6. The Borrower or any of its Subsidiaries shall (i) have an order for relief entered with respect to it under the Federal bankruptcy laws as now or hereafter in effect, (ii) make an assignment for the benefit of creditors, (iii) apply for, seek, consent to, or acquiesce in, the appointment of a receiver, custodian, trustee, examiner, liquidator or similar official for it or any Substantial Portion of its Property, (iv) institute any proceeding seeking an order for relief under the Federal bankruptcy laws as now or hereafter in effect or seeking to adjudicate it a bankrupt or insolvent, or seeking dissolution, winding up, liquidation, reorganization, arrangement, adjustment or composition of it or its debts under any law relating to bankruptcy, insolvency or reorganization or relief of debtors or fail to file an answer or other pleading denying the material</w:t>
      </w:r>
    </w:p>
    <w:p>
      <w:pPr>
        <w:spacing w:after="0" w:line="26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allegations of any such proceeding filed against it, (v) take any corporate, limited liability company or partnership action to authorize or effect any of the foregoing actions set forth in this Section 7.6, (vi) fail to contest in good faith any appointment or proceeding described in Section 7.7, or (vii) the Borrower or any of its Subsidiaries shall not pay, or admit in writing its inability to pay, its debts generally as they become due.</w:t>
      </w:r>
    </w:p>
    <w:p>
      <w:pPr>
        <w:spacing w:after="0" w:line="2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7.7. Without the application, approval or consent of the Borrower or any of its Subsidiaries, a receiver, trustee, examiner, liquidator or similar official shall be appointed for the Borrower or any of its Subsidiaries or any Substantial Portion of its Property, or a proceeding described in Section 7.6(iv) shall be instituted against the Borrower or any of its Subsidiaries and such appointment continues undischarged or such proceeding continues undismissed or unstayed for a period of forty-five (45) consecutive days.</w:t>
      </w:r>
    </w:p>
    <w:p>
      <w:pPr>
        <w:spacing w:after="0" w:line="230"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7.8. Any court, government or governmental agency shall condemn, seize or otherwise appropriate, or take custody or control of, all or any portion of the Property of the Borrower and its Subsidiaries which, when taken together with all other Property of the Borrower and its Subsidiaries so condemned, seized, appropriated, or taken custody or control of, during the twelve-month period ending with the month in which any such action occurs, constitutes a Substantial Portion.</w:t>
      </w:r>
    </w:p>
    <w:p>
      <w:pPr>
        <w:spacing w:after="0" w:line="179"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7.9. The Borrower or any of its Subsidiaries shall fail within ninety (90) days to pay, obtain a stay with respect to, or otherwise discharge one or more (i) judgments or orders for the payment of money in excess of $500,000 (or the equivalent thereof in currencies other than Dollars) in the aggregate, or (ii) nonmonetary judgments or orders which, individually or in the aggregate, could reasonably be expected to have a Material Adverse Effect; provided, however, that there shall</w:t>
      </w:r>
    </w:p>
    <w:p>
      <w:pPr>
        <w:spacing w:after="0" w:line="14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00"/>
          </w:cols>
          <w:pgMar w:left="360" w:top="375" w:right="239" w:bottom="1440" w:gutter="0" w:footer="0" w:header="0"/>
        </w:sectPr>
      </w:pPr>
    </w:p>
    <w:bookmarkStart w:id="182" w:name="page183"/>
    <w:bookmarkEnd w:id="182"/>
    <w:p>
      <w:pPr>
        <w:jc w:val="both"/>
        <w:spacing w:after="0" w:line="263" w:lineRule="auto"/>
        <w:rPr>
          <w:sz w:val="20"/>
          <w:szCs w:val="20"/>
          <w:color w:val="auto"/>
        </w:rPr>
      </w:pPr>
      <w:r>
        <w:rPr>
          <w:rFonts w:ascii="Arial" w:cs="Arial" w:eastAsia="Arial" w:hAnsi="Arial"/>
          <w:sz w:val="22"/>
          <w:szCs w:val="22"/>
          <w:color w:val="auto"/>
        </w:rPr>
        <w:t>not be an Event of Default under this Section 7.9 to the extent that a judgment or order is stayed on appeal or otherwise is being appropriately contested in good faith in a court of competent jurisdiction.</w:t>
      </w:r>
    </w:p>
    <w:p>
      <w:pPr>
        <w:spacing w:after="0" w:line="21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7.10 Any action shall be legally taken by a judgment creditor to attach or levy upon any assets of the Borrower or any of its Subsidiaries to enforce (i) judgments or orders for the payment of money in excess of $500,000 (or the equivalent thereof in currencies other than Dollars) in the aggregate, or (ii) nonmonetary judgments or orders which, individually or in the aggregate, could reasonably be expected to have a Material Adverse Effect; provided, however, that there shall not be an Event of Default under this Section 7.10 to the extent that such action by a judgment creditor is being appropriately contested in good faith in a court of competent jurisdiction.</w:t>
      </w:r>
    </w:p>
    <w:p>
      <w:pPr>
        <w:spacing w:after="0" w:line="2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7.11. (i) With respect to a Plan, the Borrower or an ERISA Affiliate is subject to a lien in excess of $500,000 pursuant to Section 430(k) of the Code or Section 302(c) of ERISA or Title IV of ERISA, or (ii) an ERISA Event shall have occurred that, in the opinion of the Required Lenders, when taken together with all other ERISA Events that have occurred, could reasonably be expected to result in a Material Adverse Effect.</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7.12 Nonpayment by the Borrower or any Subsidiary of any Swap Obligation when due or the breach by the Borrower or any Subsidiary of any term, provision or condition contained in any Swap or any transaction of the type described in the definition of “Swap,” whether or not any Lender or Affiliate of a Lender is a party thereto.</w:t>
      </w:r>
    </w:p>
    <w:p>
      <w:pPr>
        <w:spacing w:after="0" w:line="21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22"/>
          <w:szCs w:val="22"/>
          <w:color w:val="auto"/>
        </w:rPr>
        <w:t>7.13</w:t>
      </w:r>
      <w:r>
        <w:rPr>
          <w:sz w:val="20"/>
          <w:szCs w:val="20"/>
          <w:color w:val="auto"/>
        </w:rPr>
        <w:tab/>
      </w:r>
      <w:r>
        <w:rPr>
          <w:rFonts w:ascii="Arial" w:cs="Arial" w:eastAsia="Arial" w:hAnsi="Arial"/>
          <w:sz w:val="19"/>
          <w:szCs w:val="19"/>
          <w:color w:val="auto"/>
        </w:rPr>
        <w:t>Any Change in Control shall occur.</w:t>
      </w:r>
    </w:p>
    <w:p>
      <w:pPr>
        <w:spacing w:after="0" w:line="26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7.14 The occurrence of any “default”, as defined in any Loan Document (other than this Agreement) or the breach of any of the terms or provisions of any Loan Document (other than this Agreement), which default or breach continues beyond any period of grace therein provided.</w:t>
      </w:r>
    </w:p>
    <w:p>
      <w:pPr>
        <w:spacing w:after="0" w:line="218"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7.15 Any Loan Document shall fail to remain in full force or effect or any action shall be taken to discontinue or to assert the invalidity or unenforceability of any Guaranty, or any Guarantor shall fail to comply with any of the terms or provisions of any Guaranty to which it is a party, any Guarantor repudiates or purports to revoke its Guaranty or any Guarantor shall otherwise deny that it has any further liability under any Guaranty to which it is a party, or shall give notice to such effect.</w:t>
      </w:r>
    </w:p>
    <w:p>
      <w:pPr>
        <w:spacing w:after="0" w:line="17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7.16 Any Collateral Document shall for any reason fail to create a valid and perfected first priority security interest in any Collateral purported to be covered thereby, except as permitted by the terms of any Collateral Document or the terms hereof, or any Collateral Document shall fail to remain in full force or effect or any action shall be taken to discontinue or to assert the invalidity or unenforceability of any Collateral Document, or any Loan Party shall fail to comply with any of the terms or provisions of any Collateral Document to which it is a party.</w:t>
      </w:r>
    </w:p>
    <w:p>
      <w:pPr>
        <w:spacing w:after="0" w:line="200" w:lineRule="exact"/>
        <w:rPr>
          <w:sz w:val="20"/>
          <w:szCs w:val="20"/>
          <w:color w:val="auto"/>
        </w:rPr>
      </w:pPr>
    </w:p>
    <w:p>
      <w:pPr>
        <w:spacing w:after="0" w:line="254" w:lineRule="exact"/>
        <w:rPr>
          <w:sz w:val="20"/>
          <w:szCs w:val="20"/>
          <w:color w:val="auto"/>
        </w:rPr>
      </w:pPr>
    </w:p>
    <w:p>
      <w:pPr>
        <w:ind w:left="6660"/>
        <w:spacing w:after="0"/>
        <w:rPr>
          <w:sz w:val="20"/>
          <w:szCs w:val="20"/>
          <w:color w:val="auto"/>
        </w:rPr>
      </w:pPr>
      <w:r>
        <w:rPr>
          <w:rFonts w:ascii="Arial" w:cs="Arial" w:eastAsia="Arial" w:hAnsi="Arial"/>
          <w:sz w:val="22"/>
          <w:szCs w:val="22"/>
          <w:b w:val="1"/>
          <w:bCs w:val="1"/>
          <w:u w:val="single" w:color="auto"/>
          <w:color w:val="auto"/>
        </w:rPr>
        <w:t>ARTICLE VIII</w:t>
      </w:r>
    </w:p>
    <w:p>
      <w:pPr>
        <w:spacing w:after="0" w:line="314"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u w:val="single" w:color="auto"/>
          <w:color w:val="auto"/>
        </w:rPr>
        <w:t>ACCELERATION, WAIVERS, AMENDMENTS AND REMEDIES</w:t>
      </w:r>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00"/>
          </w:cols>
          <w:pgMar w:left="360" w:top="375" w:right="239" w:bottom="1440" w:gutter="0" w:footer="0" w:header="0"/>
        </w:sectPr>
      </w:pPr>
    </w:p>
    <w:bookmarkStart w:id="183" w:name="page184"/>
    <w:bookmarkEnd w:id="183"/>
    <w:p>
      <w:pPr>
        <w:ind w:left="1384"/>
        <w:spacing w:after="0"/>
        <w:tabs>
          <w:tab w:leader="none" w:pos="1864"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u w:val="single" w:color="auto"/>
          <w:color w:val="auto"/>
        </w:rPr>
        <w:t>Acceleration; Remedies</w:t>
      </w:r>
      <w:r>
        <w:rPr>
          <w:rFonts w:ascii="Arial" w:cs="Arial" w:eastAsia="Arial" w:hAnsi="Arial"/>
          <w:sz w:val="19"/>
          <w:szCs w:val="19"/>
          <w:color w:val="auto"/>
        </w:rPr>
        <w:t>.</w:t>
      </w:r>
    </w:p>
    <w:p>
      <w:pPr>
        <w:spacing w:after="0" w:line="220" w:lineRule="exact"/>
        <w:rPr>
          <w:sz w:val="20"/>
          <w:szCs w:val="20"/>
          <w:color w:val="auto"/>
        </w:rPr>
      </w:pPr>
    </w:p>
    <w:p>
      <w:pPr>
        <w:jc w:val="both"/>
        <w:ind w:left="4" w:firstLine="1049"/>
        <w:spacing w:after="0" w:line="287" w:lineRule="auto"/>
        <w:tabs>
          <w:tab w:leader="none" w:pos="1477" w:val="left"/>
        </w:tabs>
        <w:numPr>
          <w:ilvl w:val="1"/>
          <w:numId w:val="112"/>
        </w:numPr>
        <w:rPr>
          <w:rFonts w:ascii="Arial" w:cs="Arial" w:eastAsia="Arial" w:hAnsi="Arial"/>
          <w:sz w:val="19"/>
          <w:szCs w:val="19"/>
          <w:color w:val="auto"/>
        </w:rPr>
      </w:pPr>
      <w:r>
        <w:rPr>
          <w:rFonts w:ascii="Arial" w:cs="Arial" w:eastAsia="Arial" w:hAnsi="Arial"/>
          <w:sz w:val="19"/>
          <w:szCs w:val="19"/>
          <w:color w:val="auto"/>
        </w:rPr>
        <w:t>If any Event of Default described in Section 7.6 or 7.7 occurs with respect to the Borrower, the obligations of the Lenders to make Loans hereunder and the obligation and power of the LC Issuer to issue Facility LCs shall automatically terminate and the Obligations under this Agreement and the other Loan Documents shall immediately become due and payable without any election or action on the part of the Administrative Agent, the LC Issuer or any Lender and the Borrower will be and become thereby unconditionally obligated, without any further notice, act or demand, to pay to the Administrative Agent an amount in immediately available funds, which funds shall be held in the Facility LC Collateral Account, equal to the difference of</w:t>
      </w:r>
    </w:p>
    <w:p>
      <w:pPr>
        <w:spacing w:after="0" w:line="3" w:lineRule="exact"/>
        <w:rPr>
          <w:rFonts w:ascii="Arial" w:cs="Arial" w:eastAsia="Arial" w:hAnsi="Arial"/>
          <w:sz w:val="19"/>
          <w:szCs w:val="19"/>
          <w:color w:val="auto"/>
        </w:rPr>
      </w:pPr>
    </w:p>
    <w:p>
      <w:pPr>
        <w:jc w:val="both"/>
        <w:ind w:left="4" w:hanging="4"/>
        <w:spacing w:after="0" w:line="286" w:lineRule="auto"/>
        <w:tabs>
          <w:tab w:leader="none" w:pos="319"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amount of LC Obligations at such time, less (y) the amount on deposit in the Facility LC Collateral Account at such time which is free and clear of all rights and claims of third parties and has not been applied against the Obligations under this Agreement and the other Loan Documents (such difference, the “Collateral Shortfall Amount”). If any other Event of Default occurs, the Administrative Agent may, and at the request of the Required Lenders shall, (a) terminate or suspend the obligations of the Lenders to make Loans hereunder and the obligation and power of the LC Issuer to issue Facility LCs, or declare the Obligations under this Agreement and the other Loan Documents to be due and payable, or both, whereupon the Obligations under this Agreement and the other Loan Documents shall become immediately due and payable, without presentment, demand, protest or notice of any kind, all of which the Borrower hereby expressly waives, and (b) upon notice to the Borrower and in addition to the continuing right to demand payment of all amounts payable under this Agreement, make demand on the Borrower to pay, and the Borrower will, forthwith upon such demand and without any further notice or act, pay to the Administrative Agent the Collateral Shortfall Amount, which funds shall be deposited in the Facility LC Collateral Account.</w:t>
      </w:r>
    </w:p>
    <w:p>
      <w:pPr>
        <w:spacing w:after="0" w:line="197" w:lineRule="exact"/>
        <w:rPr>
          <w:rFonts w:ascii="Arial" w:cs="Arial" w:eastAsia="Arial" w:hAnsi="Arial"/>
          <w:sz w:val="19"/>
          <w:szCs w:val="19"/>
          <w:color w:val="auto"/>
        </w:rPr>
      </w:pPr>
    </w:p>
    <w:p>
      <w:pPr>
        <w:jc w:val="both"/>
        <w:ind w:left="4" w:firstLine="1049"/>
        <w:spacing w:after="0" w:line="265" w:lineRule="auto"/>
        <w:tabs>
          <w:tab w:leader="none" w:pos="2187" w:val="left"/>
        </w:tabs>
        <w:numPr>
          <w:ilvl w:val="1"/>
          <w:numId w:val="113"/>
        </w:numPr>
        <w:rPr>
          <w:rFonts w:ascii="Arial" w:cs="Arial" w:eastAsia="Arial" w:hAnsi="Arial"/>
          <w:sz w:val="21"/>
          <w:szCs w:val="21"/>
          <w:color w:val="auto"/>
        </w:rPr>
      </w:pPr>
      <w:r>
        <w:rPr>
          <w:rFonts w:ascii="Arial" w:cs="Arial" w:eastAsia="Arial" w:hAnsi="Arial"/>
          <w:sz w:val="21"/>
          <w:szCs w:val="21"/>
          <w:color w:val="auto"/>
        </w:rPr>
        <w:t>If at any time while any Event of Default is continuing, the Administrative Agent determines that the Collateral Shortfall Amount at such time is greater than zero, the Administrative Agent may make demand on the Borrower to pay, and the Borrower will, forthwith upon such demand and without any further notice or act, pay to the Administrative Agent the Collateral Shortfall Amount, which funds shall be deposited in the Facility LC Collateral Account.</w:t>
      </w:r>
    </w:p>
    <w:p>
      <w:pPr>
        <w:spacing w:after="0" w:line="216" w:lineRule="exact"/>
        <w:rPr>
          <w:rFonts w:ascii="Arial" w:cs="Arial" w:eastAsia="Arial" w:hAnsi="Arial"/>
          <w:sz w:val="21"/>
          <w:szCs w:val="21"/>
          <w:color w:val="auto"/>
        </w:rPr>
      </w:pPr>
    </w:p>
    <w:p>
      <w:pPr>
        <w:jc w:val="both"/>
        <w:ind w:left="4" w:firstLine="1049"/>
        <w:spacing w:after="0" w:line="250" w:lineRule="auto"/>
        <w:tabs>
          <w:tab w:leader="none" w:pos="2175" w:val="left"/>
        </w:tabs>
        <w:numPr>
          <w:ilvl w:val="1"/>
          <w:numId w:val="113"/>
        </w:numPr>
        <w:rPr>
          <w:rFonts w:ascii="Arial" w:cs="Arial" w:eastAsia="Arial" w:hAnsi="Arial"/>
          <w:sz w:val="22"/>
          <w:szCs w:val="22"/>
          <w:color w:val="auto"/>
        </w:rPr>
      </w:pPr>
      <w:r>
        <w:rPr>
          <w:rFonts w:ascii="Arial" w:cs="Arial" w:eastAsia="Arial" w:hAnsi="Arial"/>
          <w:sz w:val="22"/>
          <w:szCs w:val="22"/>
          <w:color w:val="auto"/>
        </w:rPr>
        <w:t>The Administrative Agent may at any time or from time to time after funds are deposited in the Facility LC Collateral Account, apply such funds to the payment of the Obligations under this Agreement and the other Loan Documents and any other amounts as shall from time to time have become due and payable by the Borrower to the Lenders or the LC Issuer under the Loan Documents, as provided in Section 8.2.</w:t>
      </w:r>
    </w:p>
    <w:p>
      <w:pPr>
        <w:spacing w:after="0" w:line="228" w:lineRule="exact"/>
        <w:rPr>
          <w:rFonts w:ascii="Arial" w:cs="Arial" w:eastAsia="Arial" w:hAnsi="Arial"/>
          <w:sz w:val="22"/>
          <w:szCs w:val="22"/>
          <w:color w:val="auto"/>
        </w:rPr>
      </w:pPr>
    </w:p>
    <w:p>
      <w:pPr>
        <w:jc w:val="both"/>
        <w:ind w:left="4" w:firstLine="1049"/>
        <w:spacing w:after="0" w:line="297" w:lineRule="auto"/>
        <w:tabs>
          <w:tab w:leader="none" w:pos="2187" w:val="left"/>
        </w:tabs>
        <w:numPr>
          <w:ilvl w:val="1"/>
          <w:numId w:val="113"/>
        </w:numPr>
        <w:rPr>
          <w:rFonts w:ascii="Arial" w:cs="Arial" w:eastAsia="Arial" w:hAnsi="Arial"/>
          <w:sz w:val="19"/>
          <w:szCs w:val="19"/>
          <w:color w:val="auto"/>
        </w:rPr>
      </w:pPr>
      <w:r>
        <w:rPr>
          <w:rFonts w:ascii="Arial" w:cs="Arial" w:eastAsia="Arial" w:hAnsi="Arial"/>
          <w:sz w:val="19"/>
          <w:szCs w:val="19"/>
          <w:color w:val="auto"/>
        </w:rPr>
        <w:t>At any time while any Event of Default is continuing, neither the Borrower nor any Person claiming on behalf of or through the Borrower shall have any right to withdraw any of the funds held in the Facility LC Collateral Account. After all of the Obligations under this Agreement and the other Loan Documents have been indefeasibly paid in full and the Aggregate Revolving Commitment has been terminated, any funds remaining in the Facility LC Collateral Account shall be returned by the Administrative Agent to the Borrower or paid to whomever may be legally entitled thereto at such time.</w:t>
      </w:r>
    </w:p>
    <w:p>
      <w:pPr>
        <w:spacing w:after="0" w:line="200" w:lineRule="exact"/>
        <w:rPr>
          <w:sz w:val="20"/>
          <w:szCs w:val="20"/>
          <w:color w:val="auto"/>
        </w:rPr>
      </w:pPr>
    </w:p>
    <w:p>
      <w:pPr>
        <w:spacing w:after="0" w:line="211"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04"/>
          </w:cols>
          <w:pgMar w:left="356" w:top="564" w:right="239" w:bottom="1440" w:gutter="0" w:footer="0" w:header="0"/>
        </w:sectPr>
      </w:pPr>
    </w:p>
    <w:bookmarkStart w:id="184" w:name="page185"/>
    <w:bookmarkEnd w:id="184"/>
    <w:p>
      <w:pPr>
        <w:jc w:val="both"/>
        <w:ind w:firstLine="1049"/>
        <w:spacing w:after="0" w:line="294" w:lineRule="auto"/>
        <w:tabs>
          <w:tab w:leader="none" w:pos="2171" w:val="left"/>
        </w:tabs>
        <w:numPr>
          <w:ilvl w:val="0"/>
          <w:numId w:val="114"/>
        </w:numPr>
        <w:rPr>
          <w:rFonts w:ascii="Arial" w:cs="Arial" w:eastAsia="Arial" w:hAnsi="Arial"/>
          <w:sz w:val="19"/>
          <w:szCs w:val="19"/>
          <w:color w:val="auto"/>
        </w:rPr>
      </w:pPr>
      <w:r>
        <w:rPr>
          <w:rFonts w:ascii="Arial" w:cs="Arial" w:eastAsia="Arial" w:hAnsi="Arial"/>
          <w:sz w:val="19"/>
          <w:szCs w:val="19"/>
          <w:color w:val="auto"/>
        </w:rPr>
        <w:t>If, within thirty (30) days after acceleration of the maturity of the Obligations under this Agreement and the other Loan Documents or termination of the obligations of the Lenders to make Loans and the obligation and power of the LC Issuer to issue Facility LCs hereunder as a result of any Event of Default (other than any Event of Default as described in Section 7.6 or 7.7 with respect to the Borrower) and before any judgment or decree for the payment of the Obligations due under this Agreement and the other Loan Documents shall have been obtained or entered, the Required Lenders (in their sole discretion) shall so direct, the Administrative Agent shall, by notice to the Borrower, rescind and annul such acceleration and/or termination.</w:t>
      </w:r>
    </w:p>
    <w:p>
      <w:pPr>
        <w:spacing w:after="0" w:line="190" w:lineRule="exact"/>
        <w:rPr>
          <w:rFonts w:ascii="Arial" w:cs="Arial" w:eastAsia="Arial" w:hAnsi="Arial"/>
          <w:sz w:val="19"/>
          <w:szCs w:val="19"/>
          <w:color w:val="auto"/>
        </w:rPr>
      </w:pPr>
    </w:p>
    <w:p>
      <w:pPr>
        <w:jc w:val="both"/>
        <w:ind w:firstLine="1049"/>
        <w:spacing w:after="0" w:line="253" w:lineRule="auto"/>
        <w:tabs>
          <w:tab w:leader="none" w:pos="2147" w:val="left"/>
        </w:tabs>
        <w:numPr>
          <w:ilvl w:val="0"/>
          <w:numId w:val="114"/>
        </w:numPr>
        <w:rPr>
          <w:rFonts w:ascii="Arial" w:cs="Arial" w:eastAsia="Arial" w:hAnsi="Arial"/>
          <w:sz w:val="22"/>
          <w:szCs w:val="22"/>
          <w:color w:val="auto"/>
        </w:rPr>
      </w:pPr>
      <w:r>
        <w:rPr>
          <w:rFonts w:ascii="Arial" w:cs="Arial" w:eastAsia="Arial" w:hAnsi="Arial"/>
          <w:sz w:val="22"/>
          <w:szCs w:val="22"/>
          <w:color w:val="auto"/>
        </w:rPr>
        <w:t>Upon the occurrence and during the continuation of any Event of Default, the Administrative Agent may, and at the request of the Required Lenders shall, exercise all rights and remedies under the Loan Documents and enforce all other rights and remedies under applicable law.</w:t>
      </w:r>
    </w:p>
    <w:p>
      <w:pPr>
        <w:spacing w:after="0" w:line="226" w:lineRule="exact"/>
        <w:rPr>
          <w:sz w:val="20"/>
          <w:szCs w:val="20"/>
          <w:color w:val="auto"/>
        </w:rPr>
      </w:pPr>
    </w:p>
    <w:p>
      <w:pPr>
        <w:jc w:val="both"/>
        <w:ind w:firstLine="1378"/>
        <w:spacing w:after="0" w:line="254"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Application of Funds</w:t>
      </w:r>
      <w:r>
        <w:rPr>
          <w:rFonts w:ascii="Arial" w:cs="Arial" w:eastAsia="Arial" w:hAnsi="Arial"/>
          <w:sz w:val="22"/>
          <w:szCs w:val="22"/>
          <w:color w:val="auto"/>
        </w:rPr>
        <w:t>. After the exercise of remedies provided for in Section 8.1 (or after the Obligations under this Agreement and the other Loan Documents have automatically become immediately due and payable as set forth in the first sentence of Section 8.1(a)), any amounts received by the Administrative Agent on account of the Obligations shall be applied by the Administrative Agent in the following order:</w:t>
      </w:r>
    </w:p>
    <w:p>
      <w:pPr>
        <w:spacing w:after="0" w:line="200" w:lineRule="exact"/>
        <w:rPr>
          <w:sz w:val="20"/>
          <w:szCs w:val="20"/>
          <w:color w:val="auto"/>
        </w:rPr>
      </w:pPr>
    </w:p>
    <w:p>
      <w:pPr>
        <w:spacing w:after="0" w:line="255" w:lineRule="exact"/>
        <w:rPr>
          <w:sz w:val="20"/>
          <w:szCs w:val="20"/>
          <w:color w:val="auto"/>
        </w:rPr>
      </w:pPr>
    </w:p>
    <w:p>
      <w:pPr>
        <w:jc w:val="both"/>
        <w:ind w:firstLine="1049"/>
        <w:spacing w:after="0" w:line="253" w:lineRule="auto"/>
        <w:tabs>
          <w:tab w:leader="none" w:pos="2171" w:val="left"/>
        </w:tabs>
        <w:numPr>
          <w:ilvl w:val="0"/>
          <w:numId w:val="115"/>
        </w:numPr>
        <w:rPr>
          <w:rFonts w:ascii="Arial" w:cs="Arial" w:eastAsia="Arial" w:hAnsi="Arial"/>
          <w:sz w:val="22"/>
          <w:szCs w:val="22"/>
          <w:color w:val="auto"/>
        </w:rPr>
      </w:pPr>
      <w:r>
        <w:rPr>
          <w:rFonts w:ascii="Arial" w:cs="Arial" w:eastAsia="Arial" w:hAnsi="Arial"/>
          <w:sz w:val="22"/>
          <w:szCs w:val="22"/>
          <w:color w:val="auto"/>
        </w:rPr>
        <w:t>First, to payment of fees, indemnities, expenses and other amounts (including fees, charges and disbursements of counsel to the Administrative Agent and amounts payable under Article III) payable to the Administrative Agent in its capacity as such;</w:t>
      </w:r>
    </w:p>
    <w:p>
      <w:pPr>
        <w:spacing w:after="0" w:line="226" w:lineRule="exact"/>
        <w:rPr>
          <w:rFonts w:ascii="Arial" w:cs="Arial" w:eastAsia="Arial" w:hAnsi="Arial"/>
          <w:sz w:val="22"/>
          <w:szCs w:val="22"/>
          <w:color w:val="auto"/>
        </w:rPr>
      </w:pPr>
    </w:p>
    <w:p>
      <w:pPr>
        <w:jc w:val="both"/>
        <w:ind w:firstLine="1049"/>
        <w:spacing w:after="0" w:line="271" w:lineRule="auto"/>
        <w:tabs>
          <w:tab w:leader="none" w:pos="2183" w:val="left"/>
        </w:tabs>
        <w:numPr>
          <w:ilvl w:val="0"/>
          <w:numId w:val="115"/>
        </w:numPr>
        <w:rPr>
          <w:rFonts w:ascii="Arial" w:cs="Arial" w:eastAsia="Arial" w:hAnsi="Arial"/>
          <w:sz w:val="21"/>
          <w:szCs w:val="21"/>
          <w:color w:val="auto"/>
        </w:rPr>
      </w:pPr>
      <w:r>
        <w:rPr>
          <w:rFonts w:ascii="Arial" w:cs="Arial" w:eastAsia="Arial" w:hAnsi="Arial"/>
          <w:sz w:val="21"/>
          <w:szCs w:val="21"/>
          <w:color w:val="auto"/>
        </w:rPr>
        <w:t>second, to payment of fees, indemnities and other reimbursable expenses (other than principal, interest, and LC Fees) payable to the Lenders and the LC Issuer (including fees, charges and disbursements of counsel to the respective Lenders and the LC Issuer as required by Section 9.6 and amounts payable under Article III);</w:t>
      </w:r>
    </w:p>
    <w:p>
      <w:pPr>
        <w:spacing w:after="0" w:line="208" w:lineRule="exact"/>
        <w:rPr>
          <w:rFonts w:ascii="Arial" w:cs="Arial" w:eastAsia="Arial" w:hAnsi="Arial"/>
          <w:sz w:val="21"/>
          <w:szCs w:val="21"/>
          <w:color w:val="auto"/>
        </w:rPr>
      </w:pPr>
    </w:p>
    <w:p>
      <w:pPr>
        <w:jc w:val="both"/>
        <w:ind w:firstLine="1049"/>
        <w:spacing w:after="0" w:line="253" w:lineRule="auto"/>
        <w:tabs>
          <w:tab w:leader="none" w:pos="2171"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third, to payment of accrued and unpaid LC Fees and interest on the Loans and Reimbursement Obligations, ratably among the Lenders and the LC Issuer in respect of the respective amounts described in this Section 8.2(c) payable to them;</w:t>
      </w:r>
    </w:p>
    <w:p>
      <w:pPr>
        <w:spacing w:after="0" w:line="226" w:lineRule="exact"/>
        <w:rPr>
          <w:rFonts w:ascii="Arial" w:cs="Arial" w:eastAsia="Arial" w:hAnsi="Arial"/>
          <w:sz w:val="22"/>
          <w:szCs w:val="22"/>
          <w:color w:val="auto"/>
        </w:rPr>
      </w:pPr>
    </w:p>
    <w:p>
      <w:pPr>
        <w:ind w:right="20" w:firstLine="1049"/>
        <w:spacing w:after="0" w:line="263" w:lineRule="auto"/>
        <w:tabs>
          <w:tab w:leader="none" w:pos="2183" w:val="left"/>
        </w:tabs>
        <w:numPr>
          <w:ilvl w:val="0"/>
          <w:numId w:val="115"/>
        </w:numPr>
        <w:rPr>
          <w:rFonts w:ascii="Arial" w:cs="Arial" w:eastAsia="Arial" w:hAnsi="Arial"/>
          <w:sz w:val="22"/>
          <w:szCs w:val="22"/>
          <w:color w:val="auto"/>
        </w:rPr>
      </w:pPr>
      <w:r>
        <w:rPr>
          <w:rFonts w:ascii="Arial" w:cs="Arial" w:eastAsia="Arial" w:hAnsi="Arial"/>
          <w:sz w:val="22"/>
          <w:szCs w:val="22"/>
          <w:color w:val="auto"/>
        </w:rPr>
        <w:t>fourth, to payment of all Obligations ratably among the Lenders, the LC Issuer and any Affiliate of any of the foregoing, including with respect to Lender-Provided Swaps and Cash Management Services;</w:t>
      </w:r>
    </w:p>
    <w:p>
      <w:pPr>
        <w:spacing w:after="0" w:line="215" w:lineRule="exact"/>
        <w:rPr>
          <w:rFonts w:ascii="Arial" w:cs="Arial" w:eastAsia="Arial" w:hAnsi="Arial"/>
          <w:sz w:val="22"/>
          <w:szCs w:val="22"/>
          <w:color w:val="auto"/>
        </w:rPr>
      </w:pPr>
    </w:p>
    <w:p>
      <w:pPr>
        <w:ind w:firstLine="1049"/>
        <w:spacing w:after="0" w:line="263" w:lineRule="auto"/>
        <w:tabs>
          <w:tab w:leader="none" w:pos="2171" w:val="left"/>
        </w:tabs>
        <w:numPr>
          <w:ilvl w:val="0"/>
          <w:numId w:val="115"/>
        </w:numPr>
        <w:rPr>
          <w:rFonts w:ascii="Arial" w:cs="Arial" w:eastAsia="Arial" w:hAnsi="Arial"/>
          <w:sz w:val="22"/>
          <w:szCs w:val="22"/>
          <w:color w:val="auto"/>
        </w:rPr>
      </w:pPr>
      <w:r>
        <w:rPr>
          <w:rFonts w:ascii="Arial" w:cs="Arial" w:eastAsia="Arial" w:hAnsi="Arial"/>
          <w:sz w:val="22"/>
          <w:szCs w:val="22"/>
          <w:color w:val="auto"/>
        </w:rPr>
        <w:t>fifth, to the Administrative Agent for deposit to the Facility LC Collateral Account in an amount equal to the Collateral Shortfall Amount (as defined in Section 8.1(a)), if any; and</w:t>
      </w:r>
    </w:p>
    <w:p>
      <w:pPr>
        <w:spacing w:after="0" w:line="215" w:lineRule="exact"/>
        <w:rPr>
          <w:rFonts w:ascii="Arial" w:cs="Arial" w:eastAsia="Arial" w:hAnsi="Arial"/>
          <w:sz w:val="22"/>
          <w:szCs w:val="22"/>
          <w:color w:val="auto"/>
        </w:rPr>
      </w:pPr>
    </w:p>
    <w:p>
      <w:pPr>
        <w:ind w:left="1920" w:hanging="871"/>
        <w:spacing w:after="0"/>
        <w:tabs>
          <w:tab w:leader="none" w:pos="192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last, the balance, if any, to the Borrower or as otherwise required by law;</w:t>
      </w:r>
    </w:p>
    <w:p>
      <w:pPr>
        <w:spacing w:after="0" w:line="260" w:lineRule="exact"/>
        <w:rPr>
          <w:sz w:val="20"/>
          <w:szCs w:val="20"/>
          <w:color w:val="auto"/>
        </w:rPr>
      </w:pPr>
    </w:p>
    <w:p>
      <w:pPr>
        <w:spacing w:after="0" w:line="263" w:lineRule="auto"/>
        <w:rPr>
          <w:sz w:val="20"/>
          <w:szCs w:val="20"/>
          <w:color w:val="auto"/>
        </w:rPr>
      </w:pP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however</w:t>
      </w:r>
      <w:r>
        <w:rPr>
          <w:rFonts w:ascii="Arial" w:cs="Arial" w:eastAsia="Arial" w:hAnsi="Arial"/>
          <w:sz w:val="22"/>
          <w:szCs w:val="22"/>
          <w:color w:val="auto"/>
        </w:rPr>
        <w:t>, that, notwithstanding anything to the contrary set forth above, Excluded Swap Obligations with respect to any</w:t>
      </w:r>
      <w:r>
        <w:rPr>
          <w:rFonts w:ascii="Arial" w:cs="Arial" w:eastAsia="Arial" w:hAnsi="Arial"/>
          <w:sz w:val="22"/>
          <w:szCs w:val="22"/>
          <w:i w:val="1"/>
          <w:iCs w:val="1"/>
          <w:color w:val="auto"/>
        </w:rPr>
        <w:t xml:space="preserve"> </w:t>
      </w:r>
      <w:r>
        <w:rPr>
          <w:rFonts w:ascii="Arial" w:cs="Arial" w:eastAsia="Arial" w:hAnsi="Arial"/>
          <w:sz w:val="22"/>
          <w:szCs w:val="22"/>
          <w:color w:val="auto"/>
        </w:rPr>
        <w:t>Guarantor shall not be paid with amounts received from such</w:t>
      </w:r>
    </w:p>
    <w:p>
      <w:pPr>
        <w:spacing w:after="0" w:line="18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00"/>
          </w:cols>
          <w:pgMar w:left="360" w:top="375" w:right="239" w:bottom="1440" w:gutter="0" w:footer="0" w:header="0"/>
        </w:sectPr>
      </w:pPr>
    </w:p>
    <w:bookmarkStart w:id="185" w:name="page186"/>
    <w:bookmarkEnd w:id="185"/>
    <w:p>
      <w:pPr>
        <w:jc w:val="both"/>
        <w:spacing w:after="0" w:line="263" w:lineRule="auto"/>
        <w:rPr>
          <w:sz w:val="20"/>
          <w:szCs w:val="20"/>
          <w:color w:val="auto"/>
        </w:rPr>
      </w:pPr>
      <w:r>
        <w:rPr>
          <w:rFonts w:ascii="Arial" w:cs="Arial" w:eastAsia="Arial" w:hAnsi="Arial"/>
          <w:sz w:val="22"/>
          <w:szCs w:val="22"/>
          <w:color w:val="auto"/>
        </w:rPr>
        <w:t>Guarantor or its assets, but appropriate adjustments shall be made with respect to payments from other Loan Parties to preserve the allocation to Obligations otherwise set forth above in this Section 8.2.</w:t>
      </w:r>
    </w:p>
    <w:p>
      <w:pPr>
        <w:spacing w:after="0" w:line="215" w:lineRule="exact"/>
        <w:rPr>
          <w:sz w:val="20"/>
          <w:szCs w:val="20"/>
          <w:color w:val="auto"/>
        </w:rPr>
      </w:pPr>
    </w:p>
    <w:p>
      <w:pPr>
        <w:jc w:val="both"/>
        <w:ind w:firstLine="1378"/>
        <w:spacing w:after="0" w:line="266" w:lineRule="auto"/>
        <w:rPr>
          <w:sz w:val="20"/>
          <w:szCs w:val="20"/>
          <w:color w:val="auto"/>
        </w:rPr>
      </w:pPr>
      <w:r>
        <w:rPr>
          <w:rFonts w:ascii="Arial" w:cs="Arial" w:eastAsia="Arial" w:hAnsi="Arial"/>
          <w:sz w:val="21"/>
          <w:szCs w:val="21"/>
          <w:color w:val="auto"/>
        </w:rPr>
        <w:t xml:space="preserve">8.3. </w:t>
      </w:r>
      <w:r>
        <w:rPr>
          <w:rFonts w:ascii="Arial" w:cs="Arial" w:eastAsia="Arial" w:hAnsi="Arial"/>
          <w:sz w:val="21"/>
          <w:szCs w:val="21"/>
          <w:u w:val="single" w:color="auto"/>
          <w:color w:val="auto"/>
        </w:rPr>
        <w:t>Amendments</w:t>
      </w:r>
      <w:r>
        <w:rPr>
          <w:rFonts w:ascii="Arial" w:cs="Arial" w:eastAsia="Arial" w:hAnsi="Arial"/>
          <w:sz w:val="21"/>
          <w:szCs w:val="21"/>
          <w:color w:val="auto"/>
        </w:rPr>
        <w:t xml:space="preserve">. Subject to the provisions of this Section 8.3, the Required Lenders (or the Administrative Agent with the consent in writing of the Required Lenders) and the Borrower may enter into agreements supplemental hereto for the purpose of adding or modifying any provisions to this Agreement or the Security Agreement or changing in any manner the rights of the Lenders or the Borrower hereunder or thereunder or waiving any Default or Event of Default hereunder;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no such supplemental agreement shall:</w:t>
      </w:r>
    </w:p>
    <w:p>
      <w:pPr>
        <w:spacing w:after="0" w:line="215" w:lineRule="exact"/>
        <w:rPr>
          <w:sz w:val="20"/>
          <w:szCs w:val="20"/>
          <w:color w:val="auto"/>
        </w:rPr>
      </w:pPr>
    </w:p>
    <w:p>
      <w:pPr>
        <w:jc w:val="both"/>
        <w:ind w:firstLine="1049"/>
        <w:spacing w:after="0" w:line="297" w:lineRule="auto"/>
        <w:tabs>
          <w:tab w:leader="none" w:pos="2171" w:val="left"/>
        </w:tabs>
        <w:numPr>
          <w:ilvl w:val="0"/>
          <w:numId w:val="116"/>
        </w:numPr>
        <w:rPr>
          <w:rFonts w:ascii="Arial" w:cs="Arial" w:eastAsia="Arial" w:hAnsi="Arial"/>
          <w:sz w:val="19"/>
          <w:szCs w:val="19"/>
          <w:color w:val="auto"/>
        </w:rPr>
      </w:pPr>
      <w:r>
        <w:rPr>
          <w:rFonts w:ascii="Arial" w:cs="Arial" w:eastAsia="Arial" w:hAnsi="Arial"/>
          <w:sz w:val="19"/>
          <w:szCs w:val="19"/>
          <w:color w:val="auto"/>
        </w:rPr>
        <w:t>without the consent of each Lender directly affected thereby, extend the final maturity of any Loan, or extend the expiry date of any Facility LC to a date after the Facility Termination Date or postpone any regularly scheduled payment of principal of any Loan or forgive all or any portion of the principal amount thereof or any Reimbursement Obligation related thereto, or reduce the rate or extend the time of payment of interest or fees thereon or Reimbursement Obligations related thereto or extend or increase the amount of the Revolving Commitment of such Lender hereunder.</w:t>
      </w:r>
    </w:p>
    <w:p>
      <w:pPr>
        <w:spacing w:after="0" w:line="228" w:lineRule="exact"/>
        <w:rPr>
          <w:rFonts w:ascii="Arial" w:cs="Arial" w:eastAsia="Arial" w:hAnsi="Arial"/>
          <w:sz w:val="19"/>
          <w:szCs w:val="19"/>
          <w:color w:val="auto"/>
        </w:rPr>
      </w:pPr>
    </w:p>
    <w:p>
      <w:pPr>
        <w:jc w:val="both"/>
        <w:ind w:firstLine="1049"/>
        <w:spacing w:after="0" w:line="250" w:lineRule="auto"/>
        <w:tabs>
          <w:tab w:leader="none" w:pos="2183"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without the consent of all of the Lenders, reduce the percentage specified in the definition of Required Lenders, make any Loans in any currency other than Dollars, or otherwise change the definition of Required Lenders or any other provision specifying the number or percentage of Lenders required to amend, waive or otherwise modify any rights hereunder or make any determination or grant any consent hereunder.</w:t>
      </w:r>
    </w:p>
    <w:p>
      <w:pPr>
        <w:spacing w:after="0" w:line="228" w:lineRule="exact"/>
        <w:rPr>
          <w:rFonts w:ascii="Arial" w:cs="Arial" w:eastAsia="Arial" w:hAnsi="Arial"/>
          <w:sz w:val="22"/>
          <w:szCs w:val="22"/>
          <w:color w:val="auto"/>
        </w:rPr>
      </w:pPr>
    </w:p>
    <w:p>
      <w:pPr>
        <w:ind w:left="1920" w:hanging="871"/>
        <w:spacing w:after="0"/>
        <w:tabs>
          <w:tab w:leader="none" w:pos="192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without the consent of all of the Lenders, amend Section 8.2, this Section</w:t>
      </w:r>
    </w:p>
    <w:p>
      <w:pPr>
        <w:spacing w:after="0" w:line="22"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8.3 or Section 11.2; provided, that the foregoing limitation in respect of Section 11.2 shall not prohibit each Lender directly affected thereby from consenting to the extension of the final maturity date of its Loans or expiry date of its Facility LCs beyond the Facility Termination Date as contemplated by Section 8.3(a) above.</w:t>
      </w:r>
    </w:p>
    <w:p>
      <w:pPr>
        <w:spacing w:after="0" w:line="234" w:lineRule="exact"/>
        <w:rPr>
          <w:sz w:val="20"/>
          <w:szCs w:val="20"/>
          <w:color w:val="auto"/>
        </w:rPr>
      </w:pPr>
    </w:p>
    <w:p>
      <w:pPr>
        <w:ind w:firstLine="1049"/>
        <w:spacing w:after="0" w:line="263" w:lineRule="auto"/>
        <w:tabs>
          <w:tab w:leader="none" w:pos="2183" w:val="left"/>
        </w:tabs>
        <w:numPr>
          <w:ilvl w:val="0"/>
          <w:numId w:val="117"/>
        </w:numPr>
        <w:rPr>
          <w:rFonts w:ascii="Arial" w:cs="Arial" w:eastAsia="Arial" w:hAnsi="Arial"/>
          <w:sz w:val="22"/>
          <w:szCs w:val="22"/>
          <w:color w:val="auto"/>
        </w:rPr>
      </w:pPr>
      <w:r>
        <w:rPr>
          <w:rFonts w:ascii="Arial" w:cs="Arial" w:eastAsia="Arial" w:hAnsi="Arial"/>
          <w:sz w:val="22"/>
          <w:szCs w:val="22"/>
          <w:color w:val="auto"/>
        </w:rPr>
        <w:t>without the consent of all of the Lenders, release all or substantially any Guarantor of the Obligations or, except as otherwise provided in Section 10.17, release all or substantially all of the Collateral.</w:t>
      </w:r>
    </w:p>
    <w:p>
      <w:pPr>
        <w:spacing w:after="0" w:line="215"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No amendment of any provision of this Agreement relating to the Administrative Agent shall be effective without the written consent of the Administrative Agent, and no amendment of any provision relating to the LC Issuer shall be effective without the written consent of the LC Issuer. No amendment to any provision of this Agreement relating to the Swing Line Lender or any Swing Line Loans shall be effective without the written consent of the Swing Line Lender. The Administrative Agent may waive payment of the fee required under Section 12.3(c) without obtaining the consent of any other party to this Agreement. Notwithstanding anything to the contrary herein, the Administrative Agent may, with the consent of the Borrower only, amend, modify or supplement this Agreement or any of the other Loan Documents to cure any ambiguity, omission, mistake, defect or inconsistency of a technical or immaterial nature, as determined in good faith by the Administrative Agent.</w:t>
      </w:r>
    </w:p>
    <w:p>
      <w:pPr>
        <w:spacing w:after="0" w:line="16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00"/>
          </w:cols>
          <w:pgMar w:left="360" w:top="375" w:right="239" w:bottom="1440" w:gutter="0" w:footer="0" w:header="0"/>
        </w:sectPr>
      </w:pPr>
    </w:p>
    <w:bookmarkStart w:id="186" w:name="page187"/>
    <w:bookmarkEnd w:id="186"/>
    <w:p>
      <w:pPr>
        <w:jc w:val="both"/>
        <w:ind w:firstLine="1378"/>
        <w:spacing w:after="0" w:line="291" w:lineRule="auto"/>
        <w:rPr>
          <w:sz w:val="20"/>
          <w:szCs w:val="20"/>
          <w:color w:val="auto"/>
        </w:rPr>
      </w:pPr>
      <w:r>
        <w:rPr>
          <w:rFonts w:ascii="Arial" w:cs="Arial" w:eastAsia="Arial" w:hAnsi="Arial"/>
          <w:sz w:val="19"/>
          <w:szCs w:val="19"/>
          <w:color w:val="auto"/>
        </w:rPr>
        <w:t xml:space="preserve">8.4. </w:t>
      </w:r>
      <w:r>
        <w:rPr>
          <w:rFonts w:ascii="Arial" w:cs="Arial" w:eastAsia="Arial" w:hAnsi="Arial"/>
          <w:sz w:val="19"/>
          <w:szCs w:val="19"/>
          <w:u w:val="single" w:color="auto"/>
          <w:color w:val="auto"/>
        </w:rPr>
        <w:t>Preservation of Rights</w:t>
      </w:r>
      <w:r>
        <w:rPr>
          <w:rFonts w:ascii="Arial" w:cs="Arial" w:eastAsia="Arial" w:hAnsi="Arial"/>
          <w:sz w:val="19"/>
          <w:szCs w:val="19"/>
          <w:color w:val="auto"/>
        </w:rPr>
        <w:t>. No delay or omission of the Lenders, the LC Issuer or the Administrative Agent to exercise any right under the Loan Documents shall impair such right or be construed to be a waiver of any Event of Default or an acquiescence therein, and the making of a Credit Extension notwithstanding the existence of an Event of Default or the inability of the Borrower to satisfy the conditions precedent to such Credit Extension shall not constitute any waiver or acquiescence. Any single or partial exercise of any such right shall not preclude other or further exercise thereof or the exercise of any other right, and no waiver, amendment or other variation of the terms, conditions or provisions of the Loan Documents whatsoever shall be valid unless in writing signed by the Lenders required pursuant to Section 8.3, and then only to the extent in such writing specifically set forth. All remedies contained in the Loan Documents or by law afforded shall be cumulative and all shall be available to the Administrative Agent, the LC Issuer and the Lenders until the Obligations have been paid in full.</w:t>
      </w:r>
    </w:p>
    <w:p>
      <w:pPr>
        <w:spacing w:after="0" w:line="200" w:lineRule="exact"/>
        <w:rPr>
          <w:sz w:val="20"/>
          <w:szCs w:val="20"/>
          <w:color w:val="auto"/>
        </w:rPr>
      </w:pPr>
    </w:p>
    <w:p>
      <w:pPr>
        <w:spacing w:after="0" w:line="340" w:lineRule="exact"/>
        <w:rPr>
          <w:sz w:val="20"/>
          <w:szCs w:val="20"/>
          <w:color w:val="auto"/>
        </w:rPr>
      </w:pPr>
    </w:p>
    <w:p>
      <w:pPr>
        <w:ind w:left="3560"/>
        <w:spacing w:after="0"/>
        <w:rPr>
          <w:sz w:val="20"/>
          <w:szCs w:val="20"/>
          <w:color w:val="auto"/>
        </w:rPr>
      </w:pPr>
      <w:r>
        <w:rPr>
          <w:rFonts w:ascii="Arial" w:cs="Arial" w:eastAsia="Arial" w:hAnsi="Arial"/>
          <w:sz w:val="22"/>
          <w:szCs w:val="22"/>
          <w:b w:val="1"/>
          <w:bCs w:val="1"/>
          <w:u w:val="single" w:color="auto"/>
          <w:color w:val="auto"/>
        </w:rPr>
        <w:t>ARTICLE IX GENERAL PROVISIONS</w:t>
      </w:r>
    </w:p>
    <w:p>
      <w:pPr>
        <w:spacing w:after="0" w:line="145" w:lineRule="exact"/>
        <w:rPr>
          <w:sz w:val="20"/>
          <w:szCs w:val="20"/>
          <w:color w:val="auto"/>
        </w:rPr>
      </w:pPr>
    </w:p>
    <w:p>
      <w:pPr>
        <w:ind w:left="1380"/>
        <w:spacing w:after="0"/>
        <w:tabs>
          <w:tab w:leader="none" w:pos="1860" w:val="left"/>
          <w:tab w:leader="none" w:pos="452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22"/>
          <w:szCs w:val="22"/>
          <w:u w:val="single" w:color="auto"/>
          <w:color w:val="auto"/>
        </w:rPr>
        <w:t>Survival of Representations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All representations and warranties of the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Borrower contained in this Agreement shall survive the making of the Credit Extensions herein contemplated.</w:t>
      </w:r>
    </w:p>
    <w:p>
      <w:pPr>
        <w:spacing w:after="0" w:line="391" w:lineRule="exact"/>
        <w:rPr>
          <w:sz w:val="20"/>
          <w:szCs w:val="20"/>
          <w:color w:val="auto"/>
        </w:rPr>
      </w:pPr>
    </w:p>
    <w:p>
      <w:pPr>
        <w:jc w:val="both"/>
        <w:ind w:right="20" w:firstLine="1378"/>
        <w:spacing w:after="0" w:line="260"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Governmental Regulation</w:t>
      </w:r>
      <w:r>
        <w:rPr>
          <w:rFonts w:ascii="Arial" w:cs="Arial" w:eastAsia="Arial" w:hAnsi="Arial"/>
          <w:sz w:val="22"/>
          <w:szCs w:val="22"/>
          <w:color w:val="auto"/>
        </w:rPr>
        <w:t>. Anything contained in this Agreement to the contrary notwithstanding, neither the LC Issuer nor any Lender shall be obligated to extend credit to the Borrower in violation of any limitation or prohibition provided by any applicable statute or regulation.</w:t>
      </w:r>
    </w:p>
    <w:p>
      <w:pPr>
        <w:spacing w:after="0" w:line="218" w:lineRule="exact"/>
        <w:rPr>
          <w:sz w:val="20"/>
          <w:szCs w:val="20"/>
          <w:color w:val="auto"/>
        </w:rPr>
      </w:pPr>
    </w:p>
    <w:p>
      <w:pPr>
        <w:jc w:val="both"/>
        <w:ind w:firstLine="1378"/>
        <w:spacing w:after="0" w:line="276"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Headings</w:t>
      </w:r>
      <w:r>
        <w:rPr>
          <w:rFonts w:ascii="Arial" w:cs="Arial" w:eastAsia="Arial" w:hAnsi="Arial"/>
          <w:sz w:val="22"/>
          <w:szCs w:val="22"/>
          <w:color w:val="auto"/>
        </w:rPr>
        <w:t>. Section headings in the Loan Documents are for convenience of reference only, and shall not govern the interpretation of any of the provisions of the Loan Documents.</w:t>
      </w:r>
    </w:p>
    <w:p>
      <w:pPr>
        <w:spacing w:after="0" w:line="201" w:lineRule="exact"/>
        <w:rPr>
          <w:sz w:val="20"/>
          <w:szCs w:val="20"/>
          <w:color w:val="auto"/>
        </w:rPr>
      </w:pPr>
    </w:p>
    <w:p>
      <w:pPr>
        <w:jc w:val="both"/>
        <w:ind w:firstLine="1378"/>
        <w:spacing w:after="0" w:line="307"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u w:val="single" w:color="auto"/>
          <w:color w:val="auto"/>
        </w:rPr>
        <w:t>Entire Agreement</w:t>
      </w:r>
      <w:r>
        <w:rPr>
          <w:rFonts w:ascii="Arial" w:cs="Arial" w:eastAsia="Arial" w:hAnsi="Arial"/>
          <w:sz w:val="19"/>
          <w:szCs w:val="19"/>
          <w:color w:val="auto"/>
        </w:rPr>
        <w:t>. The Loan Documents embody the entire agreement and understanding among the Borrower, the Administrative Agent, the LC Issuer and the Lenders and supersede all prior agreements and understandings among the Borrower, the Administrative Agent, the LC Issuer and the Lenders relating to the subject matter thereof other than those contained in the Fee Letter, which shall survive and remain in full force and effect during the term of this Agreement.</w:t>
      </w:r>
    </w:p>
    <w:p>
      <w:pPr>
        <w:spacing w:after="0" w:line="179" w:lineRule="exact"/>
        <w:rPr>
          <w:sz w:val="20"/>
          <w:szCs w:val="20"/>
          <w:color w:val="auto"/>
        </w:rPr>
      </w:pPr>
    </w:p>
    <w:p>
      <w:pPr>
        <w:jc w:val="both"/>
        <w:ind w:firstLine="1378"/>
        <w:spacing w:after="0" w:line="300"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u w:val="single" w:color="auto"/>
          <w:color w:val="auto"/>
        </w:rPr>
        <w:t>Several Obligations; Benefits of this Agreement</w:t>
      </w:r>
      <w:r>
        <w:rPr>
          <w:rFonts w:ascii="Arial" w:cs="Arial" w:eastAsia="Arial" w:hAnsi="Arial"/>
          <w:sz w:val="19"/>
          <w:szCs w:val="19"/>
          <w:color w:val="auto"/>
        </w:rPr>
        <w:t>. The respective obligations of the Lenders hereunder are several and not joint and no Lender shall be the partner or agent of any other (except to the extent to which the Administrative Agent is authorized to act as such). The failure of any Lender to perform any of its obligations hereunder shall not relieve any other Lender from any of its obligations hereunder. This Agreement shall not be construed so as to confer any right or benefit upon any Person other than the parties to this Agreement and their respective successors and assigns.</w:t>
      </w:r>
    </w:p>
    <w:p>
      <w:pPr>
        <w:spacing w:after="0" w:line="15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00"/>
          </w:cols>
          <w:pgMar w:left="360" w:top="483" w:right="239" w:bottom="1440" w:gutter="0" w:footer="0" w:header="0"/>
        </w:sectPr>
      </w:pPr>
    </w:p>
    <w:bookmarkStart w:id="187" w:name="page188"/>
    <w:bookmarkEnd w:id="187"/>
    <w:p>
      <w:pPr>
        <w:ind w:left="1380"/>
        <w:spacing w:after="0"/>
        <w:tabs>
          <w:tab w:leader="none" w:pos="190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19"/>
          <w:szCs w:val="19"/>
          <w:u w:val="single" w:color="auto"/>
          <w:color w:val="auto"/>
        </w:rPr>
        <w:t>Expenses; Indemnification</w:t>
      </w:r>
      <w:r>
        <w:rPr>
          <w:rFonts w:ascii="Arial" w:cs="Arial" w:eastAsia="Arial" w:hAnsi="Arial"/>
          <w:sz w:val="19"/>
          <w:szCs w:val="19"/>
          <w:color w:val="auto"/>
        </w:rPr>
        <w:t>.</w:t>
      </w:r>
    </w:p>
    <w:p>
      <w:pPr>
        <w:spacing w:after="0" w:line="206" w:lineRule="exact"/>
        <w:rPr>
          <w:sz w:val="20"/>
          <w:szCs w:val="20"/>
          <w:color w:val="auto"/>
        </w:rPr>
      </w:pPr>
    </w:p>
    <w:p>
      <w:pPr>
        <w:jc w:val="both"/>
        <w:ind w:firstLine="1049"/>
        <w:spacing w:after="0" w:line="284" w:lineRule="auto"/>
        <w:tabs>
          <w:tab w:leader="none" w:pos="2171"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 Borrower shall reimburse the Administrative Agent and the Arranger upon demand for all reasonable, necessary and actual out-of-pocket expenses paid by the Administrative Agent or the Arranger, including, without limitation, filing and recording costs and fees, costs of any environmental review, consultants’ fees and travel expenses, and fees, charges and disbursements of outside counsel to the Administrative Agent and the Arranger, and/or the allocated costs of in-house counsel incurred from time to time, in each case, in connection with (i) the due diligence, preparation, administration, negotiation, execution, delivery, syndication, distribution (including, without limitation, via DebtX and any other internet service selected by the Administrative Agent), review, amendment, modification, and administration of the Loan Documents, (ii) the enforcement or protection of the rights of the Administrative Agent, the LC Issuer or any Lender under the Loan Documents, (iii) any workout, restructuring, or amendment during the continuance of an Event of Default, and (iv) assessing and responding to any subpoena, garnishment or similar process served on the Administrative Agent relating to the Borrower, any Collateral, any Guarantor, any Loan Document or the extensions of credit evidenced thereby. Costs and expenses being reimbursed by the Borrower under this Section 9.6(a) shall include only the reasonable, necessary and actual fees, charges, costs and disbursements of one (and only one) outside counsel retained by and on behalf of the Administrative Agent from time to time for the benefit of the Lenders. Costs and expenses being reimbursed by the Borrower under this Section 9.6(a) further include, without limitation, the reasonable, necessary and actual cost and expense of obtaining an appraisal after the occurrence and during the continuance of an Event of Default of each parcel of real property or interest in real property described in the relevant Collateral Documents, which appraisal shall be in conformity with the applicable requirements of any law or any governmental rule, regulation, policy, guideline or directive (whether or not having the force of law), or any interpretation thereof, including, without limitation, the provisions of Title XI of the Financial Institutions Reform, Recovery and Enforcement Act of 1989 and costs and expenses incurred in connection with the Reports described in the following sentence. The Borrower acknowledges that from time to time, and at no cost or expense to Borrower whatsoever, U.S. Bank may prepare and may distribute to the Lenders (but shall have no obligation or duty to prepare or to distribute to the Lenders) certain audit reports (the “Reports”) pertaining to the Borrower’s assets for internal use by U.S. Bank from information furnished to it by or on behalf of the Borrower, after U.S. Bank has exercised its rights of inspection pursuant to this Agreement. Notwithstanding anything in this Section 9.6(a) to the contrary, the maximum fees and other expenses for which Borrower shall be obligated to pay to the Administrative Agent in connection with the drafting, negotiating and execution of the Loan Documents prior to the Closing Date shall not exceed $30,000.</w:t>
      </w:r>
    </w:p>
    <w:p>
      <w:pPr>
        <w:spacing w:after="0" w:line="200" w:lineRule="exact"/>
        <w:rPr>
          <w:rFonts w:ascii="Arial" w:cs="Arial" w:eastAsia="Arial" w:hAnsi="Arial"/>
          <w:sz w:val="19"/>
          <w:szCs w:val="19"/>
          <w:color w:val="auto"/>
        </w:rPr>
      </w:pPr>
    </w:p>
    <w:p>
      <w:pPr>
        <w:spacing w:after="0" w:line="264" w:lineRule="exact"/>
        <w:rPr>
          <w:rFonts w:ascii="Arial" w:cs="Arial" w:eastAsia="Arial" w:hAnsi="Arial"/>
          <w:sz w:val="19"/>
          <w:szCs w:val="19"/>
          <w:color w:val="auto"/>
        </w:rPr>
      </w:pPr>
    </w:p>
    <w:p>
      <w:pPr>
        <w:jc w:val="both"/>
        <w:ind w:firstLine="1049"/>
        <w:spacing w:after="0" w:line="289" w:lineRule="auto"/>
        <w:tabs>
          <w:tab w:leader="none" w:pos="2183"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 Borrower hereby further agrees to indemnify and hold harmless the Administrative Agent, the Arranger, the LC Issuer, each Lender, their respective affiliates, and each of their directors, officers and employees, agents and advisors (each, an “Indemnified Party”) against all losses, claims, damages, penalties, judgments, liabilities and expenses (including, without limitation, reasonable attorneys’ fees, charges and disbursements and settlement costs (including, without limitation, all expenses of litigation or preparation therefor) whether or not the Indemnified Party is a party thereto) which any such Indemnified Party may pay or incur arising out of or relating to this Agreement, the other Loan Documents, the transactions contemplated hereby, any actual or alleged presence or release of Hazardous Materials on or from any Property owned or operated by Borrower or any of its Subsidiaries, any environmental liability related in any way to Borrower or any of its Subsidiaries, or any actual or prospective claim, litigation, investigation or proceeding</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00"/>
          </w:cols>
          <w:pgMar w:left="360" w:top="631" w:right="239" w:bottom="1440" w:gutter="0" w:footer="0" w:header="0"/>
        </w:sectPr>
      </w:pPr>
    </w:p>
    <w:bookmarkStart w:id="188" w:name="page189"/>
    <w:bookmarkEnd w:id="188"/>
    <w:p>
      <w:pPr>
        <w:jc w:val="both"/>
        <w:spacing w:after="0" w:line="248" w:lineRule="auto"/>
        <w:rPr>
          <w:sz w:val="20"/>
          <w:szCs w:val="20"/>
          <w:color w:val="auto"/>
        </w:rPr>
      </w:pPr>
      <w:r>
        <w:rPr>
          <w:rFonts w:ascii="Arial" w:cs="Arial" w:eastAsia="Arial" w:hAnsi="Arial"/>
          <w:sz w:val="22"/>
          <w:szCs w:val="22"/>
          <w:color w:val="auto"/>
        </w:rPr>
        <w:t>relating to any of the foregoing, whether based on contract, tort or any other theory, whether brought by a third party or by Borrower or any of its Subsidiaries, or the direct or indirect application or proposed application of the proceeds of any Credit Extension hereunder except to the extent that they are determined by a court of competent jurisdiction to have resulted from the gross negligence, bad faith or willful misconduct of the applicable Indemnified Party. The obligations of the Borrower under this Section 9.6 shall survive the termination of this Agreement.</w:t>
      </w:r>
    </w:p>
    <w:p>
      <w:pPr>
        <w:spacing w:after="0" w:line="233" w:lineRule="exact"/>
        <w:rPr>
          <w:sz w:val="20"/>
          <w:szCs w:val="20"/>
          <w:color w:val="auto"/>
        </w:rPr>
      </w:pPr>
    </w:p>
    <w:p>
      <w:pPr>
        <w:jc w:val="both"/>
        <w:ind w:firstLine="1378"/>
        <w:spacing w:after="0" w:line="260" w:lineRule="auto"/>
        <w:rPr>
          <w:sz w:val="20"/>
          <w:szCs w:val="20"/>
          <w:color w:val="auto"/>
        </w:rPr>
      </w:pPr>
      <w:r>
        <w:rPr>
          <w:rFonts w:ascii="Arial" w:cs="Arial" w:eastAsia="Arial" w:hAnsi="Arial"/>
          <w:sz w:val="22"/>
          <w:szCs w:val="22"/>
          <w:color w:val="auto"/>
        </w:rPr>
        <w:t xml:space="preserve">9.7. </w:t>
      </w:r>
      <w:r>
        <w:rPr>
          <w:rFonts w:ascii="Arial" w:cs="Arial" w:eastAsia="Arial" w:hAnsi="Arial"/>
          <w:sz w:val="22"/>
          <w:szCs w:val="22"/>
          <w:u w:val="single" w:color="auto"/>
          <w:color w:val="auto"/>
        </w:rPr>
        <w:t>Numbers of Documents</w:t>
      </w:r>
      <w:r>
        <w:rPr>
          <w:rFonts w:ascii="Arial" w:cs="Arial" w:eastAsia="Arial" w:hAnsi="Arial"/>
          <w:sz w:val="22"/>
          <w:szCs w:val="22"/>
          <w:color w:val="auto"/>
        </w:rPr>
        <w:t>. All statements, notices, closing documents, and requests hereunder shall be furnished to the Administrative Agent with sufficient counterparts so that the Administrative Agent may furnish one to each of the Lenders.</w:t>
      </w:r>
    </w:p>
    <w:p>
      <w:pPr>
        <w:spacing w:after="0" w:line="218" w:lineRule="exact"/>
        <w:rPr>
          <w:sz w:val="20"/>
          <w:szCs w:val="20"/>
          <w:color w:val="auto"/>
        </w:rPr>
      </w:pPr>
    </w:p>
    <w:p>
      <w:pPr>
        <w:jc w:val="both"/>
        <w:ind w:firstLine="1378"/>
        <w:spacing w:after="0" w:line="297" w:lineRule="auto"/>
        <w:rPr>
          <w:sz w:val="20"/>
          <w:szCs w:val="20"/>
          <w:color w:val="auto"/>
        </w:rPr>
      </w:pPr>
      <w:r>
        <w:rPr>
          <w:rFonts w:ascii="Arial" w:cs="Arial" w:eastAsia="Arial" w:hAnsi="Arial"/>
          <w:sz w:val="19"/>
          <w:szCs w:val="19"/>
          <w:color w:val="auto"/>
        </w:rPr>
        <w:t xml:space="preserve">9.8. </w:t>
      </w:r>
      <w:r>
        <w:rPr>
          <w:rFonts w:ascii="Arial" w:cs="Arial" w:eastAsia="Arial" w:hAnsi="Arial"/>
          <w:sz w:val="19"/>
          <w:szCs w:val="19"/>
          <w:u w:val="single" w:color="auto"/>
          <w:color w:val="auto"/>
        </w:rPr>
        <w:t>Accounting</w:t>
      </w:r>
      <w:r>
        <w:rPr>
          <w:rFonts w:ascii="Arial" w:cs="Arial" w:eastAsia="Arial" w:hAnsi="Arial"/>
          <w:sz w:val="19"/>
          <w:szCs w:val="19"/>
          <w:color w:val="auto"/>
        </w:rPr>
        <w:t xml:space="preserve">. Except as provided to the contrary herein, all accounting terms used herein shall be interpreted and all accounting determinations hereunder shall be made in accordance with GAAP in a manner consistent with that used in preparing the financial statements referred to in Section 5.5, except that any calculation or determination which is to be made on a consolidated basis shall be made for the Borrower and all of its Subsidiaries, including those Subsidiaries, if any, which are unconsolidated on the Borrower’s audited financial statements;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notwithstanding any other provision contained herein, all terms of an accounting or financial nature used herein shall be construed, and all</w:t>
      </w:r>
    </w:p>
    <w:p>
      <w:pPr>
        <w:spacing w:after="0" w:line="228"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 xml:space="preserve">computations of amounts and ratios referred to herein shall be made without giving effect to (i) any election under Accounting Standards Codification Section 825-10-25 (or any other Accounting Standards Codification or Financial Accounting Standard having a similar result or effect) to value any Indebtedness or other liabilities of the Borrower or any of its Subsidiaries at “fair value”, as defined therein, or (ii) any treatment of Indebtedness in respect of convertible debt instruments under Financial Accounting Standards Codification Subtopic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If at any time any change in GAAP would affect the computation of any financial ratio or requirement set forth in any Loan Document, and the Borrower, the Administrative Agent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until so amended, such ratio or requirement shall continue to be computed in accordance with GAAP prior to such change therein and the Borrower shall provide to the Administrative Agent and the Lenders reconciliation statements showing the difference in such calculation, together with the delivery of monthly, quarterly and annual financial statements required hereunder. In addition, notwithstanding any other provision contained herein, the definitions set forth in this Agreement and any financial calculations required by the Loan Documents shall be computed to exclude any change to lease accounting rules from those in effect pursuant to Financial Accounting Standards Board Accounting Standards Codification 840 (Leases) and other related lease accounting guidance as in effect on the date hereof.</w:t>
      </w:r>
    </w:p>
    <w:p>
      <w:pPr>
        <w:spacing w:after="0" w:line="208" w:lineRule="exact"/>
        <w:rPr>
          <w:sz w:val="20"/>
          <w:szCs w:val="20"/>
          <w:color w:val="auto"/>
        </w:rPr>
      </w:pPr>
    </w:p>
    <w:p>
      <w:pPr>
        <w:jc w:val="both"/>
        <w:ind w:firstLine="1378"/>
        <w:spacing w:after="0" w:line="270" w:lineRule="auto"/>
        <w:rPr>
          <w:sz w:val="20"/>
          <w:szCs w:val="20"/>
          <w:color w:val="auto"/>
        </w:rPr>
      </w:pPr>
      <w:r>
        <w:rPr>
          <w:rFonts w:ascii="Arial" w:cs="Arial" w:eastAsia="Arial" w:hAnsi="Arial"/>
          <w:sz w:val="21"/>
          <w:szCs w:val="21"/>
          <w:color w:val="auto"/>
        </w:rPr>
        <w:t xml:space="preserve">9.9. </w:t>
      </w:r>
      <w:r>
        <w:rPr>
          <w:rFonts w:ascii="Arial" w:cs="Arial" w:eastAsia="Arial" w:hAnsi="Arial"/>
          <w:sz w:val="21"/>
          <w:szCs w:val="21"/>
          <w:u w:val="single" w:color="auto"/>
          <w:color w:val="auto"/>
        </w:rPr>
        <w:t>Severability of Provisions</w:t>
      </w:r>
      <w:r>
        <w:rPr>
          <w:rFonts w:ascii="Arial" w:cs="Arial" w:eastAsia="Arial" w:hAnsi="Arial"/>
          <w:sz w:val="21"/>
          <w:szCs w:val="21"/>
          <w:color w:val="auto"/>
        </w:rPr>
        <w:t>. Any provision in any Loan Document that is held to be inoperative, unenforceable, or invalid in any jurisdiction shall, as to that jurisdiction, be inoperative, unenforceable, or invalid without affecting the remaining provisions in that jurisdiction or the operation, enforceability, or validity of that provision in any other jurisdiction, and to this end the provisions of all Loan Documents are declared to be severable.</w:t>
      </w:r>
    </w:p>
    <w:p>
      <w:pPr>
        <w:spacing w:after="0" w:line="200" w:lineRule="exact"/>
        <w:rPr>
          <w:sz w:val="20"/>
          <w:szCs w:val="20"/>
          <w:color w:val="auto"/>
        </w:rPr>
      </w:pPr>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00"/>
          </w:cols>
          <w:pgMar w:left="360" w:top="375" w:right="239" w:bottom="1440" w:gutter="0" w:footer="0" w:header="0"/>
        </w:sectPr>
      </w:pPr>
    </w:p>
    <w:bookmarkStart w:id="189" w:name="page190"/>
    <w:bookmarkEnd w:id="189"/>
    <w:p>
      <w:pPr>
        <w:jc w:val="both"/>
        <w:ind w:left="4" w:firstLine="1378"/>
        <w:spacing w:after="0" w:line="287" w:lineRule="auto"/>
        <w:rPr>
          <w:sz w:val="20"/>
          <w:szCs w:val="20"/>
          <w:color w:val="auto"/>
        </w:rPr>
      </w:pPr>
      <w:r>
        <w:rPr>
          <w:rFonts w:ascii="Arial" w:cs="Arial" w:eastAsia="Arial" w:hAnsi="Arial"/>
          <w:sz w:val="19"/>
          <w:szCs w:val="19"/>
          <w:color w:val="auto"/>
        </w:rPr>
        <w:t xml:space="preserve">9.10. </w:t>
      </w:r>
      <w:r>
        <w:rPr>
          <w:rFonts w:ascii="Arial" w:cs="Arial" w:eastAsia="Arial" w:hAnsi="Arial"/>
          <w:sz w:val="19"/>
          <w:szCs w:val="19"/>
          <w:u w:val="single" w:color="auto"/>
          <w:color w:val="auto"/>
        </w:rPr>
        <w:t>Nonliability of Lenders.</w:t>
      </w:r>
      <w:r>
        <w:rPr>
          <w:rFonts w:ascii="Arial" w:cs="Arial" w:eastAsia="Arial" w:hAnsi="Arial"/>
          <w:sz w:val="19"/>
          <w:szCs w:val="19"/>
          <w:color w:val="auto"/>
        </w:rPr>
        <w:t xml:space="preserve"> The relationship between the Borrower on the one hand and the Lenders, the LC Issuer and the Administrative Agent on the other hand shall be solely that of borrower and lender. Neither the Administrative Agent, the Arranger, the LC Issuer nor any Lender shall have any fiduciary responsibilities to the Borrower. Neither the Administrative Agent, the Arranger, the LC Issuer nor any Lender undertakes any responsibility to the Borrower to review or inform the Borrower of any matter in connection with any phase of the Borrower’s business or operations. The Borrower agrees that neither the Administrative Agent, the Arranger, the LC Issuer nor any Lender shall have liability to the Borrower (whether sounding in tort, contract or otherwise) for losses suffered by the Borrower in connection with, arising out of, or in any way related to, the transactions contemplated and the relationship established by the Loan Documents, or any act, omission or event occurring in connection therewith, unless it is determined in a final non-appealable judgment by a court of competent jurisdiction that such losses resulted from the gross negligence, bad faith or willful misconduct of the party from which recovery is sought. Neither the Administrative Agent, the Arranger, the LC Issuer nor any Lender shall have any liability with respect to, and the Borrower hereby waives, releases and agrees not to sue for, any lost profits or special, indirect, consequential or punitive damages suffered by the Borrower in connection with, arising out of, or in any way related to the Loan Documents or the transactions contemplated thereby. It is agreed that the Arranger shall, in its capacity as such, have no duties or responsibilities under the Agreement or any other Loan Document. Each Lender acknowledges that it has not relied and will not rely on the Arranger in deciding to enter into the Agreement or any other Loan Document or in taking or not taking any action.</w:t>
      </w:r>
    </w:p>
    <w:p>
      <w:pPr>
        <w:spacing w:after="0" w:line="200" w:lineRule="exact"/>
        <w:rPr>
          <w:sz w:val="20"/>
          <w:szCs w:val="20"/>
          <w:color w:val="auto"/>
        </w:rPr>
      </w:pPr>
    </w:p>
    <w:p>
      <w:pPr>
        <w:spacing w:after="0" w:line="230" w:lineRule="exact"/>
        <w:rPr>
          <w:sz w:val="20"/>
          <w:szCs w:val="20"/>
          <w:color w:val="auto"/>
        </w:rPr>
      </w:pPr>
    </w:p>
    <w:p>
      <w:pPr>
        <w:jc w:val="both"/>
        <w:ind w:left="4" w:firstLine="1378"/>
        <w:spacing w:after="0" w:line="286" w:lineRule="auto"/>
        <w:rPr>
          <w:sz w:val="20"/>
          <w:szCs w:val="20"/>
          <w:color w:val="auto"/>
        </w:rPr>
      </w:pPr>
      <w:r>
        <w:rPr>
          <w:rFonts w:ascii="Arial" w:cs="Arial" w:eastAsia="Arial" w:hAnsi="Arial"/>
          <w:sz w:val="19"/>
          <w:szCs w:val="19"/>
          <w:color w:val="auto"/>
        </w:rPr>
        <w:t xml:space="preserve">9.11. </w:t>
      </w:r>
      <w:r>
        <w:rPr>
          <w:rFonts w:ascii="Arial" w:cs="Arial" w:eastAsia="Arial" w:hAnsi="Arial"/>
          <w:sz w:val="19"/>
          <w:szCs w:val="19"/>
          <w:u w:val="single" w:color="auto"/>
          <w:color w:val="auto"/>
        </w:rPr>
        <w:t>Confidentiality</w:t>
      </w:r>
      <w:r>
        <w:rPr>
          <w:rFonts w:ascii="Arial" w:cs="Arial" w:eastAsia="Arial" w:hAnsi="Arial"/>
          <w:sz w:val="19"/>
          <w:szCs w:val="19"/>
          <w:color w:val="auto"/>
        </w:rPr>
        <w:t>. The Administrative Agent and each Lender agrees to hold any confidential information which it may receive from the Borrower in connection with this Agreement in confidence, except for disclosure (i) to its Affiliates and to the Administrative Agent and any other Lender and their respective Affiliates, and, in each case, their respective employees, directors, and officers, (ii) to legal counsel, accountants, and other professional advisors to the Administrative Agent or such Lender provided such parties have been notified of the confidential nature of such information, (iii) as provided in Section 12.3(e), (iv) any assignee of or Participant in, or any prospective assignee of or Participant in, any of its rights and obligations under this Agreement, (v) any actual or prospective party (or its respective Affiliates) to any swap, derivative or other transaction under which payments are to be made by reference to the Borrower and its obligations, this Agreement or payments hereunder,</w:t>
      </w:r>
    </w:p>
    <w:p>
      <w:pPr>
        <w:spacing w:after="0" w:line="1" w:lineRule="exact"/>
        <w:rPr>
          <w:sz w:val="20"/>
          <w:szCs w:val="20"/>
          <w:color w:val="auto"/>
        </w:rPr>
      </w:pPr>
    </w:p>
    <w:p>
      <w:pPr>
        <w:jc w:val="both"/>
        <w:ind w:left="4" w:hanging="4"/>
        <w:spacing w:after="0" w:line="286" w:lineRule="auto"/>
        <w:tabs>
          <w:tab w:leader="none" w:pos="377" w:val="left"/>
        </w:tabs>
        <w:numPr>
          <w:ilvl w:val="0"/>
          <w:numId w:val="119"/>
        </w:numPr>
        <w:rPr>
          <w:rFonts w:ascii="Arial" w:cs="Arial" w:eastAsia="Arial" w:hAnsi="Arial"/>
          <w:sz w:val="19"/>
          <w:szCs w:val="19"/>
          <w:color w:val="auto"/>
        </w:rPr>
      </w:pPr>
      <w:r>
        <w:rPr>
          <w:rFonts w:ascii="Arial" w:cs="Arial" w:eastAsia="Arial" w:hAnsi="Arial"/>
          <w:sz w:val="19"/>
          <w:szCs w:val="19"/>
          <w:color w:val="auto"/>
        </w:rPr>
        <w:t>to regulatory officials, (vii) to any Person as requested pursuant to or as required by law, regulation, or legal process, (viii) to any Person in connection with any legal proceeding to which it is a party, (ix) to its direct or indirect contractual counterparties in swap agreements or to legal counsel, accountants and other professional advisors to such counterparties provided such parties have been notified of the confidential nature of such information, (x) to rating agencies if requested or required by such agencies in connection with a rating relating to the Advances hereunder, (xi) in connection with the exercise of any remedies hereunder or any suit, action or proceeding relating to this Agreement or any other Loan Document or the enforcement of rights hereunder or thereunder, (xii) to the extent such information (1) becomes publicly available other than as a result of a breach of this Section 9.11 or (2) becomes available to the Administrative Agent, the LC Issuer, the Swing Line Lender or any other Lender on a non-confidential basis from a source other than the Borrower, and (xiii) to Thompson Reuters LPC or any similar loan pricing organization. Without limiting Section 9.4, the Borrower agrees that the terms of this Section 9.11 shall set forth the entire agreement between the Borrower and the</w:t>
      </w:r>
    </w:p>
    <w:p>
      <w:pPr>
        <w:spacing w:after="0" w:line="200" w:lineRule="exact"/>
        <w:rPr>
          <w:sz w:val="20"/>
          <w:szCs w:val="20"/>
          <w:color w:val="auto"/>
        </w:rPr>
      </w:pPr>
    </w:p>
    <w:p>
      <w:pPr>
        <w:spacing w:after="0" w:line="224"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04"/>
          </w:cols>
          <w:pgMar w:left="356" w:top="375" w:right="239" w:bottom="1440" w:gutter="0" w:footer="0" w:header="0"/>
        </w:sectPr>
      </w:pPr>
    </w:p>
    <w:bookmarkStart w:id="190" w:name="page191"/>
    <w:bookmarkEnd w:id="190"/>
    <w:p>
      <w:pPr>
        <w:jc w:val="both"/>
        <w:spacing w:after="0" w:line="312" w:lineRule="auto"/>
        <w:rPr>
          <w:sz w:val="20"/>
          <w:szCs w:val="20"/>
          <w:color w:val="auto"/>
        </w:rPr>
      </w:pPr>
      <w:r>
        <w:rPr>
          <w:rFonts w:ascii="Arial" w:cs="Arial" w:eastAsia="Arial" w:hAnsi="Arial"/>
          <w:sz w:val="19"/>
          <w:szCs w:val="19"/>
          <w:color w:val="auto"/>
        </w:rPr>
        <w:t>Administrative Agent and each Lender with respect to any confidential information previously or hereafter received by the Administrative Agent or such Lender in connection with this Agreement, and this Section 9.11 shall supersede any and all prior confidentiality agreements entered into by the Administrative Agent or any Lender with respect to such confidential information.</w:t>
      </w:r>
    </w:p>
    <w:p>
      <w:pPr>
        <w:spacing w:after="0" w:line="174" w:lineRule="exact"/>
        <w:rPr>
          <w:sz w:val="20"/>
          <w:szCs w:val="20"/>
          <w:color w:val="auto"/>
        </w:rPr>
      </w:pPr>
    </w:p>
    <w:p>
      <w:pPr>
        <w:jc w:val="both"/>
        <w:ind w:right="20" w:firstLine="1378"/>
        <w:spacing w:after="0" w:line="276" w:lineRule="auto"/>
        <w:rPr>
          <w:sz w:val="20"/>
          <w:szCs w:val="20"/>
          <w:color w:val="auto"/>
        </w:rPr>
      </w:pPr>
      <w:r>
        <w:rPr>
          <w:rFonts w:ascii="Arial" w:cs="Arial" w:eastAsia="Arial" w:hAnsi="Arial"/>
          <w:sz w:val="22"/>
          <w:szCs w:val="22"/>
          <w:color w:val="auto"/>
        </w:rPr>
        <w:t xml:space="preserve">9.12. </w:t>
      </w:r>
      <w:r>
        <w:rPr>
          <w:rFonts w:ascii="Arial" w:cs="Arial" w:eastAsia="Arial" w:hAnsi="Arial"/>
          <w:sz w:val="22"/>
          <w:szCs w:val="22"/>
          <w:u w:val="single" w:color="auto"/>
          <w:color w:val="auto"/>
        </w:rPr>
        <w:t>Non-reliance</w:t>
      </w:r>
      <w:r>
        <w:rPr>
          <w:rFonts w:ascii="Arial" w:cs="Arial" w:eastAsia="Arial" w:hAnsi="Arial"/>
          <w:sz w:val="22"/>
          <w:szCs w:val="22"/>
          <w:color w:val="auto"/>
        </w:rPr>
        <w:t>. Each Lender hereby represents that it is not relying on or looking to any margin stock (as defined in Regulation U) for the repayment of the Credit Extensions provided for herein.</w:t>
      </w:r>
    </w:p>
    <w:p>
      <w:pPr>
        <w:spacing w:after="0" w:line="201" w:lineRule="exact"/>
        <w:rPr>
          <w:sz w:val="20"/>
          <w:szCs w:val="20"/>
          <w:color w:val="auto"/>
        </w:rPr>
      </w:pPr>
    </w:p>
    <w:p>
      <w:pPr>
        <w:jc w:val="both"/>
        <w:ind w:firstLine="1378"/>
        <w:spacing w:after="0" w:line="260" w:lineRule="auto"/>
        <w:rPr>
          <w:sz w:val="20"/>
          <w:szCs w:val="20"/>
          <w:color w:val="auto"/>
        </w:rPr>
      </w:pPr>
      <w:r>
        <w:rPr>
          <w:rFonts w:ascii="Arial" w:cs="Arial" w:eastAsia="Arial" w:hAnsi="Arial"/>
          <w:sz w:val="22"/>
          <w:szCs w:val="22"/>
          <w:color w:val="auto"/>
        </w:rPr>
        <w:t xml:space="preserve">9.13. </w:t>
      </w:r>
      <w:r>
        <w:rPr>
          <w:rFonts w:ascii="Arial" w:cs="Arial" w:eastAsia="Arial" w:hAnsi="Arial"/>
          <w:sz w:val="22"/>
          <w:szCs w:val="22"/>
          <w:u w:val="single" w:color="auto"/>
          <w:color w:val="auto"/>
        </w:rPr>
        <w:t>Disclosure</w:t>
      </w:r>
      <w:r>
        <w:rPr>
          <w:rFonts w:ascii="Arial" w:cs="Arial" w:eastAsia="Arial" w:hAnsi="Arial"/>
          <w:sz w:val="22"/>
          <w:szCs w:val="22"/>
          <w:color w:val="auto"/>
        </w:rPr>
        <w:t>. The Borrower and each Lender hereby acknowledge and agree that U.S. Bank and/or its Affiliates from time to time may hold investments in, make other loans to or have other relationships with the Borrower and its Affiliates.</w:t>
      </w:r>
    </w:p>
    <w:p>
      <w:pPr>
        <w:spacing w:after="0" w:line="218" w:lineRule="exact"/>
        <w:rPr>
          <w:sz w:val="20"/>
          <w:szCs w:val="20"/>
          <w:color w:val="auto"/>
        </w:rPr>
      </w:pPr>
    </w:p>
    <w:p>
      <w:pPr>
        <w:ind w:left="1380"/>
        <w:spacing w:after="0"/>
        <w:tabs>
          <w:tab w:leader="none" w:pos="2000" w:val="left"/>
          <w:tab w:leader="none" w:pos="5740" w:val="left"/>
        </w:tabs>
        <w:rPr>
          <w:sz w:val="20"/>
          <w:szCs w:val="20"/>
          <w:color w:val="auto"/>
        </w:rPr>
      </w:pPr>
      <w:r>
        <w:rPr>
          <w:rFonts w:ascii="Arial" w:cs="Arial" w:eastAsia="Arial" w:hAnsi="Arial"/>
          <w:sz w:val="22"/>
          <w:szCs w:val="22"/>
          <w:color w:val="auto"/>
        </w:rPr>
        <w:t>9.14.</w:t>
      </w:r>
      <w:r>
        <w:rPr>
          <w:sz w:val="20"/>
          <w:szCs w:val="20"/>
          <w:color w:val="auto"/>
        </w:rPr>
        <w:tab/>
      </w:r>
      <w:r>
        <w:rPr>
          <w:rFonts w:ascii="Arial" w:cs="Arial" w:eastAsia="Arial" w:hAnsi="Arial"/>
          <w:sz w:val="22"/>
          <w:szCs w:val="22"/>
          <w:u w:val="single" w:color="auto"/>
          <w:color w:val="auto"/>
        </w:rPr>
        <w:t>USA PATRIOT ACT NOTIFICATION</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following notification is provided to Borrower pursuant to</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Section 326 of the PATRIOT Act:</w:t>
      </w:r>
    </w:p>
    <w:p>
      <w:pPr>
        <w:spacing w:after="0" w:line="29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Each Lender that is subject to the requirements of the PATRIOT Act hereby notifies the Borrower and each other Loan Party that pursuant to the requirements of the PATRIOT Act, it is required to obtain, verify and record information that identifies such Loan Party, which information includes the name and address of such Loan Party and other information that will allow such Lender to identify such Loan Party in accordance with the PATRIOT Act.</w:t>
      </w:r>
    </w:p>
    <w:p>
      <w:pPr>
        <w:spacing w:after="0" w:line="223" w:lineRule="exact"/>
        <w:rPr>
          <w:sz w:val="20"/>
          <w:szCs w:val="20"/>
          <w:color w:val="auto"/>
        </w:rPr>
      </w:pPr>
    </w:p>
    <w:p>
      <w:pPr>
        <w:jc w:val="both"/>
        <w:ind w:firstLine="1378"/>
        <w:spacing w:after="0" w:line="253" w:lineRule="auto"/>
        <w:rPr>
          <w:sz w:val="20"/>
          <w:szCs w:val="20"/>
          <w:color w:val="auto"/>
        </w:rPr>
      </w:pPr>
      <w:r>
        <w:rPr>
          <w:rFonts w:ascii="Arial" w:cs="Arial" w:eastAsia="Arial" w:hAnsi="Arial"/>
          <w:sz w:val="22"/>
          <w:szCs w:val="22"/>
          <w:color w:val="auto"/>
        </w:rPr>
        <w:t xml:space="preserve">9.15. </w:t>
      </w:r>
      <w:r>
        <w:rPr>
          <w:rFonts w:ascii="Arial" w:cs="Arial" w:eastAsia="Arial" w:hAnsi="Arial"/>
          <w:sz w:val="22"/>
          <w:szCs w:val="22"/>
          <w:u w:val="single" w:color="auto"/>
          <w:color w:val="auto"/>
        </w:rPr>
        <w:t>Acknowledgement and Consent to Bail-In of EEA Financial Institutions</w:t>
      </w:r>
      <w:r>
        <w:rPr>
          <w:rFonts w:ascii="Arial" w:cs="Arial" w:eastAsia="Arial" w:hAnsi="Arial"/>
          <w:sz w:val="22"/>
          <w:szCs w:val="22"/>
          <w:b w:val="1"/>
          <w:bCs w:val="1"/>
          <w:color w:val="auto"/>
        </w:rPr>
        <w:t>.</w:t>
      </w:r>
      <w:r>
        <w:rPr>
          <w:rFonts w:ascii="Arial" w:cs="Arial" w:eastAsia="Arial" w:hAnsi="Arial"/>
          <w:sz w:val="22"/>
          <w:szCs w:val="22"/>
          <w:color w:val="auto"/>
        </w:rPr>
        <w:t xml:space="preserve">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226" w:lineRule="exact"/>
        <w:rPr>
          <w:sz w:val="20"/>
          <w:szCs w:val="20"/>
          <w:color w:val="auto"/>
        </w:rPr>
      </w:pPr>
    </w:p>
    <w:p>
      <w:pPr>
        <w:ind w:firstLine="1049"/>
        <w:spacing w:after="0" w:line="301" w:lineRule="auto"/>
        <w:tabs>
          <w:tab w:leader="none" w:pos="1635"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7" w:lineRule="exact"/>
        <w:rPr>
          <w:rFonts w:ascii="Arial" w:cs="Arial" w:eastAsia="Arial" w:hAnsi="Arial"/>
          <w:sz w:val="21"/>
          <w:szCs w:val="21"/>
          <w:color w:val="auto"/>
        </w:rPr>
      </w:pPr>
    </w:p>
    <w:p>
      <w:pPr>
        <w:ind w:left="1480" w:hanging="431"/>
        <w:spacing w:after="0"/>
        <w:tabs>
          <w:tab w:leader="none" w:pos="148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applicable:</w:t>
      </w:r>
    </w:p>
    <w:p>
      <w:pPr>
        <w:spacing w:after="0" w:line="202" w:lineRule="exact"/>
        <w:rPr>
          <w:sz w:val="20"/>
          <w:szCs w:val="20"/>
          <w:color w:val="auto"/>
        </w:rPr>
      </w:pPr>
    </w:p>
    <w:p>
      <w:pPr>
        <w:ind w:left="2560" w:hanging="619"/>
        <w:spacing w:after="0"/>
        <w:tabs>
          <w:tab w:leader="none" w:pos="256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60" w:lineRule="exact"/>
        <w:rPr>
          <w:rFonts w:ascii="Arial" w:cs="Arial" w:eastAsia="Arial" w:hAnsi="Arial"/>
          <w:sz w:val="22"/>
          <w:szCs w:val="22"/>
          <w:color w:val="auto"/>
        </w:rPr>
      </w:pPr>
    </w:p>
    <w:p>
      <w:pPr>
        <w:jc w:val="both"/>
        <w:ind w:left="2580" w:hanging="639"/>
        <w:spacing w:after="0" w:line="248" w:lineRule="auto"/>
        <w:tabs>
          <w:tab w:leader="none" w:pos="258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00" w:lineRule="exact"/>
        <w:rPr>
          <w:sz w:val="20"/>
          <w:szCs w:val="20"/>
          <w:color w:val="auto"/>
        </w:rPr>
      </w:pPr>
    </w:p>
    <w:p>
      <w:pPr>
        <w:spacing w:after="0" w:line="25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00"/>
          </w:cols>
          <w:pgMar w:left="360" w:top="375" w:right="239" w:bottom="1440" w:gutter="0" w:footer="0" w:header="0"/>
        </w:sectPr>
      </w:pPr>
    </w:p>
    <w:bookmarkStart w:id="191" w:name="page192"/>
    <w:bookmarkEnd w:id="191"/>
    <w:p>
      <w:pPr>
        <w:ind w:left="2580" w:right="20" w:hanging="639"/>
        <w:spacing w:after="0" w:line="263" w:lineRule="auto"/>
        <w:tabs>
          <w:tab w:leader="none" w:pos="258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any EEA Resolution Authority.</w:t>
      </w:r>
    </w:p>
    <w:p>
      <w:pPr>
        <w:spacing w:after="0" w:line="358"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u w:val="single" w:color="auto"/>
          <w:color w:val="auto"/>
        </w:rPr>
        <w:t>ARTICLE X</w:t>
      </w:r>
    </w:p>
    <w:p>
      <w:pPr>
        <w:spacing w:after="0" w:line="314" w:lineRule="exact"/>
        <w:rPr>
          <w:sz w:val="20"/>
          <w:szCs w:val="20"/>
          <w:color w:val="auto"/>
        </w:rPr>
      </w:pPr>
    </w:p>
    <w:p>
      <w:pPr>
        <w:jc w:val="center"/>
        <w:ind w:left="1220"/>
        <w:spacing w:after="0"/>
        <w:rPr>
          <w:sz w:val="20"/>
          <w:szCs w:val="20"/>
          <w:color w:val="auto"/>
        </w:rPr>
      </w:pPr>
      <w:r>
        <w:rPr>
          <w:rFonts w:ascii="Arial" w:cs="Arial" w:eastAsia="Arial" w:hAnsi="Arial"/>
          <w:sz w:val="22"/>
          <w:szCs w:val="22"/>
          <w:b w:val="1"/>
          <w:bCs w:val="1"/>
          <w:u w:val="single" w:color="auto"/>
          <w:color w:val="auto"/>
        </w:rPr>
        <w:t>THE ADMINISTRATIVE AGENT</w:t>
      </w:r>
    </w:p>
    <w:p>
      <w:pPr>
        <w:spacing w:after="0" w:line="199" w:lineRule="exact"/>
        <w:rPr>
          <w:sz w:val="20"/>
          <w:szCs w:val="20"/>
          <w:color w:val="auto"/>
        </w:rPr>
      </w:pPr>
    </w:p>
    <w:p>
      <w:pPr>
        <w:jc w:val="both"/>
        <w:ind w:firstLine="1378"/>
        <w:spacing w:after="0" w:line="287"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u w:val="single" w:color="auto"/>
          <w:color w:val="auto"/>
        </w:rPr>
        <w:t>Appointment; Nature of Relationship</w:t>
      </w:r>
      <w:r>
        <w:rPr>
          <w:rFonts w:ascii="Arial" w:cs="Arial" w:eastAsia="Arial" w:hAnsi="Arial"/>
          <w:sz w:val="19"/>
          <w:szCs w:val="19"/>
          <w:color w:val="auto"/>
        </w:rPr>
        <w:t>. U.S. Bank National Association is hereby appointed by each of the Lenders as its contractual representative (herein referred to as the “Administrative Agent”) hereunder and under each other Loan Document, and each of the Lenders irrevocably authorizes the Administrative Agent to act as the contractual representative of such Lender with the rights and duties expressly set forth herein and in the other Loan Documents. The Administrative Agent agrees to act as such contractual representative upon the express conditions contained in this Article X. Notwithstanding the use of the defined term “Administrative Agent,” it is expressly understood and agreed that the Administrative Agent shall not have any fiduciary responsibilities to any Lender by reason of this Agreement or any other Loan Document and that the Administrative Agent is merely acting as the contractual representative of the Lenders with only those duties as are expressly set forth in this Agreement and the other Loan Documents. In its capacity as the Lenders’ contractual representative, the Administrative Agent (i) does not hereby assume any fiduciary duties to any of the Lenders, and is a “representative” of the Lenders within the meaning of the term “secured party” as defined in the California Uniform Commercial Code and (iii) is acting as an independent contractor, the rights and duties of which are limited to those expressly set forth in this Agreement and the other Loan Documents. Each of the Lenders hereby agrees to assert no claim against the Administrative Agent on any agency theory or any other theory of liability for breach of fiduciary duty, all of which claims each Lender hereby waives.</w:t>
      </w:r>
    </w:p>
    <w:p>
      <w:pPr>
        <w:spacing w:after="0" w:line="178" w:lineRule="exact"/>
        <w:rPr>
          <w:sz w:val="20"/>
          <w:szCs w:val="20"/>
          <w:color w:val="auto"/>
        </w:rPr>
      </w:pPr>
    </w:p>
    <w:p>
      <w:pPr>
        <w:jc w:val="both"/>
        <w:ind w:firstLine="1378"/>
        <w:spacing w:after="0" w:line="307"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Powers</w:t>
      </w:r>
      <w:r>
        <w:rPr>
          <w:rFonts w:ascii="Arial" w:cs="Arial" w:eastAsia="Arial" w:hAnsi="Arial"/>
          <w:sz w:val="19"/>
          <w:szCs w:val="19"/>
          <w:color w:val="auto"/>
        </w:rPr>
        <w:t>. The Administrative Agent shall have and may exercise such powers under the Loan Documents as are specifically delegated to the Administrative Agent by the terms of each thereof, together with such powers as are reasonably incidental thereto. The Administrative Agent shall have no implied duties to the Lenders, or any obligation to the Lenders to take any action thereunder except any action specifically provided by the Loan Documents to be taken by the Administrative Agent.</w:t>
      </w:r>
    </w:p>
    <w:p>
      <w:pPr>
        <w:spacing w:after="0" w:line="179" w:lineRule="exact"/>
        <w:rPr>
          <w:sz w:val="20"/>
          <w:szCs w:val="20"/>
          <w:color w:val="auto"/>
        </w:rPr>
      </w:pPr>
    </w:p>
    <w:p>
      <w:pPr>
        <w:jc w:val="both"/>
        <w:ind w:firstLine="1378"/>
        <w:spacing w:after="0" w:line="251"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u w:val="single" w:color="auto"/>
          <w:color w:val="auto"/>
        </w:rPr>
        <w:t>General Immunity</w:t>
      </w:r>
      <w:r>
        <w:rPr>
          <w:rFonts w:ascii="Arial" w:cs="Arial" w:eastAsia="Arial" w:hAnsi="Arial"/>
          <w:sz w:val="22"/>
          <w:szCs w:val="22"/>
          <w:color w:val="auto"/>
        </w:rPr>
        <w:t>. Neither the Administrative Agent nor any of its directors, officers, agents or employees shall be liable to the Borrower, the Lenders or any Lender for any action taken or omitted to be taken by it or them hereunder or under any other Loan Document or in connection herewith or therewith except to the extent such action or inaction is determined in a final non-appealable judgment by a court of competent jurisdiction to have arisen from the gross negligence, bad faith or willful misconduct of such Person.</w:t>
      </w:r>
    </w:p>
    <w:p>
      <w:pPr>
        <w:spacing w:after="0" w:line="230" w:lineRule="exact"/>
        <w:rPr>
          <w:sz w:val="20"/>
          <w:szCs w:val="20"/>
          <w:color w:val="auto"/>
        </w:rPr>
      </w:pPr>
    </w:p>
    <w:p>
      <w:pPr>
        <w:jc w:val="both"/>
        <w:ind w:firstLine="1378"/>
        <w:spacing w:after="0" w:line="254"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u w:val="single" w:color="auto"/>
          <w:color w:val="auto"/>
        </w:rPr>
        <w:t>No Responsibility for Loans, Recitals, etc.</w:t>
      </w:r>
      <w:r>
        <w:rPr>
          <w:rFonts w:ascii="Arial" w:cs="Arial" w:eastAsia="Arial" w:hAnsi="Arial"/>
          <w:sz w:val="22"/>
          <w:szCs w:val="22"/>
          <w:color w:val="auto"/>
        </w:rPr>
        <w:t xml:space="preserve"> Neither the Administrative Agent nor any of its directors, officers, agents or employees shall be responsible for or have any duty to ascertain, inquire into, or verify (a) any statement, warranty or representation made in connection with any Loan Document or any borrowing hereunder; (b) the performance or observance</w:t>
      </w:r>
    </w:p>
    <w:p>
      <w:pPr>
        <w:spacing w:after="0" w:line="19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00"/>
          </w:cols>
          <w:pgMar w:left="360" w:top="375" w:right="239" w:bottom="1440" w:gutter="0" w:footer="0" w:header="0"/>
        </w:sectPr>
      </w:pPr>
    </w:p>
    <w:bookmarkStart w:id="192" w:name="page193"/>
    <w:bookmarkEnd w:id="192"/>
    <w:p>
      <w:pPr>
        <w:jc w:val="both"/>
        <w:spacing w:after="0" w:line="260" w:lineRule="auto"/>
        <w:rPr>
          <w:sz w:val="20"/>
          <w:szCs w:val="20"/>
          <w:color w:val="auto"/>
        </w:rPr>
      </w:pPr>
      <w:r>
        <w:rPr>
          <w:rFonts w:ascii="Arial" w:cs="Arial" w:eastAsia="Arial" w:hAnsi="Arial"/>
          <w:sz w:val="21"/>
          <w:szCs w:val="21"/>
          <w:color w:val="auto"/>
        </w:rPr>
        <w:t>of any of the covenants or agreements of any obligor under any Loan Document, including, without limitation, any agreement by an obligor to furnish information directly to each Lender; (c) the satisfaction of any condition specified in Article IV, except receipt of items required to be delivered solely to the Administrative Agent; (d) the existence or possible existence of any Default or Event of Default; (e) the validity, enforceability, effectiveness, sufficiency or genuineness of any Loan Document or any other instrument or writing furnished in connection therewith; (f) the value, sufficiency, creation, perfection or priority of any Lien in any collateral security; or (g) the financial condition of the Borrower or any Guarantor of any of the Obligations or of any of the Borrower’s or any such Guarantor’s respective Subsidiaries.</w:t>
      </w:r>
    </w:p>
    <w:p>
      <w:pPr>
        <w:spacing w:after="0" w:line="222" w:lineRule="exact"/>
        <w:rPr>
          <w:sz w:val="20"/>
          <w:szCs w:val="20"/>
          <w:color w:val="auto"/>
        </w:rPr>
      </w:pPr>
    </w:p>
    <w:p>
      <w:pPr>
        <w:jc w:val="both"/>
        <w:ind w:firstLine="1378"/>
        <w:spacing w:after="0" w:line="287" w:lineRule="auto"/>
        <w:rPr>
          <w:sz w:val="20"/>
          <w:szCs w:val="20"/>
          <w:color w:val="auto"/>
        </w:rPr>
      </w:pPr>
      <w:r>
        <w:rPr>
          <w:rFonts w:ascii="Arial" w:cs="Arial" w:eastAsia="Arial" w:hAnsi="Arial"/>
          <w:sz w:val="19"/>
          <w:szCs w:val="19"/>
          <w:color w:val="auto"/>
        </w:rPr>
        <w:t xml:space="preserve">10.5. </w:t>
      </w:r>
      <w:r>
        <w:rPr>
          <w:rFonts w:ascii="Arial" w:cs="Arial" w:eastAsia="Arial" w:hAnsi="Arial"/>
          <w:sz w:val="19"/>
          <w:szCs w:val="19"/>
          <w:u w:val="single" w:color="auto"/>
          <w:color w:val="auto"/>
        </w:rPr>
        <w:t>Action on Instructions of Lenders</w:t>
      </w:r>
      <w:r>
        <w:rPr>
          <w:rFonts w:ascii="Arial" w:cs="Arial" w:eastAsia="Arial" w:hAnsi="Arial"/>
          <w:sz w:val="19"/>
          <w:szCs w:val="19"/>
          <w:color w:val="auto"/>
        </w:rPr>
        <w:t>. The Administrative Agent shall in all cases be fully protected in acting, or in refraining from acting, hereunder and under any other Loan Document in accordance with written instructions signed by the Required Lenders, and such instructions and any action taken or failure to act pursuant thereto shall be binding on all of the Lenders. The Lenders hereby acknowledge that the Administrative Agent shall be under no duty to take any discretionary action permitted to be taken by it pursuant to the provisions of this Agreement or any other Loan Document unless it shall be requested in writing to do so by the Required Lenders. The Administrative Agent shall be fully justified in failing or refusing to take any action hereunder and under any other Loan Document unless it shall first be indemnified to its satisfaction by the Lenders pro rata against any and all liability, cost and expense that it may incur by reason of taking or continuing to take any such action. The Administrative Agent may, at any time, request instructions from the Required Lenders with respect to any actions or approvals which, by the terms of this Agreement or any of the Loan Documents, the Administrative Agent is permitted or required to take or to grant without consent or approval from the Required Lenders, and if such instructions are promptly requested, the Administrative Agent will be absolutely entitled to refrain from taking any action or to withhold any approval under any of the Loan Documents and will not have any liability for refraining from taking any action or withholding any approval under any of the Loan Documents until it has received such instructions from the Required Lenders.</w:t>
      </w:r>
    </w:p>
    <w:p>
      <w:pPr>
        <w:spacing w:after="0" w:line="178" w:lineRule="exact"/>
        <w:rPr>
          <w:sz w:val="20"/>
          <w:szCs w:val="20"/>
          <w:color w:val="auto"/>
        </w:rPr>
      </w:pPr>
    </w:p>
    <w:p>
      <w:pPr>
        <w:jc w:val="both"/>
        <w:ind w:firstLine="1378"/>
        <w:spacing w:after="0" w:line="300"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u w:val="single" w:color="auto"/>
          <w:color w:val="auto"/>
        </w:rPr>
        <w:t>Employment of Administrative Agents and Counsel</w:t>
      </w:r>
      <w:r>
        <w:rPr>
          <w:rFonts w:ascii="Arial" w:cs="Arial" w:eastAsia="Arial" w:hAnsi="Arial"/>
          <w:sz w:val="19"/>
          <w:szCs w:val="19"/>
          <w:color w:val="auto"/>
        </w:rPr>
        <w:t>. The Administrative Agent may execute any of its duties as Administrative Agent hereunder and under any other Loan Document by or through employees, agents, and attorneys-in-fact. The Administrative Agent will not be responsible for the negligence or misconduct of any agents or attorneys-in-fact except to the extent that a court of competent jurisdiction determines in a final and nonappealable judgment that the Administrative Agent acted with gross negligence, bad faith or willful misconduct in the selection of agents or attorneys-in-fact.</w:t>
      </w:r>
    </w:p>
    <w:p>
      <w:pPr>
        <w:spacing w:after="0" w:line="188" w:lineRule="exact"/>
        <w:rPr>
          <w:sz w:val="20"/>
          <w:szCs w:val="20"/>
          <w:color w:val="auto"/>
        </w:rPr>
      </w:pPr>
    </w:p>
    <w:p>
      <w:pPr>
        <w:jc w:val="both"/>
        <w:ind w:firstLine="1378"/>
        <w:spacing w:after="0" w:line="292" w:lineRule="auto"/>
        <w:rPr>
          <w:sz w:val="20"/>
          <w:szCs w:val="20"/>
          <w:color w:val="auto"/>
        </w:rPr>
      </w:pPr>
      <w:r>
        <w:rPr>
          <w:rFonts w:ascii="Arial" w:cs="Arial" w:eastAsia="Arial" w:hAnsi="Arial"/>
          <w:sz w:val="19"/>
          <w:szCs w:val="19"/>
          <w:color w:val="auto"/>
        </w:rPr>
        <w:t xml:space="preserve">10.7. </w:t>
      </w:r>
      <w:r>
        <w:rPr>
          <w:rFonts w:ascii="Arial" w:cs="Arial" w:eastAsia="Arial" w:hAnsi="Arial"/>
          <w:sz w:val="19"/>
          <w:szCs w:val="19"/>
          <w:u w:val="single" w:color="auto"/>
          <w:color w:val="auto"/>
        </w:rPr>
        <w:t>Reliance on Documents; Counsel</w:t>
      </w:r>
      <w:r>
        <w:rPr>
          <w:rFonts w:ascii="Arial" w:cs="Arial" w:eastAsia="Arial" w:hAnsi="Arial"/>
          <w:sz w:val="19"/>
          <w:szCs w:val="19"/>
          <w:color w:val="auto"/>
        </w:rPr>
        <w:t>. The Administrative Agent shall be entitled to rely upon any Note, notice, consent, certificate, affidavit, letter, telegram, facsimile, telex, electronic mail message, statement, paper or document believed by it to be genuine and correct and to have been signed or sent by the proper Person or Persons, and, in respect to legal matters, upon the opinion of counsel selected by the Administrative Agent, which counsel may be employees of the Administrative Agent. For purposes of determining compliance with the conditions specified in Sections 4.1 and 4.2,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applicable date specifying its objection thereto.</w:t>
      </w:r>
    </w:p>
    <w:p>
      <w:pPr>
        <w:spacing w:after="0" w:line="200" w:lineRule="exact"/>
        <w:rPr>
          <w:sz w:val="20"/>
          <w:szCs w:val="20"/>
          <w:color w:val="auto"/>
        </w:rPr>
      </w:pPr>
    </w:p>
    <w:p>
      <w:pPr>
        <w:spacing w:after="0" w:line="21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00"/>
          </w:cols>
          <w:pgMar w:left="360" w:top="375" w:right="239" w:bottom="1440" w:gutter="0" w:footer="0" w:header="0"/>
        </w:sectPr>
      </w:pPr>
    </w:p>
    <w:bookmarkStart w:id="193" w:name="page194"/>
    <w:bookmarkEnd w:id="193"/>
    <w:p>
      <w:pPr>
        <w:jc w:val="both"/>
        <w:ind w:left="40" w:firstLine="1378"/>
        <w:spacing w:after="0" w:line="286" w:lineRule="auto"/>
        <w:rPr>
          <w:sz w:val="20"/>
          <w:szCs w:val="20"/>
          <w:color w:val="auto"/>
        </w:rPr>
      </w:pPr>
      <w:r>
        <w:rPr>
          <w:rFonts w:ascii="Arial" w:cs="Arial" w:eastAsia="Arial" w:hAnsi="Arial"/>
          <w:sz w:val="19"/>
          <w:szCs w:val="19"/>
          <w:color w:val="auto"/>
        </w:rPr>
        <w:t xml:space="preserve">10.8. </w:t>
      </w:r>
      <w:r>
        <w:rPr>
          <w:rFonts w:ascii="Arial" w:cs="Arial" w:eastAsia="Arial" w:hAnsi="Arial"/>
          <w:sz w:val="19"/>
          <w:szCs w:val="19"/>
          <w:u w:val="single" w:color="auto"/>
          <w:color w:val="auto"/>
        </w:rPr>
        <w:t>Administrative Agent’s Reimbursement and Indemnification</w:t>
      </w:r>
      <w:r>
        <w:rPr>
          <w:rFonts w:ascii="Arial" w:cs="Arial" w:eastAsia="Arial" w:hAnsi="Arial"/>
          <w:sz w:val="19"/>
          <w:szCs w:val="19"/>
          <w:color w:val="auto"/>
        </w:rPr>
        <w:t>. The Lenders agree to reimburse and indemnify the Administrative Agent ratably in proportion to their respective Pro Rata Shares (determined without excluding the Defaulting Lenders) (i) for any amounts not reimbursed by the Borrower for which the Administrative Agent is entitled to reimbursement by the Borrower under the Loan Documents, (ii) for any other expenses incurred by the Administrative Agent on behalf of the Lenders, in connection with the preparation, execution, delivery, administration and enforcement of the Loan Documents (including, without limitation, for any expenses incurred by the Administrative Agent in connection with any dispute between the Administrative Agent and any Lender or between two or more of the Lenders) and</w:t>
      </w:r>
    </w:p>
    <w:p>
      <w:pPr>
        <w:spacing w:after="0" w:line="5" w:lineRule="exact"/>
        <w:rPr>
          <w:sz w:val="20"/>
          <w:szCs w:val="20"/>
          <w:color w:val="auto"/>
        </w:rPr>
      </w:pPr>
    </w:p>
    <w:p>
      <w:pPr>
        <w:jc w:val="both"/>
        <w:ind w:left="40" w:hanging="4"/>
        <w:spacing w:after="0" w:line="286" w:lineRule="auto"/>
        <w:tabs>
          <w:tab w:leader="none" w:pos="756"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for any liabilities, obligations, losses, damages, penalties, actions, judgments, suits, costs, expenses or disbursements of any kind and nature whatsoever which may be imposed on, incurred by or asserted against the Administrative Agent in any way relating to or arising out of the Loan Documents or any other document delivered in connection therewith or the transactions contemplated thereby (including, without limitation, for any such amounts incurred by or asserted against the Administrative Agent in connection with any dispute between the Administrative Agent and any Lender or between two or more of the Lenders), or the enforcement of any of the terms of the Loan Documents or of any such other documents,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no Lender shall be liable for any of the foregoing to the extent any of the foregoing is found in a final non-appealable judgment by a court of competent jurisdiction to have resulted from the gross negligence or willful misconduct of the Administrative Agent and (ii) any indemnification required pursuant to Section 3.5(d) shall, notwithstanding the provisions of this Section 10.8, be paid by the relevant Lender in accordance with the provisions thereof. The obligations of the Lenders under this Section 10.8 shall survive payment of the Obligations and termination of this Agreement.</w:t>
      </w:r>
    </w:p>
    <w:p>
      <w:pPr>
        <w:spacing w:after="0" w:line="200" w:lineRule="exact"/>
        <w:rPr>
          <w:sz w:val="20"/>
          <w:szCs w:val="20"/>
          <w:color w:val="auto"/>
        </w:rPr>
      </w:pPr>
    </w:p>
    <w:p>
      <w:pPr>
        <w:spacing w:after="0" w:line="231" w:lineRule="exact"/>
        <w:rPr>
          <w:sz w:val="20"/>
          <w:szCs w:val="20"/>
          <w:color w:val="auto"/>
        </w:rPr>
      </w:pPr>
    </w:p>
    <w:p>
      <w:pPr>
        <w:jc w:val="both"/>
        <w:ind w:firstLine="1378"/>
        <w:spacing w:after="0" w:line="248" w:lineRule="auto"/>
        <w:rPr>
          <w:sz w:val="20"/>
          <w:szCs w:val="20"/>
          <w:color w:val="auto"/>
        </w:rPr>
      </w:pPr>
      <w:r>
        <w:rPr>
          <w:rFonts w:ascii="Arial" w:cs="Arial" w:eastAsia="Arial" w:hAnsi="Arial"/>
          <w:sz w:val="22"/>
          <w:szCs w:val="22"/>
          <w:color w:val="auto"/>
        </w:rPr>
        <w:t xml:space="preserve">10.9. </w:t>
      </w:r>
      <w:r>
        <w:rPr>
          <w:rFonts w:ascii="Arial" w:cs="Arial" w:eastAsia="Arial" w:hAnsi="Arial"/>
          <w:sz w:val="22"/>
          <w:szCs w:val="22"/>
          <w:u w:val="single" w:color="auto"/>
          <w:color w:val="auto"/>
        </w:rPr>
        <w:t>Notice of Event of Default</w:t>
      </w:r>
      <w:r>
        <w:rPr>
          <w:rFonts w:ascii="Arial" w:cs="Arial" w:eastAsia="Arial" w:hAnsi="Arial"/>
          <w:sz w:val="22"/>
          <w:szCs w:val="22"/>
          <w:color w:val="auto"/>
        </w:rPr>
        <w:t xml:space="preserve">. The Administrative Agent shall not be deemed to have knowledge or notice of the occurrence of any Default or Event of Default hereunder unless the Administrative Agent has received written notice from a Lender or the Borrower referring to this Agreement describing such Default or Event of Default and stating that such notice is a “notice of default”. In the event that the Administrative Agent receives such a notice, the Administrative Agent shall give prompt notice thereof to the Lenders;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except as expressly set forth in the Loan Documents,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w:t>
      </w:r>
    </w:p>
    <w:p>
      <w:pPr>
        <w:spacing w:after="0" w:line="232" w:lineRule="exact"/>
        <w:rPr>
          <w:sz w:val="20"/>
          <w:szCs w:val="20"/>
          <w:color w:val="auto"/>
        </w:rPr>
      </w:pPr>
    </w:p>
    <w:p>
      <w:pPr>
        <w:jc w:val="both"/>
        <w:ind w:firstLine="1378"/>
        <w:spacing w:after="0" w:line="261" w:lineRule="auto"/>
        <w:rPr>
          <w:sz w:val="20"/>
          <w:szCs w:val="20"/>
          <w:color w:val="auto"/>
        </w:rPr>
      </w:pPr>
      <w:r>
        <w:rPr>
          <w:rFonts w:ascii="Arial" w:cs="Arial" w:eastAsia="Arial" w:hAnsi="Arial"/>
          <w:sz w:val="21"/>
          <w:szCs w:val="21"/>
          <w:color w:val="auto"/>
        </w:rPr>
        <w:t xml:space="preserve">10.10. </w:t>
      </w:r>
      <w:r>
        <w:rPr>
          <w:rFonts w:ascii="Arial" w:cs="Arial" w:eastAsia="Arial" w:hAnsi="Arial"/>
          <w:sz w:val="21"/>
          <w:szCs w:val="21"/>
          <w:u w:val="single" w:color="auto"/>
          <w:color w:val="auto"/>
        </w:rPr>
        <w:t>Rights as a Lender</w:t>
      </w:r>
      <w:r>
        <w:rPr>
          <w:rFonts w:ascii="Arial" w:cs="Arial" w:eastAsia="Arial" w:hAnsi="Arial"/>
          <w:sz w:val="21"/>
          <w:szCs w:val="21"/>
          <w:color w:val="auto"/>
        </w:rPr>
        <w:t>. In the event the Administrative Agent is a Lender, the Administrative Agent shall have the same rights and powers hereunder and under any other Loan Document with respect to its Revolving Commitment and its Loans as any Lender and may exercise the same as though it were not the Administrative Agent, and the term “Lender” or “Lenders” shall, at any time when the Administrative Agent is a Lender, unless the context otherwise indicates, include the Administrative Agent in its individual capacity. The Administrative Agent and its Affiliates may accept deposits from, lend money to, and generally engage in any kind of trust, debt, equity or other transaction, in addition to those contemplated by this Agreement or any other Loan Document, with the Borrower or any of its Subsidiaries in which the Borrower or such Subsidiary is not restricted hereby from engaging with any other Person.</w:t>
      </w:r>
    </w:p>
    <w:p>
      <w:pPr>
        <w:spacing w:after="0" w:line="222"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10.11.</w:t>
      </w:r>
      <w:r>
        <w:rPr>
          <w:rFonts w:ascii="Arial" w:cs="Arial" w:eastAsia="Arial" w:hAnsi="Arial"/>
          <w:sz w:val="22"/>
          <w:szCs w:val="22"/>
          <w:u w:val="single" w:color="auto"/>
          <w:color w:val="auto"/>
        </w:rPr>
        <w:t>Lender Credit Decision, Legal Representation.</w:t>
      </w:r>
    </w:p>
    <w:p>
      <w:pPr>
        <w:spacing w:after="0" w:line="37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40"/>
          </w:cols>
          <w:pgMar w:left="320" w:top="375" w:right="239" w:bottom="1440" w:gutter="0" w:footer="0" w:header="0"/>
        </w:sectPr>
      </w:pPr>
    </w:p>
    <w:bookmarkStart w:id="194" w:name="page195"/>
    <w:bookmarkEnd w:id="194"/>
    <w:p>
      <w:pPr>
        <w:jc w:val="both"/>
        <w:ind w:firstLine="1062"/>
        <w:spacing w:after="0" w:line="259" w:lineRule="auto"/>
        <w:tabs>
          <w:tab w:leader="none" w:pos="1541" w:val="left"/>
        </w:tabs>
        <w:numPr>
          <w:ilvl w:val="0"/>
          <w:numId w:val="124"/>
        </w:numPr>
        <w:rPr>
          <w:rFonts w:ascii="Arial" w:cs="Arial" w:eastAsia="Arial" w:hAnsi="Arial"/>
          <w:sz w:val="21"/>
          <w:szCs w:val="21"/>
          <w:color w:val="auto"/>
        </w:rPr>
      </w:pPr>
      <w:r>
        <w:rPr>
          <w:rFonts w:ascii="Arial" w:cs="Arial" w:eastAsia="Arial" w:hAnsi="Arial"/>
          <w:sz w:val="21"/>
          <w:szCs w:val="21"/>
          <w:color w:val="auto"/>
        </w:rPr>
        <w:t>Each Lender acknowledges that it has, independently and without reliance upon the Administrative Agent, the Arranger or any other Lender and based on the financial statements prepared by the Borrower and such other documents and information as it has deemed appropriate, made its own credit analysis and decision to enter into this Agreement and the other Loan Documents. Each Lender also acknowledges that it will, independently and without reliance upon the Administrative Agent, the Arranger or any other Lender and based on such documents and information as it shall deem appropriate at the time, continue to make its own credit decisions in taking or not taking action under this Agreement and the other Loan Documents. Except for any notice, report, document or other information expressly required to be furnished to the Lenders by the Administrative Agent or Arranger hereunder, neither the Administrative Agent nor the Arranger shall have any duty or responsibility (either initially or on a continuing basis) to provide any Lender with any notice, report, document, credit information or other information concerning the affairs, financial condition or business of the Borrower or any of its Affiliates that may come into the possession of the Administrative Agent or Arranger (whether or not in their respective capacity as Administrative Agent or Arranger) or any of their Affiliates.</w:t>
      </w:r>
    </w:p>
    <w:p>
      <w:pPr>
        <w:spacing w:after="0" w:line="276" w:lineRule="exact"/>
        <w:rPr>
          <w:rFonts w:ascii="Arial" w:cs="Arial" w:eastAsia="Arial" w:hAnsi="Arial"/>
          <w:sz w:val="21"/>
          <w:szCs w:val="21"/>
          <w:color w:val="auto"/>
        </w:rPr>
      </w:pPr>
    </w:p>
    <w:p>
      <w:pPr>
        <w:jc w:val="both"/>
        <w:ind w:left="40" w:firstLine="1049"/>
        <w:spacing w:after="0" w:line="251" w:lineRule="auto"/>
        <w:tabs>
          <w:tab w:leader="none" w:pos="1715" w:val="left"/>
        </w:tabs>
        <w:numPr>
          <w:ilvl w:val="1"/>
          <w:numId w:val="124"/>
        </w:numPr>
        <w:rPr>
          <w:rFonts w:ascii="Arial" w:cs="Arial" w:eastAsia="Arial" w:hAnsi="Arial"/>
          <w:sz w:val="22"/>
          <w:szCs w:val="22"/>
          <w:color w:val="auto"/>
        </w:rPr>
      </w:pPr>
      <w:r>
        <w:rPr>
          <w:rFonts w:ascii="Arial" w:cs="Arial" w:eastAsia="Arial" w:hAnsi="Arial"/>
          <w:sz w:val="22"/>
          <w:szCs w:val="22"/>
          <w:color w:val="auto"/>
        </w:rPr>
        <w:t>Each Lender further acknowledges that it has had the opportunity to be represented by legal counsel in connection with its execution of this Agreement and the other Loan Documents, that it has made its own evaluation of all applicable laws and regulations relating to the transactions contemplated hereby, and that the counsel to the Administrative Agent represents only the Administrative Agent and not the Lenders in connection with this Agreement and the transactions contemplated hereby.</w:t>
      </w:r>
    </w:p>
    <w:p>
      <w:pPr>
        <w:spacing w:after="0" w:line="230" w:lineRule="exact"/>
        <w:rPr>
          <w:sz w:val="20"/>
          <w:szCs w:val="20"/>
          <w:color w:val="auto"/>
        </w:rPr>
      </w:pPr>
    </w:p>
    <w:p>
      <w:pPr>
        <w:jc w:val="both"/>
        <w:ind w:left="40" w:firstLine="1378"/>
        <w:spacing w:after="0" w:line="285" w:lineRule="auto"/>
        <w:rPr>
          <w:sz w:val="20"/>
          <w:szCs w:val="20"/>
          <w:color w:val="auto"/>
        </w:rPr>
      </w:pPr>
      <w:r>
        <w:rPr>
          <w:rFonts w:ascii="Arial" w:cs="Arial" w:eastAsia="Arial" w:hAnsi="Arial"/>
          <w:sz w:val="19"/>
          <w:szCs w:val="19"/>
          <w:color w:val="auto"/>
        </w:rPr>
        <w:t xml:space="preserve">10.12. </w:t>
      </w:r>
      <w:r>
        <w:rPr>
          <w:rFonts w:ascii="Arial" w:cs="Arial" w:eastAsia="Arial" w:hAnsi="Arial"/>
          <w:sz w:val="19"/>
          <w:szCs w:val="19"/>
          <w:u w:val="single" w:color="auto"/>
          <w:color w:val="auto"/>
        </w:rPr>
        <w:t>Successor Administrative Agent</w:t>
      </w:r>
      <w:r>
        <w:rPr>
          <w:rFonts w:ascii="Arial" w:cs="Arial" w:eastAsia="Arial" w:hAnsi="Arial"/>
          <w:sz w:val="19"/>
          <w:szCs w:val="19"/>
          <w:color w:val="auto"/>
        </w:rPr>
        <w:t>. The Administrative Agent may resign at any time by giving written notice thereof to the Lenders and the Borrower, such resignation to be effective upon the appointment of a successor Administrative Agent or, if no successor Administrative Agent has been appointed, thirty (30) days after the retiring Administrative Agent gives notice of its intention to resign. Upon any such resignation, the Required Lenders shall have the right to appoint (upon consultation with the Borrower as long as no Event of Default exists), on behalf of the Borrower and the Lenders, a successor Administrative Agent. If no successor Administrative Agent shall have been so appointed by the Required Lenders within fifteen (15) days after the resigning Administrative Agent’s giving notice of its intention to resign, then the resigning Administrative Agent may appoint, on behalf of the Borrower and the Lenders, a successor Administrative Agent. Notwithstanding the previous sentence, the Administrative Agent may at any time without the consent of the Borrower or any Lender, appoint any of its Affiliates which is a commercial bank as a successor Administrative Agent hereunder. If the Administrative Agent has resigned and no successor Administrative Agent has been appointed, the Lenders may perform all the duties of the Administrative Agent hereunder and the Borrower shall make all payments in respect of the Obligations to the applicable Lender and for all other purposes shall deal directly with the Lenders. No successor Administrative Agent shall be deemed to be appointed hereunder until such successor Administrative Agent has accepted the appointment. Upon the acceptance of any appointment as Administrative Agent hereunder by a successor Administrative Agent, such successor Administrative Agent shall thereupon succeed to and become vested with all the rights, powers, privileges and duties of the resigning Administrative Agent. Upon the effectiveness of the resignation of the Administrative Agent, the resigning Administrative Agent shall be discharged from its duties and obligations hereunder and under the Loan Documents. After the effectiveness of the resignation of an Administrative Agent, the provisions of this Article X shall continue in effect for the benefit of such Administrative Agent in respect of any actions taken or omitted to be taken by it while it was acting as the Administrative Agent hereunder and under the other Loan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40"/>
          </w:cols>
          <w:pgMar w:left="320" w:top="429" w:right="239" w:bottom="1440" w:gutter="0" w:footer="0" w:header="0"/>
        </w:sectPr>
      </w:pPr>
    </w:p>
    <w:bookmarkStart w:id="195" w:name="page196"/>
    <w:bookmarkEnd w:id="195"/>
    <w:p>
      <w:pPr>
        <w:jc w:val="both"/>
        <w:ind w:left="40" w:right="20"/>
        <w:spacing w:after="0" w:line="271" w:lineRule="auto"/>
        <w:rPr>
          <w:sz w:val="20"/>
          <w:szCs w:val="20"/>
          <w:color w:val="auto"/>
        </w:rPr>
      </w:pPr>
      <w:r>
        <w:rPr>
          <w:rFonts w:ascii="Arial" w:cs="Arial" w:eastAsia="Arial" w:hAnsi="Arial"/>
          <w:sz w:val="21"/>
          <w:szCs w:val="21"/>
          <w:color w:val="auto"/>
        </w:rPr>
        <w:t>Documents. In the event that there is a successor to the Administrative Agent by merger, or the Administrative Agent assigns its duties and obligations to an Affiliate pursuant to this Section 10.12, then the term “Prime Rate” as used in this Agreement shall mean the prime rate, base rate or other analogous rate of the new Administrative Agent.</w:t>
      </w:r>
    </w:p>
    <w:p>
      <w:pPr>
        <w:spacing w:after="0" w:line="208" w:lineRule="exact"/>
        <w:rPr>
          <w:sz w:val="20"/>
          <w:szCs w:val="20"/>
          <w:color w:val="auto"/>
        </w:rPr>
      </w:pPr>
    </w:p>
    <w:p>
      <w:pPr>
        <w:jc w:val="both"/>
        <w:ind w:left="40" w:firstLine="1378"/>
        <w:spacing w:after="0" w:line="260" w:lineRule="auto"/>
        <w:rPr>
          <w:sz w:val="20"/>
          <w:szCs w:val="20"/>
          <w:color w:val="auto"/>
        </w:rPr>
      </w:pPr>
      <w:r>
        <w:rPr>
          <w:rFonts w:ascii="Arial" w:cs="Arial" w:eastAsia="Arial" w:hAnsi="Arial"/>
          <w:sz w:val="22"/>
          <w:szCs w:val="22"/>
          <w:color w:val="auto"/>
        </w:rPr>
        <w:t xml:space="preserve">10.13. </w:t>
      </w:r>
      <w:r>
        <w:rPr>
          <w:rFonts w:ascii="Arial" w:cs="Arial" w:eastAsia="Arial" w:hAnsi="Arial"/>
          <w:sz w:val="22"/>
          <w:szCs w:val="22"/>
          <w:u w:val="single" w:color="auto"/>
          <w:color w:val="auto"/>
        </w:rPr>
        <w:t>Administrative Agent Fees</w:t>
      </w:r>
      <w:r>
        <w:rPr>
          <w:rFonts w:ascii="Arial" w:cs="Arial" w:eastAsia="Arial" w:hAnsi="Arial"/>
          <w:sz w:val="22"/>
          <w:szCs w:val="22"/>
          <w:color w:val="auto"/>
        </w:rPr>
        <w:t>. The Borrower agrees to pay, as are payable from time to time, the Administrative Agent the fees agreed to by the Borrower pursuant to that certain letter dated September 13, 2017 (the “</w:t>
      </w:r>
      <w:r>
        <w:rPr>
          <w:rFonts w:ascii="Arial" w:cs="Arial" w:eastAsia="Arial" w:hAnsi="Arial"/>
          <w:sz w:val="22"/>
          <w:szCs w:val="22"/>
          <w:u w:val="single" w:color="auto"/>
          <w:color w:val="auto"/>
        </w:rPr>
        <w:t>Fee</w:t>
      </w:r>
      <w:r>
        <w:rPr>
          <w:rFonts w:ascii="Arial" w:cs="Arial" w:eastAsia="Arial" w:hAnsi="Arial"/>
          <w:sz w:val="22"/>
          <w:szCs w:val="22"/>
          <w:color w:val="auto"/>
        </w:rPr>
        <w:t xml:space="preserve"> </w:t>
      </w:r>
      <w:r>
        <w:rPr>
          <w:rFonts w:ascii="Arial" w:cs="Arial" w:eastAsia="Arial" w:hAnsi="Arial"/>
          <w:sz w:val="22"/>
          <w:szCs w:val="22"/>
          <w:u w:val="single" w:color="auto"/>
          <w:color w:val="auto"/>
        </w:rPr>
        <w:t>Letter</w:t>
      </w:r>
      <w:r>
        <w:rPr>
          <w:rFonts w:ascii="Arial" w:cs="Arial" w:eastAsia="Arial" w:hAnsi="Arial"/>
          <w:sz w:val="22"/>
          <w:szCs w:val="22"/>
          <w:color w:val="auto"/>
        </w:rPr>
        <w:t>”), or as otherwise agreed from time to time.</w:t>
      </w:r>
    </w:p>
    <w:p>
      <w:pPr>
        <w:spacing w:after="0" w:line="258" w:lineRule="exact"/>
        <w:rPr>
          <w:sz w:val="20"/>
          <w:szCs w:val="20"/>
          <w:color w:val="auto"/>
        </w:rPr>
      </w:pPr>
    </w:p>
    <w:p>
      <w:pPr>
        <w:jc w:val="both"/>
        <w:ind w:firstLine="1378"/>
        <w:spacing w:after="0" w:line="307" w:lineRule="auto"/>
        <w:rPr>
          <w:sz w:val="20"/>
          <w:szCs w:val="20"/>
          <w:color w:val="auto"/>
        </w:rPr>
      </w:pPr>
      <w:r>
        <w:rPr>
          <w:rFonts w:ascii="Arial" w:cs="Arial" w:eastAsia="Arial" w:hAnsi="Arial"/>
          <w:sz w:val="19"/>
          <w:szCs w:val="19"/>
          <w:color w:val="auto"/>
        </w:rPr>
        <w:t xml:space="preserve">10.14. </w:t>
      </w:r>
      <w:r>
        <w:rPr>
          <w:rFonts w:ascii="Arial" w:cs="Arial" w:eastAsia="Arial" w:hAnsi="Arial"/>
          <w:sz w:val="19"/>
          <w:szCs w:val="19"/>
          <w:u w:val="single" w:color="auto"/>
          <w:color w:val="auto"/>
        </w:rPr>
        <w:t>Delegation to Affiliates</w:t>
      </w:r>
      <w:r>
        <w:rPr>
          <w:rFonts w:ascii="Arial" w:cs="Arial" w:eastAsia="Arial" w:hAnsi="Arial"/>
          <w:sz w:val="19"/>
          <w:szCs w:val="19"/>
          <w:color w:val="auto"/>
        </w:rPr>
        <w:t>. The Borrower and the Lenders agree that the Administrative Agent may delegate any of its duties under this Agreement to any of its Affiliates. Any such Affiliate (and such Affiliate’s directors, officers, agents and employees) which performs duties in connection with this Agreement shall be entitled to the same benefits of the indemnification, waiver and other protective provisions to which the Administrative Agent is entitled under Articles IX and X.</w:t>
      </w:r>
    </w:p>
    <w:p>
      <w:pPr>
        <w:spacing w:after="0" w:line="179" w:lineRule="exact"/>
        <w:rPr>
          <w:sz w:val="20"/>
          <w:szCs w:val="20"/>
          <w:color w:val="auto"/>
        </w:rPr>
      </w:pPr>
    </w:p>
    <w:p>
      <w:pPr>
        <w:jc w:val="both"/>
        <w:ind w:firstLine="1378"/>
        <w:spacing w:after="0" w:line="254" w:lineRule="auto"/>
        <w:rPr>
          <w:sz w:val="20"/>
          <w:szCs w:val="20"/>
          <w:color w:val="auto"/>
        </w:rPr>
      </w:pPr>
      <w:r>
        <w:rPr>
          <w:rFonts w:ascii="Arial" w:cs="Arial" w:eastAsia="Arial" w:hAnsi="Arial"/>
          <w:sz w:val="22"/>
          <w:szCs w:val="22"/>
          <w:color w:val="auto"/>
        </w:rPr>
        <w:t xml:space="preserve">10.15. </w:t>
      </w:r>
      <w:r>
        <w:rPr>
          <w:rFonts w:ascii="Arial" w:cs="Arial" w:eastAsia="Arial" w:hAnsi="Arial"/>
          <w:sz w:val="22"/>
          <w:szCs w:val="22"/>
          <w:u w:val="single" w:color="auto"/>
          <w:color w:val="auto"/>
        </w:rPr>
        <w:t>Execution of Collateral Documents</w:t>
      </w:r>
      <w:r>
        <w:rPr>
          <w:rFonts w:ascii="Arial" w:cs="Arial" w:eastAsia="Arial" w:hAnsi="Arial"/>
          <w:sz w:val="22"/>
          <w:szCs w:val="22"/>
          <w:color w:val="auto"/>
        </w:rPr>
        <w:t>. The Lenders hereby empower and authorize the Administrative Agent to execute and deliver to the Borrower on their behalf the Collateral Documents and all related financing statements and any financing statements, agreements, documents or instruments as shall be necessary or appropriate to effect the purposes of the Collateral Documents.</w:t>
      </w:r>
    </w:p>
    <w:p>
      <w:pPr>
        <w:spacing w:after="0" w:line="226" w:lineRule="exact"/>
        <w:rPr>
          <w:sz w:val="20"/>
          <w:szCs w:val="20"/>
          <w:color w:val="auto"/>
        </w:rPr>
      </w:pPr>
    </w:p>
    <w:p>
      <w:pPr>
        <w:jc w:val="both"/>
        <w:ind w:firstLine="1378"/>
        <w:spacing w:after="0" w:line="287" w:lineRule="auto"/>
        <w:rPr>
          <w:sz w:val="20"/>
          <w:szCs w:val="20"/>
          <w:color w:val="auto"/>
        </w:rPr>
      </w:pPr>
      <w:r>
        <w:rPr>
          <w:rFonts w:ascii="Arial" w:cs="Arial" w:eastAsia="Arial" w:hAnsi="Arial"/>
          <w:sz w:val="19"/>
          <w:szCs w:val="19"/>
          <w:color w:val="auto"/>
        </w:rPr>
        <w:t xml:space="preserve">10.16. </w:t>
      </w:r>
      <w:r>
        <w:rPr>
          <w:rFonts w:ascii="Arial" w:cs="Arial" w:eastAsia="Arial" w:hAnsi="Arial"/>
          <w:sz w:val="19"/>
          <w:szCs w:val="19"/>
          <w:u w:val="single" w:color="auto"/>
          <w:color w:val="auto"/>
        </w:rPr>
        <w:t>Collateral Releases and Subordination</w:t>
      </w:r>
      <w:r>
        <w:rPr>
          <w:rFonts w:ascii="Arial" w:cs="Arial" w:eastAsia="Arial" w:hAnsi="Arial"/>
          <w:sz w:val="19"/>
          <w:szCs w:val="19"/>
          <w:color w:val="auto"/>
        </w:rPr>
        <w:t>. The Lenders hereby empower and authorize the Administrative Agent to execute and deliver to the Borrower on their behalf any agreements, documents or instruments as shall be necessary or appropriate to effect any releases of Collateral which shall be permitted by the terms hereof or of any other Loan Document (including, without limitation, in connection with any asset sale permitted hereunder or in connection with any release of a Guarantor made in accordance with the Loan Documents) or which shall otherwise have been approved by the Required Lenders (or, if required by the terms of Section 8.3, all of the Lenders) in writing. In addition, the Lenders authorize the Administrative Agent to release any Guarantor from its obligations under the Loan Documents if such Person is no longer required to be a Guarantor hereunder or if such Person is sold, transferred or assigned in accordance with and to the extent permitted by the terms of this Agreement. Upon the request of the Administrative Agent at any time, the Required Lenders will confirm in writing the Administrative Agent’s authority to release or subordinate its interest in particular types or items of Collateral, or to release any Guarantor from its obligations under the Loan Documents pursuant to the foregoing. In each case as specified hereto, the Administrative Agent may (and each Lender hereby authorizes the Administrative Agent to), at the Borrower’s expense, execute and deliver to the applicable Loan Party such documents as such Loan Party may reasonably request to evidence the release of such item of Collateral from the security interest granted under the Loan Documents or to subordinate its interest therein, or to release a Guarantor from its obligations under the Guaranty, in each case in accordance with the terms of the Loan Documents.</w:t>
      </w:r>
    </w:p>
    <w:p>
      <w:pPr>
        <w:spacing w:after="0" w:line="200" w:lineRule="exact"/>
        <w:rPr>
          <w:sz w:val="20"/>
          <w:szCs w:val="20"/>
          <w:color w:val="auto"/>
        </w:rPr>
      </w:pPr>
    </w:p>
    <w:p>
      <w:pPr>
        <w:jc w:val="both"/>
        <w:ind w:firstLine="1378"/>
        <w:spacing w:after="0" w:line="266" w:lineRule="auto"/>
        <w:rPr>
          <w:sz w:val="20"/>
          <w:szCs w:val="20"/>
          <w:color w:val="auto"/>
        </w:rPr>
      </w:pPr>
      <w:r>
        <w:rPr>
          <w:rFonts w:ascii="Arial" w:cs="Arial" w:eastAsia="Arial" w:hAnsi="Arial"/>
          <w:sz w:val="21"/>
          <w:szCs w:val="21"/>
          <w:color w:val="auto"/>
        </w:rPr>
        <w:t xml:space="preserve">10.17. </w:t>
      </w:r>
      <w:r>
        <w:rPr>
          <w:rFonts w:ascii="Arial" w:cs="Arial" w:eastAsia="Arial" w:hAnsi="Arial"/>
          <w:sz w:val="21"/>
          <w:szCs w:val="21"/>
          <w:u w:val="single" w:color="auto"/>
          <w:color w:val="auto"/>
        </w:rPr>
        <w:t>No Advisory or Fiduciary Responsibility</w:t>
      </w:r>
      <w:r>
        <w:rPr>
          <w:rFonts w:ascii="Arial" w:cs="Arial" w:eastAsia="Arial" w:hAnsi="Arial"/>
          <w:sz w:val="21"/>
          <w:szCs w:val="21"/>
          <w:color w:val="auto"/>
        </w:rPr>
        <w:t>. In connection with all aspects of each transaction contemplated hereby (including in connection with any amendment, waiver or other modification hereof or of any other Loan Document), the Borrower acknowledges and agrees that: (i) (A) the arranging and other services regarding this Agreement provided by the Administrative Agent and the Lenders are arm’s-length commercial transactions between the Borrower and its Affiliates, on the one hand, and the Administrative Agent and the Lenders, on the</w:t>
      </w:r>
    </w:p>
    <w:p>
      <w:pPr>
        <w:spacing w:after="0" w:line="18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40"/>
          </w:cols>
          <w:pgMar w:left="320" w:top="375" w:right="239" w:bottom="1440" w:gutter="0" w:footer="0" w:header="0"/>
        </w:sectPr>
      </w:pPr>
    </w:p>
    <w:bookmarkStart w:id="196" w:name="page197"/>
    <w:bookmarkEnd w:id="196"/>
    <w:p>
      <w:pPr>
        <w:jc w:val="both"/>
        <w:spacing w:after="0" w:line="257" w:lineRule="auto"/>
        <w:rPr>
          <w:sz w:val="20"/>
          <w:szCs w:val="20"/>
          <w:color w:val="auto"/>
        </w:rPr>
      </w:pPr>
      <w:r>
        <w:rPr>
          <w:rFonts w:ascii="Arial" w:cs="Arial" w:eastAsia="Arial" w:hAnsi="Arial"/>
          <w:sz w:val="21"/>
          <w:szCs w:val="21"/>
          <w:color w:val="auto"/>
        </w:rPr>
        <w:t>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each of the Administrative Agent and the Lenders is and has been acting solely as a principal and, except as expressly agreed in writing by the relevant parties, has not been, is not, and will not be acting as an advisor, agent or fiduciary for the Borrower or any of its Affiliates, or any other Person and (B) neither the Administrative Agent nor any Lender has any obligation to the Borrower or any of its Affiliates with respect to the transactions contemplated hereby except those obligations expressly set forth herein and in the other Loan Documents; and (iii) the Administrative Agent and each of the Lenders and their respective Affiliates may be engaged in a broad range of transactions that involve interests that differ from those of the Borrower and its Affiliates, and neither the Administrative Agent nor any Lender has any obligation to disclose any of such interests to the Borrower or its Affiliates. To the fullest extent permitted by law, the Borrower hereby waives and releases any claims that it may have against the Administrative Agent and each of the Lenders with respect to any breach or alleged breach of agency or fiduciary duty in connection with any aspect of any transaction contemplated hereby.</w:t>
      </w:r>
    </w:p>
    <w:p>
      <w:pPr>
        <w:spacing w:after="0" w:line="198"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u w:val="single" w:color="auto"/>
          <w:color w:val="auto"/>
        </w:rPr>
        <w:t>ARTICLE XI</w:t>
      </w:r>
    </w:p>
    <w:p>
      <w:pPr>
        <w:spacing w:after="0" w:line="200" w:lineRule="exact"/>
        <w:rPr>
          <w:sz w:val="20"/>
          <w:szCs w:val="20"/>
          <w:color w:val="auto"/>
        </w:rPr>
      </w:pPr>
    </w:p>
    <w:p>
      <w:pPr>
        <w:spacing w:after="0" w:line="371" w:lineRule="exact"/>
        <w:rPr>
          <w:sz w:val="20"/>
          <w:szCs w:val="20"/>
          <w:color w:val="auto"/>
        </w:rPr>
      </w:pPr>
    </w:p>
    <w:p>
      <w:pPr>
        <w:ind w:left="5360"/>
        <w:spacing w:after="0"/>
        <w:rPr>
          <w:sz w:val="20"/>
          <w:szCs w:val="20"/>
          <w:color w:val="auto"/>
        </w:rPr>
      </w:pPr>
      <w:r>
        <w:rPr>
          <w:rFonts w:ascii="Arial" w:cs="Arial" w:eastAsia="Arial" w:hAnsi="Arial"/>
          <w:sz w:val="22"/>
          <w:szCs w:val="22"/>
          <w:b w:val="1"/>
          <w:bCs w:val="1"/>
          <w:u w:val="single" w:color="auto"/>
          <w:color w:val="auto"/>
        </w:rPr>
        <w:t>SETOFF; RATABLE PAYMENTS</w:t>
      </w:r>
    </w:p>
    <w:p>
      <w:pPr>
        <w:spacing w:after="0" w:line="199" w:lineRule="exact"/>
        <w:rPr>
          <w:sz w:val="20"/>
          <w:szCs w:val="20"/>
          <w:color w:val="auto"/>
        </w:rPr>
      </w:pPr>
    </w:p>
    <w:p>
      <w:pPr>
        <w:jc w:val="both"/>
        <w:ind w:firstLine="1378"/>
        <w:spacing w:after="0" w:line="288"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Setoff</w:t>
      </w:r>
      <w:r>
        <w:rPr>
          <w:rFonts w:ascii="Arial" w:cs="Arial" w:eastAsia="Arial" w:hAnsi="Arial"/>
          <w:sz w:val="19"/>
          <w:szCs w:val="19"/>
          <w:color w:val="auto"/>
        </w:rPr>
        <w:t xml:space="preserve">. The Borrower hereby grants each Lender a security interest in all deposits, credits and deposit accounts (including all account balances, whether provisional or final and whether or not collected or available) of the Borrower with such Lender or any Affiliate of such Lender (the “Deposits”) to secure the Obligations. In addition to, and without limitation of, any rights of the Lenders under applicable law, if the Borrower becomes insolvent, however evidenced, or any Event of Default occurs, Borrower authorizes each Lender, with the prior written consent of the Administrative Agent, to offset and apply all such Deposits toward the payment of the Obligations owing to such Lender, whether or not the Obligations, or any part thereof, shall then be due and regardless of the existence or adequacy of any collateral, guaranty or any other security, right or remedy available to such Lender or the Lenders; </w:t>
      </w:r>
      <w:r>
        <w:rPr>
          <w:rFonts w:ascii="Arial" w:cs="Arial" w:eastAsia="Arial" w:hAnsi="Arial"/>
          <w:sz w:val="19"/>
          <w:szCs w:val="19"/>
          <w:i w:val="1"/>
          <w:iCs w:val="1"/>
          <w:color w:val="auto"/>
        </w:rPr>
        <w:t>provided</w:t>
      </w:r>
      <w:r>
        <w:rPr>
          <w:rFonts w:ascii="Arial" w:cs="Arial" w:eastAsia="Arial" w:hAnsi="Arial"/>
          <w:sz w:val="19"/>
          <w:szCs w:val="19"/>
          <w:color w:val="auto"/>
        </w:rPr>
        <w:t>, that in the event that any Defaulting Lender shall exercise such right of setoff, (x) all amounts so set off shall be paid over immediately to the Administrative Agent for further application in accordance with the provisions of Section 2.22 and, pending such payment, shall be segregated by such Defaulting Lender from its other funds and deemed held in trust for the benefit of the Administrative Agent, the LC Issuer, and the Lenders, and (y) the Defaulting Lender shall provide promptly to the Administrative Agent a statement describing in reasonable detail the Obligations owing to such Defaulting Lender as to which it exercised such right of setoff.</w:t>
      </w:r>
    </w:p>
    <w:p>
      <w:pPr>
        <w:spacing w:after="0" w:line="198" w:lineRule="exact"/>
        <w:rPr>
          <w:sz w:val="20"/>
          <w:szCs w:val="20"/>
          <w:color w:val="auto"/>
        </w:rPr>
      </w:pPr>
    </w:p>
    <w:p>
      <w:pPr>
        <w:jc w:val="both"/>
        <w:ind w:firstLine="1378"/>
        <w:spacing w:after="0" w:line="291"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u w:val="single" w:color="auto"/>
          <w:color w:val="auto"/>
        </w:rPr>
        <w:t>Ratable Payments</w:t>
      </w:r>
      <w:r>
        <w:rPr>
          <w:rFonts w:ascii="Arial" w:cs="Arial" w:eastAsia="Arial" w:hAnsi="Arial"/>
          <w:sz w:val="19"/>
          <w:szCs w:val="19"/>
          <w:color w:val="auto"/>
        </w:rPr>
        <w:t>. If any Lender, whether by setoff or otherwise, has payment made to it upon its Revolving Exposure (other than payments received pursuant to Section 3.1, 3.2, 3.4 or 3.5) in a greater proportion than that received by any other Lender, such Lender agrees, promptly upon demand, to purchase a portion of the Aggregate Revolving Exposure held by the other Lenders so that after such purchase each Lender will hold its Pro Rata Share of the Aggregate Revolving Exposure. If any Lender, whether in connection with setoff or amounts which might be subject to setoff or otherwise, receives collateral or other protection for its Obligations or such amounts which may be subject to setoff, such Lender agrees, promptly upon demand, to take such action necessary such that all Lenders share in the benefits of such collateral or other protection ratably in proportion to their respective Pro Rata Shares of the Aggregate Revolving Exposure. In case any such payment is disturbed by legal process, or otherwise, appropriate further adjustments shall be made.</w:t>
      </w:r>
    </w:p>
    <w:p>
      <w:pPr>
        <w:spacing w:after="0" w:line="230" w:lineRule="exact"/>
        <w:rPr>
          <w:sz w:val="20"/>
          <w:szCs w:val="20"/>
          <w:color w:val="auto"/>
        </w:rPr>
      </w:pPr>
    </w:p>
    <w:p>
      <w:pPr>
        <w:ind w:left="6280"/>
        <w:spacing w:after="0"/>
        <w:rPr>
          <w:sz w:val="20"/>
          <w:szCs w:val="20"/>
          <w:color w:val="auto"/>
        </w:rPr>
      </w:pPr>
      <w:r>
        <w:rPr>
          <w:rFonts w:ascii="Arial" w:cs="Arial" w:eastAsia="Arial" w:hAnsi="Arial"/>
          <w:sz w:val="22"/>
          <w:szCs w:val="22"/>
          <w:b w:val="1"/>
          <w:bCs w:val="1"/>
          <w:u w:val="single" w:color="auto"/>
          <w:color w:val="auto"/>
        </w:rPr>
        <w:t>ARTICLE XII</w:t>
      </w:r>
    </w:p>
    <w:p>
      <w:pPr>
        <w:spacing w:after="0" w:line="314" w:lineRule="exact"/>
        <w:rPr>
          <w:sz w:val="20"/>
          <w:szCs w:val="20"/>
          <w:color w:val="auto"/>
        </w:rPr>
      </w:pPr>
    </w:p>
    <w:p>
      <w:pPr>
        <w:ind w:left="2960"/>
        <w:spacing w:after="0"/>
        <w:rPr>
          <w:sz w:val="20"/>
          <w:szCs w:val="20"/>
          <w:color w:val="auto"/>
        </w:rPr>
      </w:pPr>
      <w:r>
        <w:rPr>
          <w:rFonts w:ascii="Arial" w:cs="Arial" w:eastAsia="Arial" w:hAnsi="Arial"/>
          <w:sz w:val="22"/>
          <w:szCs w:val="22"/>
          <w:b w:val="1"/>
          <w:bCs w:val="1"/>
          <w:u w:val="single" w:color="auto"/>
          <w:color w:val="auto"/>
        </w:rPr>
        <w:t>BENEFIT OF AGREEMENT; ASSIGNMENTS; PARTICIPATIONS</w:t>
      </w:r>
    </w:p>
    <w:p>
      <w:pPr>
        <w:spacing w:after="0" w:line="199" w:lineRule="exact"/>
        <w:rPr>
          <w:sz w:val="20"/>
          <w:szCs w:val="20"/>
          <w:color w:val="auto"/>
        </w:rPr>
      </w:pPr>
    </w:p>
    <w:p>
      <w:pPr>
        <w:jc w:val="both"/>
        <w:ind w:firstLine="1378"/>
        <w:spacing w:after="0" w:line="286" w:lineRule="auto"/>
        <w:rPr>
          <w:sz w:val="20"/>
          <w:szCs w:val="20"/>
          <w:color w:val="auto"/>
        </w:rPr>
      </w:pPr>
      <w:r>
        <w:rPr>
          <w:rFonts w:ascii="Arial" w:cs="Arial" w:eastAsia="Arial" w:hAnsi="Arial"/>
          <w:sz w:val="19"/>
          <w:szCs w:val="19"/>
          <w:color w:val="auto"/>
        </w:rPr>
        <w:t xml:space="preserve">12.1.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xml:space="preserve">. The terms and provisions of the Loan Documents shall be binding upon and inure to the benefit of the Borrower and the Lenders and their respective successors and assigns permitted hereby, except that (i) the Borrower shall not have the right to assign its rights or obligations under the Loan Documents without the prior written consent of each Lender, (ii) any assignment by any Lender must be made in compliance with Section 12.3, and (iii) any transfer by participation must be made in compliance with Section 12.2. Any attempted assignment or transfer by any party not made in compliance with this Section 12.1 shall be null and void, unless such attempted assignment or transfer is treated as a participation in accordance with the terms of this Agreement. The parties to this Agreement acknowledge that clause (ii) of this Section 12.1 relates only to absolute assignments and this Section 12.1 does not prohibit assignments creating security interests, including, without limitation, (x) any pledge or assignment by any Lender of all or any portion of its rights under this Agreement and any Note to a Federal Reserve Bank or (y) in the case of a Lender which is a Fund, any pledge or assignment of all or any portion of its rights under this Agreement and any Note to its trustee in support of its obligations to its trustee;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no such pledge or assignment creating a security interest shall release the transferor Lender from its obligations hereunder unless and until the parties thereto have complied with the provisions of Section 12.3. The Administrative Agent may treat the Person which made any Loan or which holds any Note as the owner thereof for all purposes hereof unless and until such Person complies with Section 12.3;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Administrative Agent may in its discretion (but shall not be required to) follow instructions from the Person which made any Loan or which holds any Note to direct payments relating to such Loan or Note to another Person.</w:t>
      </w:r>
    </w:p>
    <w:p>
      <w:pPr>
        <w:sectPr>
          <w:pgSz w:w="11900" w:h="16838" w:orient="portrait"/>
          <w:cols w:equalWidth="0" w:num="1">
            <w:col w:w="11340"/>
          </w:cols>
          <w:pgMar w:left="320" w:top="375" w:right="239" w:bottom="0" w:gutter="0" w:footer="0" w:header="0"/>
        </w:sectPr>
      </w:pPr>
    </w:p>
    <w:bookmarkStart w:id="197" w:name="page198"/>
    <w:bookmarkEnd w:id="197"/>
    <w:p>
      <w:pPr>
        <w:jc w:val="both"/>
        <w:spacing w:after="0" w:line="302" w:lineRule="auto"/>
        <w:rPr>
          <w:sz w:val="20"/>
          <w:szCs w:val="20"/>
          <w:color w:val="auto"/>
        </w:rPr>
      </w:pPr>
      <w:r>
        <w:rPr>
          <w:rFonts w:ascii="Arial" w:cs="Arial" w:eastAsia="Arial" w:hAnsi="Arial"/>
          <w:sz w:val="19"/>
          <w:szCs w:val="19"/>
          <w:color w:val="auto"/>
        </w:rPr>
        <w:t>Any assignee of the rights to any Loan or any Note agrees by acceptance of such assignment to be bound by all the terms and provisions of the Loan Documents. Any request, authority or consent of any Person, who at the time of making such request or giving such authority or consent is the owner of the rights to any Loan (whether or not a Note has been issued in evidence thereof), shall be conclusive and binding on any subsequent holder or assignee of the rights to such Loan.</w:t>
      </w:r>
    </w:p>
    <w:p>
      <w:pPr>
        <w:spacing w:after="0" w:line="183"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u w:val="single" w:color="auto"/>
          <w:color w:val="auto"/>
        </w:rPr>
        <w:t>Participations</w:t>
      </w:r>
      <w:r>
        <w:rPr>
          <w:rFonts w:ascii="Arial" w:cs="Arial" w:eastAsia="Arial" w:hAnsi="Arial"/>
          <w:sz w:val="22"/>
          <w:szCs w:val="22"/>
          <w:color w:val="auto"/>
        </w:rPr>
        <w:t>.</w:t>
      </w:r>
    </w:p>
    <w:p>
      <w:pPr>
        <w:spacing w:after="0" w:line="37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40"/>
          </w:cols>
          <w:pgMar w:left="320" w:top="132" w:right="239" w:bottom="1440" w:gutter="0" w:footer="0" w:header="0"/>
        </w:sectPr>
      </w:pPr>
    </w:p>
    <w:bookmarkStart w:id="198" w:name="page199"/>
    <w:bookmarkEnd w:id="198"/>
    <w:p>
      <w:pPr>
        <w:jc w:val="both"/>
        <w:ind w:firstLine="1062"/>
        <w:spacing w:after="0" w:line="289" w:lineRule="auto"/>
        <w:tabs>
          <w:tab w:leader="none" w:pos="2171"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Permitted Participants; Effect</w:t>
      </w:r>
      <w:r>
        <w:rPr>
          <w:rFonts w:ascii="Arial" w:cs="Arial" w:eastAsia="Arial" w:hAnsi="Arial"/>
          <w:sz w:val="19"/>
          <w:szCs w:val="19"/>
          <w:color w:val="auto"/>
        </w:rPr>
        <w:t>. Any Lender may at any time sell to one or more entities (“Participants”) participating interests in any Revolving Exposure owing to such Lender, any Note held by such Lender, any Revolving Commitment of such Lender or any other interest of such Lender under the Loan Documents. In the event of any such sale by a Lender of participating interests to a Participant, such Lender’s obligations under the Loan Documents shall remain unchanged, such Lender shall remain solely responsible to the other parties hereto for the performance of such obligations, such Lender shall remain the owner of its Revolving Exposure and the holder of any Note issued to it in evidence thereof for all purposes under the Loan Documents, all amounts payable by the Borrower under this Agreement shall be determined as if such Lender had not sold such participating interests, and the Borrower and the Administrative Agent shall continue to deal solely and directly with such Lender in connection with such Lender’s rights and obligations under the Loan Documents.</w:t>
      </w:r>
    </w:p>
    <w:p>
      <w:pPr>
        <w:spacing w:after="0" w:line="238" w:lineRule="exact"/>
        <w:rPr>
          <w:rFonts w:ascii="Arial" w:cs="Arial" w:eastAsia="Arial" w:hAnsi="Arial"/>
          <w:sz w:val="19"/>
          <w:szCs w:val="19"/>
          <w:color w:val="auto"/>
        </w:rPr>
      </w:pPr>
    </w:p>
    <w:p>
      <w:pPr>
        <w:jc w:val="both"/>
        <w:ind w:left="40" w:firstLine="1049"/>
        <w:spacing w:after="0" w:line="246" w:lineRule="auto"/>
        <w:tabs>
          <w:tab w:leader="none" w:pos="2210" w:val="left"/>
        </w:tabs>
        <w:numPr>
          <w:ilvl w:val="1"/>
          <w:numId w:val="125"/>
        </w:numPr>
        <w:rPr>
          <w:rFonts w:ascii="Arial" w:cs="Arial" w:eastAsia="Arial" w:hAnsi="Arial"/>
          <w:sz w:val="22"/>
          <w:szCs w:val="22"/>
          <w:color w:val="auto"/>
        </w:rPr>
      </w:pPr>
      <w:r>
        <w:rPr>
          <w:rFonts w:ascii="Arial" w:cs="Arial" w:eastAsia="Arial" w:hAnsi="Arial"/>
          <w:sz w:val="22"/>
          <w:szCs w:val="22"/>
          <w:u w:val="single" w:color="auto"/>
          <w:color w:val="auto"/>
        </w:rPr>
        <w:t>Voting Rights</w:t>
      </w:r>
      <w:r>
        <w:rPr>
          <w:rFonts w:ascii="Arial" w:cs="Arial" w:eastAsia="Arial" w:hAnsi="Arial"/>
          <w:sz w:val="22"/>
          <w:szCs w:val="22"/>
          <w:color w:val="auto"/>
        </w:rPr>
        <w:t xml:space="preserve">. Each Lender shall retain the sole right to approve, without the consent of any Participant, any amendment, modification or waiver of any provision of the Loan Documents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each such Lender may agree in its participation agreement with its Participant that such Lender will not vote to approve any amendment, modification or waiver with respect to any Revolving Exposure or Revolving Commitment in which such Participant has an interest which would require consent of all of the Lenders pursuant to the terms of Section</w:t>
      </w:r>
    </w:p>
    <w:p>
      <w:pPr>
        <w:spacing w:after="0" w:line="4" w:lineRule="exact"/>
        <w:rPr>
          <w:rFonts w:ascii="Arial" w:cs="Arial" w:eastAsia="Arial" w:hAnsi="Arial"/>
          <w:sz w:val="22"/>
          <w:szCs w:val="22"/>
          <w:color w:val="auto"/>
        </w:rPr>
      </w:pPr>
    </w:p>
    <w:p>
      <w:pPr>
        <w:ind w:left="40"/>
        <w:spacing w:after="0"/>
        <w:rPr>
          <w:rFonts w:ascii="Arial" w:cs="Arial" w:eastAsia="Arial" w:hAnsi="Arial"/>
          <w:sz w:val="22"/>
          <w:szCs w:val="22"/>
          <w:color w:val="auto"/>
        </w:rPr>
      </w:pPr>
      <w:r>
        <w:rPr>
          <w:rFonts w:ascii="Arial" w:cs="Arial" w:eastAsia="Arial" w:hAnsi="Arial"/>
          <w:sz w:val="22"/>
          <w:szCs w:val="22"/>
          <w:color w:val="auto"/>
        </w:rPr>
        <w:t>8.3 or of any other Loan Document.</w:t>
      </w:r>
    </w:p>
    <w:p>
      <w:pPr>
        <w:spacing w:after="0" w:line="242" w:lineRule="exact"/>
        <w:rPr>
          <w:rFonts w:ascii="Arial" w:cs="Arial" w:eastAsia="Arial" w:hAnsi="Arial"/>
          <w:sz w:val="22"/>
          <w:szCs w:val="22"/>
          <w:color w:val="auto"/>
        </w:rPr>
      </w:pPr>
    </w:p>
    <w:p>
      <w:pPr>
        <w:jc w:val="both"/>
        <w:ind w:left="40" w:firstLine="1049"/>
        <w:spacing w:after="0" w:line="285" w:lineRule="auto"/>
        <w:tabs>
          <w:tab w:leader="none" w:pos="2198" w:val="left"/>
        </w:tabs>
        <w:numPr>
          <w:ilvl w:val="1"/>
          <w:numId w:val="125"/>
        </w:numPr>
        <w:rPr>
          <w:rFonts w:ascii="Arial" w:cs="Arial" w:eastAsia="Arial" w:hAnsi="Arial"/>
          <w:sz w:val="19"/>
          <w:szCs w:val="19"/>
          <w:color w:val="auto"/>
        </w:rPr>
      </w:pPr>
      <w:r>
        <w:rPr>
          <w:rFonts w:ascii="Arial" w:cs="Arial" w:eastAsia="Arial" w:hAnsi="Arial"/>
          <w:sz w:val="19"/>
          <w:szCs w:val="19"/>
          <w:u w:val="single" w:color="auto"/>
          <w:color w:val="auto"/>
        </w:rPr>
        <w:t>Benefit of Certain Provisions</w:t>
      </w:r>
      <w:r>
        <w:rPr>
          <w:rFonts w:ascii="Arial" w:cs="Arial" w:eastAsia="Arial" w:hAnsi="Arial"/>
          <w:sz w:val="19"/>
          <w:szCs w:val="19"/>
          <w:color w:val="auto"/>
        </w:rPr>
        <w:t xml:space="preserve">. The Borrower agrees that each Participant shall be deemed to have the right of setoff provided in Section 11.1 in respect of its participating interest in amounts owing under the Loan Documents to the same extent as if the amount of its participating interest were owing directly to it as a Lender under the Loan Documents,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each Lender shall retain the right of setoff provided in Section 11.1 with respect to the amount of participating interests sold to each Participant. The Lenders agree to share with each Participant, and each Participant, by exercising the right of setoff provided in Section 11.1, agrees to share with each Lender, any amount received pursuant to the exercise of its right of setoff, such amounts to be shared in accordance with Section 11.2 as if each Participant were a Lender. The Borrower further agrees that each Participant shall be entitled to the benefits of Sections 3.1, 3.2, 3.4, 3.5, 9.6 and 9.10 to the same extent as if it were a Lender and had acquired its interest by assignment pursuant to Section 12.3,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a Participant shall not be entitled to receive any greater payment under Section 3.1 or 3.2 than the Lender who sold the participating interest to such Participant would have received had it retained such interest for its own account, unless the sale of such interest to such Participant is made with the prior written consent of the Borrower, and (ii) a Participant shall not be entitled to receive any greater payment under Section 3.5 than the Lender who sold the participating interest to such Participant would have received had it retained such interest for its own account (A) except to the extent such entitlement to receive a greater payment results from a change in treaty, law or regulation (or any change in the interpretation or administration thereof by any Governmental Authority) that occurs after the Participant acquired the applicable participation and (B), in the case of any Participant that would be a Non-U.S. Lender if it were a Lender, such Participant agrees to comply with the provisions of Section 3.5 to the same extent as if it were a Lender (it being understood that the documentation required under Section 3.5(f) shall be delivered to the participating Lender). Each Lender that sells a participation shall, acting solely for this purpose as an agent of the Borrower, maintain a register on which it enters the name and address of each Participant and the principal</w:t>
      </w:r>
    </w:p>
    <w:p>
      <w:pPr>
        <w:spacing w:after="0" w:line="200" w:lineRule="exact"/>
        <w:rPr>
          <w:sz w:val="20"/>
          <w:szCs w:val="20"/>
          <w:color w:val="auto"/>
        </w:rPr>
      </w:pPr>
    </w:p>
    <w:p>
      <w:pPr>
        <w:spacing w:after="0" w:line="22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40"/>
          </w:cols>
          <w:pgMar w:left="320" w:top="429" w:right="239" w:bottom="1440" w:gutter="0" w:footer="0" w:header="0"/>
        </w:sectPr>
      </w:pPr>
    </w:p>
    <w:bookmarkStart w:id="199" w:name="page200"/>
    <w:bookmarkEnd w:id="199"/>
    <w:p>
      <w:pPr>
        <w:jc w:val="both"/>
        <w:ind w:left="40"/>
        <w:spacing w:after="0" w:line="288" w:lineRule="auto"/>
        <w:rPr>
          <w:sz w:val="20"/>
          <w:szCs w:val="20"/>
          <w:color w:val="auto"/>
        </w:rPr>
      </w:pPr>
      <w:r>
        <w:rPr>
          <w:rFonts w:ascii="Arial" w:cs="Arial" w:eastAsia="Arial" w:hAnsi="Arial"/>
          <w:sz w:val="19"/>
          <w:szCs w:val="19"/>
          <w:color w:val="auto"/>
        </w:rPr>
        <w:t xml:space="preserve">amounts (and stated interest) of each Participant’s interest in any Revolving Exposure, any Note, any Revolving Commitment or any other obligations under the Loan Documents (the “Participant Register”);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any information relating to a Participant's interest in any Revolving Exposure, any Note, any Revolving Commitment or any other obligations under the Loan Documents) to any Person except to the extent that such disclosure is necessary to establish that such Revolving Exposure, any Note, any Revolving Commitment or any other obligations under the Loan Documents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1"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 xml:space="preserve">12.3. </w:t>
      </w:r>
      <w:r>
        <w:rPr>
          <w:rFonts w:ascii="Arial" w:cs="Arial" w:eastAsia="Arial" w:hAnsi="Arial"/>
          <w:sz w:val="22"/>
          <w:szCs w:val="22"/>
          <w:u w:val="single" w:color="auto"/>
          <w:color w:val="auto"/>
        </w:rPr>
        <w:t>Assignments</w:t>
      </w:r>
      <w:r>
        <w:rPr>
          <w:rFonts w:ascii="Arial" w:cs="Arial" w:eastAsia="Arial" w:hAnsi="Arial"/>
          <w:sz w:val="22"/>
          <w:szCs w:val="22"/>
          <w:color w:val="auto"/>
        </w:rPr>
        <w:t>.</w:t>
      </w:r>
    </w:p>
    <w:p>
      <w:pPr>
        <w:spacing w:after="0" w:line="206" w:lineRule="exact"/>
        <w:rPr>
          <w:sz w:val="20"/>
          <w:szCs w:val="20"/>
          <w:color w:val="auto"/>
        </w:rPr>
      </w:pPr>
    </w:p>
    <w:p>
      <w:pPr>
        <w:jc w:val="both"/>
        <w:ind w:firstLine="1062"/>
        <w:spacing w:after="0" w:line="258" w:lineRule="auto"/>
        <w:tabs>
          <w:tab w:leader="none" w:pos="2158" w:val="left"/>
        </w:tabs>
        <w:numPr>
          <w:ilvl w:val="0"/>
          <w:numId w:val="126"/>
        </w:numPr>
        <w:rPr>
          <w:rFonts w:ascii="Arial" w:cs="Arial" w:eastAsia="Arial" w:hAnsi="Arial"/>
          <w:sz w:val="21"/>
          <w:szCs w:val="21"/>
          <w:color w:val="auto"/>
        </w:rPr>
      </w:pPr>
      <w:r>
        <w:rPr>
          <w:rFonts w:ascii="Arial" w:cs="Arial" w:eastAsia="Arial" w:hAnsi="Arial"/>
          <w:sz w:val="21"/>
          <w:szCs w:val="21"/>
          <w:u w:val="single" w:color="auto"/>
          <w:color w:val="auto"/>
        </w:rPr>
        <w:t>Permitted Assignments</w:t>
      </w:r>
      <w:r>
        <w:rPr>
          <w:rFonts w:ascii="Arial" w:cs="Arial" w:eastAsia="Arial" w:hAnsi="Arial"/>
          <w:sz w:val="21"/>
          <w:szCs w:val="21"/>
          <w:color w:val="auto"/>
        </w:rPr>
        <w:t>. Any Lender may at any time assign to one or more Eligible Assignees (“Purchasers”) all or any part of its rights and obligations under the Loan Documents. Such assignment shall be substantially in the form of Exhibit C or in such other form reasonably acceptable to the Administrative Agent as may be agreed to by the parties thereto. Each such assignment with respect to a Purchaser which is not a Lender or an Affiliate of a Lender or an Approved Fund shall either be in an amount equal to the entire applicable Revolving Commitment and Revolving Exposure of the assigning Lender or (unless each of the Borrower and the Administrative Agent otherwise consents) be in an aggregate amount not less than $5,000,000. The amount of the assignment shall be based on the Revolving Commitment or Revolving Exposure (if the Revolving Commitment has been terminated) subject to the assignment, determined as of the date of such assignment or as of the “Trade Date,” if the “Trade Date” is specified in the assignment. The consent of the Administrative Agent shall be required prior to an assignment becoming effective.</w:t>
      </w:r>
    </w:p>
    <w:p>
      <w:pPr>
        <w:spacing w:after="0" w:line="227" w:lineRule="exact"/>
        <w:rPr>
          <w:sz w:val="20"/>
          <w:szCs w:val="20"/>
          <w:color w:val="auto"/>
        </w:rPr>
      </w:pPr>
    </w:p>
    <w:p>
      <w:pPr>
        <w:jc w:val="both"/>
        <w:ind w:firstLine="1053"/>
        <w:spacing w:after="0" w:line="257" w:lineRule="auto"/>
        <w:rPr>
          <w:sz w:val="20"/>
          <w:szCs w:val="20"/>
          <w:color w:val="auto"/>
        </w:rPr>
      </w:pPr>
      <w:r>
        <w:rPr>
          <w:rFonts w:ascii="Arial" w:cs="Arial" w:eastAsia="Arial" w:hAnsi="Arial"/>
          <w:sz w:val="21"/>
          <w:szCs w:val="21"/>
          <w:color w:val="auto"/>
        </w:rPr>
        <w:t xml:space="preserve">(b) </w:t>
      </w:r>
      <w:r>
        <w:rPr>
          <w:rFonts w:ascii="Arial" w:cs="Arial" w:eastAsia="Arial" w:hAnsi="Arial"/>
          <w:sz w:val="21"/>
          <w:szCs w:val="21"/>
          <w:u w:val="single" w:color="auto"/>
          <w:color w:val="auto"/>
        </w:rPr>
        <w:t>Effect; Assignment Effective Date</w:t>
      </w:r>
      <w:r>
        <w:rPr>
          <w:rFonts w:ascii="Arial" w:cs="Arial" w:eastAsia="Arial" w:hAnsi="Arial"/>
          <w:sz w:val="21"/>
          <w:szCs w:val="21"/>
          <w:color w:val="auto"/>
        </w:rPr>
        <w:t>. Upon (i) delivery to the Administrative Agent of an assignment, together with any consents required by Sections 12.3(a) and 12.3(b), and (ii) payment of a $3,500 fee to the Administrative Agent for processing such assignment (unless such fee is waived by the Administrative Agent), such assignment shall become effective on the effective date specified in such assignment. The assignment shall contain a representation by the Purchaser to the effect that none of the consideration used to make the purchase of the Revolving Commitment and Revolving Exposure under the applicable assignment agreement constitutes “plan assets” as defined under ERISA and that the rights and interests of the Purchaser in and under the Loan Documents will not be “plan assets” under ERISA. On and after the effective date of such assignment, such Purchaser shall for all purposes be a Lender party to this Agreement and any other Loan Document executed by or on behalf of the Lenders and shall have all the rights and obligations of a Lender under the Loan Documents, to the same extent as if it were an original party thereto, and the transferor Lender shall be released with respect to the Revolving Commitment and Revolving Exposure assigned to such Purchaser without any further consent or action by the Borrower, the Lenders or the Administrative Agent. In the case of an assignment covering all of the assigning Lender’s rights and obligations under this Agreement, such Lender shall cease to be a</w:t>
      </w:r>
    </w:p>
    <w:p>
      <w:pPr>
        <w:spacing w:after="0" w:line="19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40"/>
          </w:cols>
          <w:pgMar w:left="320" w:top="375" w:right="239" w:bottom="1440" w:gutter="0" w:footer="0" w:header="0"/>
        </w:sectPr>
      </w:pPr>
    </w:p>
    <w:bookmarkStart w:id="200" w:name="page201"/>
    <w:bookmarkEnd w:id="200"/>
    <w:p>
      <w:pPr>
        <w:jc w:val="both"/>
        <w:spacing w:after="0" w:line="289" w:lineRule="auto"/>
        <w:rPr>
          <w:sz w:val="20"/>
          <w:szCs w:val="20"/>
          <w:color w:val="auto"/>
        </w:rPr>
      </w:pPr>
      <w:r>
        <w:rPr>
          <w:rFonts w:ascii="Arial" w:cs="Arial" w:eastAsia="Arial" w:hAnsi="Arial"/>
          <w:sz w:val="19"/>
          <w:szCs w:val="19"/>
          <w:color w:val="auto"/>
        </w:rPr>
        <w:t>Lender hereunder but shall continue to be entitled to the benefits of, and subject to, those provisions of this Agreement and the other Loan Documents which survive payment of the Obligations and termination of the applicable agreement. Any assignment or transfer by a Lender of rights or obligations under this Agreement that does not comply with this Section 12.3 shall be treated for purposes of this Agreement as a sale by such Lender of a participation in such rights and obligations in accordance with Section 12.2. Upon the consummation of any assignment to a Purchaser pursuant to this Section 12.3(c), the transferor Lender, the Administrative Agent and the Borrower shall, if the transferor Lender or the Purchaser desires that its Loans be evidenced by Notes, make appropriate arrangements so that new Notes or, as appropriate, replacement Notes are issued to such transferor Lender and new Notes or, as appropriate, replacement Notes, are issued to such Purchaser, in each case in principal amounts reflecting their respective Revolving Commitments, as adjusted pursuant to such assignment.</w:t>
      </w:r>
    </w:p>
    <w:p>
      <w:pPr>
        <w:spacing w:after="0" w:line="198" w:lineRule="exact"/>
        <w:rPr>
          <w:sz w:val="20"/>
          <w:szCs w:val="20"/>
          <w:color w:val="auto"/>
        </w:rPr>
      </w:pPr>
    </w:p>
    <w:p>
      <w:pPr>
        <w:jc w:val="both"/>
        <w:ind w:left="40" w:firstLine="1049"/>
        <w:spacing w:after="0" w:line="290" w:lineRule="auto"/>
        <w:tabs>
          <w:tab w:leader="none" w:pos="2198"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The Administrative Agent, acting solely for this purpose as an agent of the Borrower, shall maintain at one of its offices in the United States of America, a copy of each Assignment and Assumption delivered to it and a register for the recordation of the names and addresses of the Lenders, and the Revolving Commitments of, and principal amounts (and stated interest) of the Loans owing to, each Lender, and participations of each Lender in Facility LCs, pursuant to the terms hereof from time to time (the “Register”). The entries in the Register shall be conclusive,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each Lender at any reasonable time and from time to time upon reasonable prior notice.</w:t>
      </w:r>
    </w:p>
    <w:p>
      <w:pPr>
        <w:spacing w:after="0" w:line="197" w:lineRule="exact"/>
        <w:rPr>
          <w:rFonts w:ascii="Arial" w:cs="Arial" w:eastAsia="Arial" w:hAnsi="Arial"/>
          <w:sz w:val="19"/>
          <w:szCs w:val="19"/>
          <w:color w:val="auto"/>
        </w:rPr>
      </w:pPr>
    </w:p>
    <w:p>
      <w:pPr>
        <w:jc w:val="both"/>
        <w:ind w:left="40" w:firstLine="1049"/>
        <w:spacing w:after="0" w:line="250" w:lineRule="auto"/>
        <w:tabs>
          <w:tab w:leader="none" w:pos="2210"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Dissemination of Information</w:t>
      </w:r>
      <w:r>
        <w:rPr>
          <w:rFonts w:ascii="Arial" w:cs="Arial" w:eastAsia="Arial" w:hAnsi="Arial"/>
          <w:sz w:val="22"/>
          <w:szCs w:val="22"/>
          <w:color w:val="auto"/>
        </w:rPr>
        <w:t xml:space="preserve">. The Borrower authorizes each Lender to disclose to any Participant or Purchaser or any other Person acquiring an interest in the Loan Documents by operation of law (each a “Transferee”) and any prospective Transferee any and all information in such Lender’s possession;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each Transferee and prospective Transferee agrees to be bound by Section 9.11 of this Agreement.</w:t>
      </w:r>
    </w:p>
    <w:p>
      <w:pPr>
        <w:spacing w:after="0" w:line="228" w:lineRule="exact"/>
        <w:rPr>
          <w:rFonts w:ascii="Arial" w:cs="Arial" w:eastAsia="Arial" w:hAnsi="Arial"/>
          <w:sz w:val="22"/>
          <w:szCs w:val="22"/>
          <w:color w:val="auto"/>
        </w:rPr>
      </w:pPr>
    </w:p>
    <w:p>
      <w:pPr>
        <w:jc w:val="both"/>
        <w:ind w:left="40" w:firstLine="1049"/>
        <w:spacing w:after="0" w:line="287" w:lineRule="auto"/>
        <w:tabs>
          <w:tab w:leader="none" w:pos="2198"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Resignation as LC Issuer or Swing Line Lender after Assignment</w:t>
      </w:r>
      <w:r>
        <w:rPr>
          <w:rFonts w:ascii="Arial" w:cs="Arial" w:eastAsia="Arial" w:hAnsi="Arial"/>
          <w:sz w:val="19"/>
          <w:szCs w:val="19"/>
          <w:color w:val="auto"/>
        </w:rPr>
        <w:t>. Notwithstanding anything to the contrary contained herein, if at any time U.S. Bank National Association or any other LC Issuer assigns all of its Revolving Commitments and Loans pursuant to subsection (b) above, (i) U.S. Bank National Association or any other LC Issuer may, upon 30 days’ notice to the Borrower and the Lenders, resign as LC Issuer and/or (ii) U.S. Bank National Association or any other Swing Line Lender may, upon 30 days’ notice to the Borrower, resign as Swing Line Lender. In the event of any such resignation as LC Issuer or Swing Line Lender, the Borrower shall be entitled to appoint from among the Lenders a successor LC Issuer or Swing Line Lender hereunder; provided, however, that no failure by the Borrower to appoint any such successor shall affect the resignation of such LC Issuer or Swing Line Lender, as the case may be. If U.S. Bank National Association resigns as LC Issuer, it shall retain all the rights, powers, privileges and duties of the LC Issuer hereunder with respect to all Facility LCs outstanding as of the effective time of its resignation as LC Issuer and all LC Obligations with respect thereto (including the right to require the Lenders to make Base Rate Loans or fund risk participations pursuant to Section 2.19(b)). If U.S. Bank National Association resigns as Swing Line Lender, it shall retain all the</w:t>
      </w:r>
    </w:p>
    <w:p>
      <w:pPr>
        <w:spacing w:after="0" w:line="200" w:lineRule="exact"/>
        <w:rPr>
          <w:sz w:val="20"/>
          <w:szCs w:val="20"/>
          <w:color w:val="auto"/>
        </w:rPr>
      </w:pPr>
    </w:p>
    <w:p>
      <w:pPr>
        <w:spacing w:after="0" w:line="22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40"/>
          </w:cols>
          <w:pgMar w:left="320" w:top="375" w:right="239" w:bottom="1440" w:gutter="0" w:footer="0" w:header="0"/>
        </w:sectPr>
      </w:pPr>
    </w:p>
    <w:bookmarkStart w:id="201" w:name="page202"/>
    <w:bookmarkEnd w:id="201"/>
    <w:p>
      <w:pPr>
        <w:jc w:val="both"/>
        <w:spacing w:after="0" w:line="292" w:lineRule="auto"/>
        <w:rPr>
          <w:sz w:val="20"/>
          <w:szCs w:val="20"/>
          <w:color w:val="auto"/>
        </w:rPr>
      </w:pPr>
      <w:r>
        <w:rPr>
          <w:rFonts w:ascii="Arial" w:cs="Arial" w:eastAsia="Arial" w:hAnsi="Arial"/>
          <w:sz w:val="19"/>
          <w:szCs w:val="19"/>
          <w:color w:val="auto"/>
        </w:rPr>
        <w:t>rights of the Swing Line Lender provided for hereunder with respect to Swing Line Loans made by it and outstanding as of the effective time of such resignation, including the right to require the Lenders to make Base Rate Loans or fund risk participations in outstanding Swing Line Loans pursuant to Section 2.4(d).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Facility LCs, if any, outstanding at the time of such succession or make other arrangements satisfactory to such LC Issuer to effectively assume the obligations of such LC Issuer with respect to such Facility LCs.</w:t>
      </w:r>
    </w:p>
    <w:p>
      <w:pPr>
        <w:spacing w:after="0" w:line="348" w:lineRule="exact"/>
        <w:rPr>
          <w:sz w:val="20"/>
          <w:szCs w:val="20"/>
          <w:color w:val="auto"/>
        </w:rPr>
      </w:pPr>
    </w:p>
    <w:p>
      <w:pPr>
        <w:ind w:left="6160"/>
        <w:spacing w:after="0"/>
        <w:rPr>
          <w:sz w:val="20"/>
          <w:szCs w:val="20"/>
          <w:color w:val="auto"/>
        </w:rPr>
      </w:pPr>
      <w:r>
        <w:rPr>
          <w:rFonts w:ascii="Arial" w:cs="Arial" w:eastAsia="Arial" w:hAnsi="Arial"/>
          <w:sz w:val="22"/>
          <w:szCs w:val="22"/>
          <w:b w:val="1"/>
          <w:bCs w:val="1"/>
          <w:u w:val="single" w:color="auto"/>
          <w:color w:val="auto"/>
        </w:rPr>
        <w:t>ARTICLE XIII NOTICES</w:t>
      </w:r>
    </w:p>
    <w:p>
      <w:pPr>
        <w:spacing w:after="0" w:line="145"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 xml:space="preserve">13.1. </w:t>
      </w:r>
      <w:r>
        <w:rPr>
          <w:rFonts w:ascii="Arial" w:cs="Arial" w:eastAsia="Arial" w:hAnsi="Arial"/>
          <w:sz w:val="22"/>
          <w:szCs w:val="22"/>
          <w:u w:val="single" w:color="auto"/>
          <w:color w:val="auto"/>
        </w:rPr>
        <w:t>Notices; Effectiveness; Electronic Communication.</w:t>
      </w:r>
    </w:p>
    <w:p>
      <w:pPr>
        <w:spacing w:after="0" w:line="206" w:lineRule="exact"/>
        <w:rPr>
          <w:sz w:val="20"/>
          <w:szCs w:val="20"/>
          <w:color w:val="auto"/>
        </w:rPr>
      </w:pPr>
    </w:p>
    <w:p>
      <w:pPr>
        <w:jc w:val="both"/>
        <w:ind w:firstLine="1049"/>
        <w:spacing w:after="0" w:line="250" w:lineRule="auto"/>
        <w:tabs>
          <w:tab w:leader="none" w:pos="2158"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Notices Generally</w:t>
      </w:r>
      <w:r>
        <w:rPr>
          <w:rFonts w:ascii="Arial" w:cs="Arial" w:eastAsia="Arial" w:hAnsi="Arial"/>
          <w:sz w:val="22"/>
          <w:szCs w:val="22"/>
          <w:color w:val="auto"/>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facsimile as follows:</w:t>
      </w:r>
    </w:p>
    <w:p>
      <w:pPr>
        <w:spacing w:after="0" w:line="228" w:lineRule="exact"/>
        <w:rPr>
          <w:rFonts w:ascii="Arial" w:cs="Arial" w:eastAsia="Arial" w:hAnsi="Arial"/>
          <w:sz w:val="22"/>
          <w:szCs w:val="22"/>
          <w:color w:val="auto"/>
        </w:rPr>
      </w:pPr>
    </w:p>
    <w:p>
      <w:pPr>
        <w:ind w:left="1940" w:right="300" w:firstLine="1"/>
        <w:spacing w:after="0" w:line="276" w:lineRule="auto"/>
        <w:tabs>
          <w:tab w:leader="none" w:pos="2324" w:val="left"/>
        </w:tabs>
        <w:numPr>
          <w:ilvl w:val="1"/>
          <w:numId w:val="128"/>
        </w:numPr>
        <w:rPr>
          <w:rFonts w:ascii="Arial" w:cs="Arial" w:eastAsia="Arial" w:hAnsi="Arial"/>
          <w:sz w:val="22"/>
          <w:szCs w:val="22"/>
          <w:color w:val="auto"/>
        </w:rPr>
      </w:pPr>
      <w:r>
        <w:rPr>
          <w:rFonts w:ascii="Arial" w:cs="Arial" w:eastAsia="Arial" w:hAnsi="Arial"/>
          <w:sz w:val="22"/>
          <w:szCs w:val="22"/>
          <w:color w:val="auto"/>
        </w:rPr>
        <w:t>if to the Borrower, to it at 201 E. Sandpointe Ave., 8th Floor, Santa Ana CA 92707, Attention: Chief Financial Officer;</w:t>
      </w:r>
    </w:p>
    <w:p>
      <w:pPr>
        <w:spacing w:after="0" w:line="201" w:lineRule="exact"/>
        <w:rPr>
          <w:rFonts w:ascii="Arial" w:cs="Arial" w:eastAsia="Arial" w:hAnsi="Arial"/>
          <w:sz w:val="22"/>
          <w:szCs w:val="22"/>
          <w:color w:val="auto"/>
        </w:rPr>
      </w:pPr>
    </w:p>
    <w:p>
      <w:pPr>
        <w:ind w:left="1940" w:right="260" w:firstLine="1"/>
        <w:spacing w:after="0" w:line="258" w:lineRule="auto"/>
        <w:tabs>
          <w:tab w:leader="none" w:pos="2384" w:val="left"/>
        </w:tabs>
        <w:numPr>
          <w:ilvl w:val="1"/>
          <w:numId w:val="128"/>
        </w:numPr>
        <w:rPr>
          <w:rFonts w:ascii="Arial" w:cs="Arial" w:eastAsia="Arial" w:hAnsi="Arial"/>
          <w:sz w:val="22"/>
          <w:szCs w:val="22"/>
          <w:color w:val="auto"/>
        </w:rPr>
      </w:pPr>
      <w:r>
        <w:rPr>
          <w:rFonts w:ascii="Arial" w:cs="Arial" w:eastAsia="Arial" w:hAnsi="Arial"/>
          <w:sz w:val="22"/>
          <w:szCs w:val="22"/>
          <w:color w:val="auto"/>
        </w:rPr>
        <w:t>if to the Administrative Agent or the LC Issuer, to U.S. Bank National Association at 4100 Newport Place, Suite 900, Newport Beach,</w:t>
      </w:r>
    </w:p>
    <w:p>
      <w:pPr>
        <w:ind w:left="1940"/>
        <w:spacing w:after="0"/>
        <w:rPr>
          <w:rFonts w:ascii="Arial" w:cs="Arial" w:eastAsia="Arial" w:hAnsi="Arial"/>
          <w:sz w:val="22"/>
          <w:szCs w:val="22"/>
          <w:color w:val="auto"/>
        </w:rPr>
      </w:pPr>
      <w:r>
        <w:rPr>
          <w:rFonts w:ascii="Arial" w:cs="Arial" w:eastAsia="Arial" w:hAnsi="Arial"/>
          <w:sz w:val="22"/>
          <w:szCs w:val="22"/>
          <w:color w:val="auto"/>
        </w:rPr>
        <w:t>California 92660, Attention: Andrew Williams; or</w:t>
      </w:r>
    </w:p>
    <w:p>
      <w:pPr>
        <w:spacing w:after="0" w:line="242" w:lineRule="exact"/>
        <w:rPr>
          <w:rFonts w:ascii="Arial" w:cs="Arial" w:eastAsia="Arial" w:hAnsi="Arial"/>
          <w:sz w:val="22"/>
          <w:szCs w:val="22"/>
          <w:color w:val="auto"/>
        </w:rPr>
      </w:pPr>
    </w:p>
    <w:p>
      <w:pPr>
        <w:ind w:left="2440" w:hanging="499"/>
        <w:spacing w:after="0"/>
        <w:tabs>
          <w:tab w:leader="none" w:pos="2440" w:val="left"/>
        </w:tabs>
        <w:numPr>
          <w:ilvl w:val="1"/>
          <w:numId w:val="128"/>
        </w:numPr>
        <w:rPr>
          <w:rFonts w:ascii="Arial" w:cs="Arial" w:eastAsia="Arial" w:hAnsi="Arial"/>
          <w:sz w:val="19"/>
          <w:szCs w:val="19"/>
          <w:color w:val="auto"/>
        </w:rPr>
      </w:pPr>
      <w:r>
        <w:rPr>
          <w:rFonts w:ascii="Arial" w:cs="Arial" w:eastAsia="Arial" w:hAnsi="Arial"/>
          <w:sz w:val="19"/>
          <w:szCs w:val="19"/>
          <w:color w:val="auto"/>
        </w:rPr>
        <w:t>if to a Lender, to it at its address (or facsimile number) set forth in its Administrative Questionnaire.</w:t>
      </w:r>
    </w:p>
    <w:p>
      <w:pPr>
        <w:spacing w:after="0" w:line="308"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except that notices to the Administrative Agent, a Lender or the LC Issuer under Article II shall not be effective unless and until actually received by the addressee thereof. Notices delivered through electronic communications to the extent provided in paragraph (b) below, shall be effective as provided in said paragraph (b).</w:t>
      </w:r>
    </w:p>
    <w:p>
      <w:pPr>
        <w:spacing w:after="0" w:line="190" w:lineRule="exact"/>
        <w:rPr>
          <w:sz w:val="20"/>
          <w:szCs w:val="20"/>
          <w:color w:val="auto"/>
        </w:rPr>
      </w:pPr>
    </w:p>
    <w:p>
      <w:pPr>
        <w:jc w:val="both"/>
        <w:ind w:firstLine="1049"/>
        <w:spacing w:after="0" w:line="290" w:lineRule="auto"/>
        <w:tabs>
          <w:tab w:leader="none" w:pos="2170"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Electronic Communications</w:t>
      </w:r>
      <w:r>
        <w:rPr>
          <w:rFonts w:ascii="Arial" w:cs="Arial" w:eastAsia="Arial" w:hAnsi="Arial"/>
          <w:sz w:val="19"/>
          <w:szCs w:val="19"/>
          <w:color w:val="auto"/>
        </w:rPr>
        <w:t xml:space="preserve">. Notices and other communications to the Lenders and the LC Issuer hereunder may be delivered or furnished by electronic communication (including e-mail and internet or intranet websites) pursuant to procedures approved by the Administrative Agent or as otherwise determined by the Administrative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shall not apply to notices to any Lender or the LC Issuer pursuant to Article II if such Lender or the LC Issuer, as applicable, has notified the Administrative Agent that it is incapable of receiving notices under such Article by electronic communication. The Administrative Agent or the Borrower may, in its respective discretion, agree to accept notices and other communications to it hereunder by electronic communications pursuant to procedures approved by it or as it otherwise determines,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determination or approval may be limited to particular notices or communications.</w:t>
      </w:r>
    </w:p>
    <w:p>
      <w:pPr>
        <w:spacing w:after="0" w:line="19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such notice or other communication is not given during the normal business hours of the recipient, such notice or communication shall be deemed to have been given at the opening of business on the next Business Day for the recipient, and (ii) notices or communications posted to an Internet or intranet website shall be deemed received upon the deemed receipt by the intended recipient at its e-mail address as described in the foregoing</w:t>
      </w:r>
    </w:p>
    <w:p>
      <w:pPr>
        <w:spacing w:after="0" w:line="20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00"/>
          </w:cols>
          <w:pgMar w:left="360" w:top="375" w:right="239" w:bottom="1440" w:gutter="0" w:footer="0" w:header="0"/>
        </w:sectPr>
      </w:pPr>
    </w:p>
    <w:bookmarkStart w:id="202" w:name="page203"/>
    <w:bookmarkEnd w:id="202"/>
    <w:p>
      <w:pPr>
        <w:spacing w:after="0"/>
        <w:rPr>
          <w:sz w:val="20"/>
          <w:szCs w:val="20"/>
          <w:color w:val="auto"/>
        </w:rPr>
      </w:pPr>
      <w:r>
        <w:rPr>
          <w:rFonts w:ascii="Arial" w:cs="Arial" w:eastAsia="Arial" w:hAnsi="Arial"/>
          <w:sz w:val="22"/>
          <w:szCs w:val="22"/>
          <w:color w:val="auto"/>
        </w:rPr>
        <w:t>clause (i) of notification that such notice or communication is available and identifying the website address therefor.</w:t>
      </w:r>
    </w:p>
    <w:p>
      <w:pPr>
        <w:spacing w:after="0" w:line="260" w:lineRule="exact"/>
        <w:rPr>
          <w:sz w:val="20"/>
          <w:szCs w:val="20"/>
          <w:color w:val="auto"/>
        </w:rPr>
      </w:pPr>
    </w:p>
    <w:p>
      <w:pPr>
        <w:ind w:right="20" w:firstLine="1049"/>
        <w:spacing w:after="0" w:line="343" w:lineRule="auto"/>
        <w:tabs>
          <w:tab w:leader="none" w:pos="2158"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Change of Address, Etc</w:t>
      </w:r>
      <w:r>
        <w:rPr>
          <w:rFonts w:ascii="Arial" w:cs="Arial" w:eastAsia="Arial" w:hAnsi="Arial"/>
          <w:sz w:val="19"/>
          <w:szCs w:val="19"/>
          <w:color w:val="auto"/>
        </w:rPr>
        <w:t>. Any party hereto may change its address or facsimile number for notices and other communications hereunder by notice to the other parties hereto given in the manner set forth in this Section 13.1.</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such notice or communication shall be deemed to have been given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229" w:lineRule="exact"/>
        <w:rPr>
          <w:sz w:val="20"/>
          <w:szCs w:val="20"/>
          <w:color w:val="auto"/>
        </w:rPr>
      </w:pPr>
    </w:p>
    <w:p>
      <w:pPr>
        <w:ind w:right="20" w:firstLine="1049"/>
        <w:spacing w:after="0" w:line="343" w:lineRule="auto"/>
        <w:tabs>
          <w:tab w:leader="none" w:pos="2171"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Change of Address, Etc</w:t>
      </w:r>
      <w:r>
        <w:rPr>
          <w:rFonts w:ascii="Arial" w:cs="Arial" w:eastAsia="Arial" w:hAnsi="Arial"/>
          <w:sz w:val="19"/>
          <w:szCs w:val="19"/>
          <w:color w:val="auto"/>
        </w:rPr>
        <w:t>. Any party hereto may change its address or facsimile number for notices and other communications hereunder by notice to the other parties hereto given in the manner set forth in this Section 13.1.</w:t>
      </w:r>
    </w:p>
    <w:p>
      <w:pPr>
        <w:spacing w:after="0" w:line="139"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u w:val="single" w:color="auto"/>
          <w:color w:val="auto"/>
        </w:rPr>
        <w:t>ARTICLE XIV</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COUNTERPARTS; INTEGRATION; EFFECTIVENESS; ELECTRONIC EXECUTION; ELECTRONIC RECORDS</w:t>
      </w:r>
    </w:p>
    <w:p>
      <w:pPr>
        <w:spacing w:after="0" w:line="199" w:lineRule="exact"/>
        <w:rPr>
          <w:sz w:val="20"/>
          <w:szCs w:val="20"/>
          <w:color w:val="auto"/>
        </w:rPr>
      </w:pPr>
    </w:p>
    <w:p>
      <w:pPr>
        <w:jc w:val="both"/>
        <w:ind w:firstLine="1378"/>
        <w:spacing w:after="0" w:line="294" w:lineRule="auto"/>
        <w:rPr>
          <w:sz w:val="20"/>
          <w:szCs w:val="20"/>
          <w:color w:val="auto"/>
        </w:rPr>
      </w:pPr>
      <w:r>
        <w:rPr>
          <w:rFonts w:ascii="Arial" w:cs="Arial" w:eastAsia="Arial" w:hAnsi="Arial"/>
          <w:sz w:val="19"/>
          <w:szCs w:val="19"/>
          <w:color w:val="auto"/>
        </w:rPr>
        <w:t xml:space="preserve">14.1. </w:t>
      </w:r>
      <w:r>
        <w:rPr>
          <w:rFonts w:ascii="Arial" w:cs="Arial" w:eastAsia="Arial" w:hAnsi="Arial"/>
          <w:sz w:val="19"/>
          <w:szCs w:val="19"/>
          <w:u w:val="single" w:color="auto"/>
          <w:color w:val="auto"/>
        </w:rPr>
        <w:t>Counterparts; Effectiveness</w:t>
      </w:r>
      <w:r>
        <w:rPr>
          <w:rFonts w:ascii="Arial" w:cs="Arial" w:eastAsia="Arial" w:hAnsi="Arial"/>
          <w:sz w:val="19"/>
          <w:szCs w:val="19"/>
          <w:color w:val="auto"/>
        </w:rPr>
        <w:t>. This Agreement may be executed in counterparts (and by different parties hereto in different counterparts), each of which shall constitute an original, but all of which when taken together shall constitute a single contract. Except as provided in Article IV, this Agreement shall become effective when it shall have been executed by the Administrative Agent, and when the Administrative Agent shall have received counterparts hereof which, when taken together, bear the signatures of each of the parties hereto, and thereafter shall be binding upon and inure to the benefit of the parties hereto and their respective successors and assigns. Delivery of an executed counterpart of a signature page of this Agreement by telecopy shall be effective as delivery of a manually executed counterpart of this Agreement.</w:t>
      </w:r>
    </w:p>
    <w:p>
      <w:pPr>
        <w:spacing w:after="0" w:line="193" w:lineRule="exact"/>
        <w:rPr>
          <w:sz w:val="20"/>
          <w:szCs w:val="20"/>
          <w:color w:val="auto"/>
        </w:rPr>
      </w:pPr>
    </w:p>
    <w:p>
      <w:pPr>
        <w:jc w:val="both"/>
        <w:ind w:firstLine="1378"/>
        <w:spacing w:after="0" w:line="250" w:lineRule="auto"/>
        <w:rPr>
          <w:sz w:val="20"/>
          <w:szCs w:val="20"/>
          <w:color w:val="auto"/>
        </w:rPr>
      </w:pPr>
      <w:r>
        <w:rPr>
          <w:rFonts w:ascii="Arial" w:cs="Arial" w:eastAsia="Arial" w:hAnsi="Arial"/>
          <w:sz w:val="22"/>
          <w:szCs w:val="22"/>
          <w:color w:val="auto"/>
        </w:rPr>
        <w:t xml:space="preserve">14.2. </w:t>
      </w:r>
      <w:r>
        <w:rPr>
          <w:rFonts w:ascii="Arial" w:cs="Arial" w:eastAsia="Arial" w:hAnsi="Arial"/>
          <w:sz w:val="22"/>
          <w:szCs w:val="22"/>
          <w:u w:val="single" w:color="auto"/>
          <w:color w:val="auto"/>
        </w:rPr>
        <w:t>Electronic Execution of Assignments</w:t>
      </w:r>
      <w:r>
        <w:rPr>
          <w:rFonts w:ascii="Arial" w:cs="Arial" w:eastAsia="Arial" w:hAnsi="Arial"/>
          <w:sz w:val="22"/>
          <w:szCs w:val="22"/>
          <w:color w:val="auto"/>
        </w:rPr>
        <w:t>. The words “execution,” “signed,” “signature,” and words of like import in any assignment and assumption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or any other state laws based on the Uniform Electronic Transactions Act.</w:t>
      </w:r>
    </w:p>
    <w:p>
      <w:pPr>
        <w:spacing w:after="0" w:line="229" w:lineRule="exact"/>
        <w:rPr>
          <w:sz w:val="20"/>
          <w:szCs w:val="20"/>
          <w:color w:val="auto"/>
        </w:rPr>
      </w:pPr>
    </w:p>
    <w:p>
      <w:pPr>
        <w:jc w:val="both"/>
        <w:ind w:firstLine="1378"/>
        <w:spacing w:after="0" w:line="266" w:lineRule="auto"/>
        <w:rPr>
          <w:sz w:val="20"/>
          <w:szCs w:val="20"/>
          <w:color w:val="auto"/>
        </w:rPr>
      </w:pPr>
      <w:r>
        <w:rPr>
          <w:rFonts w:ascii="Arial" w:cs="Arial" w:eastAsia="Arial" w:hAnsi="Arial"/>
          <w:sz w:val="21"/>
          <w:szCs w:val="21"/>
          <w:color w:val="auto"/>
        </w:rPr>
        <w:t xml:space="preserve">14.3. </w:t>
      </w:r>
      <w:r>
        <w:rPr>
          <w:rFonts w:ascii="Arial" w:cs="Arial" w:eastAsia="Arial" w:hAnsi="Arial"/>
          <w:sz w:val="21"/>
          <w:szCs w:val="21"/>
          <w:u w:val="single" w:color="auto"/>
          <w:color w:val="auto"/>
        </w:rPr>
        <w:t>Electronic Records</w:t>
      </w:r>
      <w:r>
        <w:rPr>
          <w:rFonts w:ascii="Arial" w:cs="Arial" w:eastAsia="Arial" w:hAnsi="Arial"/>
          <w:sz w:val="21"/>
          <w:szCs w:val="21"/>
          <w:color w:val="auto"/>
        </w:rPr>
        <w:t>. The Borrower hereby acknowledges the receipt of a copy of this Agreement and all other Loan Documents. The Administrative Agent and each Lender may, on behalf of the Borrower, create a microfilm or optical disk or other electronic image of this Agreement and any or all of the Loan Documents. The Administrative Agent and each Lender may store the electronic image of this Agreement and Loan Documents in its electronic form and then destroy the paper original as part of the Administrative Agent’s and each Lender’s normal business</w:t>
      </w:r>
    </w:p>
    <w:p>
      <w:pPr>
        <w:spacing w:after="0" w:line="18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00"/>
          </w:cols>
          <w:pgMar w:left="360" w:top="375" w:right="239" w:bottom="1440" w:gutter="0" w:footer="0" w:header="0"/>
        </w:sectPr>
      </w:pPr>
    </w:p>
    <w:bookmarkStart w:id="203" w:name="page204"/>
    <w:bookmarkEnd w:id="203"/>
    <w:p>
      <w:pPr>
        <w:jc w:val="both"/>
        <w:ind w:left="40"/>
        <w:spacing w:after="0" w:line="253" w:lineRule="auto"/>
        <w:rPr>
          <w:sz w:val="20"/>
          <w:szCs w:val="20"/>
          <w:color w:val="auto"/>
        </w:rPr>
      </w:pPr>
      <w:r>
        <w:rPr>
          <w:rFonts w:ascii="Arial" w:cs="Arial" w:eastAsia="Arial" w:hAnsi="Arial"/>
          <w:sz w:val="22"/>
          <w:szCs w:val="22"/>
          <w:color w:val="auto"/>
        </w:rPr>
        <w:t>practices, with the electronic image deemed to be an original and of the same legal effect, validity and enforceability as the paper originals. The Administrative Agent and each Lender are authorized, when appropriate, to convert any note into a “transferable record” under the Uniform Electronic Transactions Act.</w:t>
      </w:r>
    </w:p>
    <w:p>
      <w:pPr>
        <w:spacing w:after="0" w:line="261"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u w:val="single" w:color="auto"/>
          <w:color w:val="auto"/>
        </w:rPr>
        <w:t>ARTICLE XV</w:t>
      </w:r>
    </w:p>
    <w:p>
      <w:pPr>
        <w:spacing w:after="0" w:line="314" w:lineRule="exact"/>
        <w:rPr>
          <w:sz w:val="20"/>
          <w:szCs w:val="20"/>
          <w:color w:val="auto"/>
        </w:rPr>
      </w:pPr>
    </w:p>
    <w:p>
      <w:pPr>
        <w:ind w:left="1800"/>
        <w:spacing w:after="0"/>
        <w:rPr>
          <w:sz w:val="20"/>
          <w:szCs w:val="20"/>
          <w:color w:val="auto"/>
        </w:rPr>
      </w:pPr>
      <w:r>
        <w:rPr>
          <w:rFonts w:ascii="Arial" w:cs="Arial" w:eastAsia="Arial" w:hAnsi="Arial"/>
          <w:sz w:val="22"/>
          <w:szCs w:val="22"/>
          <w:b w:val="1"/>
          <w:bCs w:val="1"/>
          <w:u w:val="single" w:color="auto"/>
          <w:color w:val="auto"/>
        </w:rPr>
        <w:t>CHOICE OF LAW; CONSENT TO JURISDICTION; WAIVER OF JURY TRIAL</w:t>
      </w:r>
    </w:p>
    <w:p>
      <w:pPr>
        <w:spacing w:after="0" w:line="206" w:lineRule="exact"/>
        <w:rPr>
          <w:sz w:val="20"/>
          <w:szCs w:val="20"/>
          <w:color w:val="auto"/>
        </w:rPr>
      </w:pPr>
    </w:p>
    <w:p>
      <w:pPr>
        <w:ind w:left="1380"/>
        <w:spacing w:after="0"/>
        <w:tabs>
          <w:tab w:leader="none" w:pos="2120" w:val="left"/>
          <w:tab w:leader="none" w:pos="440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22"/>
          <w:szCs w:val="22"/>
          <w:b w:val="1"/>
          <w:bCs w:val="1"/>
          <w:u w:val="single" w:color="auto"/>
          <w:color w:val="auto"/>
        </w:rPr>
        <w:t>CHOICE OF LAW</w:t>
      </w:r>
      <w:r>
        <w:rPr>
          <w:rFonts w:ascii="Arial" w:cs="Arial" w:eastAsia="Arial" w:hAnsi="Arial"/>
          <w:sz w:val="22"/>
          <w:szCs w:val="22"/>
          <w:b w:val="1"/>
          <w:bCs w:val="1"/>
          <w:color w:val="auto"/>
        </w:rPr>
        <w:t>.</w:t>
      </w:r>
      <w:r>
        <w:rPr>
          <w:sz w:val="20"/>
          <w:szCs w:val="20"/>
          <w:color w:val="auto"/>
        </w:rPr>
        <w:tab/>
      </w:r>
      <w:r>
        <w:rPr>
          <w:rFonts w:ascii="Arial" w:cs="Arial" w:eastAsia="Arial" w:hAnsi="Arial"/>
          <w:sz w:val="22"/>
          <w:szCs w:val="22"/>
          <w:b w:val="1"/>
          <w:bCs w:val="1"/>
          <w:color w:val="auto"/>
        </w:rPr>
        <w:t>THE LOAN DOCUMENTS (OTHER THAN THOSE CONTAINING A</w:t>
      </w:r>
    </w:p>
    <w:p>
      <w:pPr>
        <w:spacing w:after="0" w:line="2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color w:val="auto"/>
        </w:rPr>
        <w:t>CONTRARY EXPRESS CHOICE OF LAW PROVISION) SHALL BE CONSTRUED IN ACCORDANCE WITH THE INTERNAL LAWS (WITHOUT REGARD TO THE CONFLICT OF LAWS PROVISIONS) OF THE STATE OF CALIFORNIA, BUT GIVING EFFECT TO FEDERAL LAWS APPLICABLE TO NATIONAL BANKS.</w:t>
      </w:r>
    </w:p>
    <w:p>
      <w:pPr>
        <w:spacing w:after="0" w:line="222" w:lineRule="exact"/>
        <w:rPr>
          <w:sz w:val="20"/>
          <w:szCs w:val="20"/>
          <w:color w:val="auto"/>
        </w:rPr>
      </w:pPr>
    </w:p>
    <w:p>
      <w:pPr>
        <w:ind w:left="1380"/>
        <w:spacing w:after="0"/>
        <w:tabs>
          <w:tab w:leader="none" w:pos="2040" w:val="left"/>
          <w:tab w:leader="none" w:pos="542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22"/>
          <w:szCs w:val="22"/>
          <w:b w:val="1"/>
          <w:bCs w:val="1"/>
          <w:u w:val="single" w:color="auto"/>
          <w:color w:val="auto"/>
        </w:rPr>
        <w:t>CONSENT TO JURISDICTION</w:t>
      </w:r>
      <w:r>
        <w:rPr>
          <w:rFonts w:ascii="Arial" w:cs="Arial" w:eastAsia="Arial" w:hAnsi="Arial"/>
          <w:sz w:val="22"/>
          <w:szCs w:val="22"/>
          <w:b w:val="1"/>
          <w:bCs w:val="1"/>
          <w:color w:val="auto"/>
        </w:rPr>
        <w:t>.</w:t>
      </w:r>
      <w:r>
        <w:rPr>
          <w:sz w:val="20"/>
          <w:szCs w:val="20"/>
          <w:color w:val="auto"/>
        </w:rPr>
        <w:tab/>
      </w:r>
      <w:r>
        <w:rPr>
          <w:rFonts w:ascii="Arial" w:cs="Arial" w:eastAsia="Arial" w:hAnsi="Arial"/>
          <w:sz w:val="21"/>
          <w:szCs w:val="21"/>
          <w:b w:val="1"/>
          <w:bCs w:val="1"/>
          <w:color w:val="auto"/>
        </w:rPr>
        <w:t>THE BORROWER HEREBY IRREVOCABLY SUBMITS TO</w:t>
      </w:r>
    </w:p>
    <w:p>
      <w:pPr>
        <w:spacing w:after="0" w:line="28" w:lineRule="exact"/>
        <w:rPr>
          <w:sz w:val="20"/>
          <w:szCs w:val="20"/>
          <w:color w:val="auto"/>
        </w:rPr>
      </w:pPr>
    </w:p>
    <w:p>
      <w:pPr>
        <w:jc w:val="both"/>
        <w:spacing w:after="0" w:line="244" w:lineRule="auto"/>
        <w:rPr>
          <w:sz w:val="20"/>
          <w:szCs w:val="20"/>
          <w:color w:val="auto"/>
        </w:rPr>
      </w:pPr>
      <w:r>
        <w:rPr>
          <w:rFonts w:ascii="Arial" w:cs="Arial" w:eastAsia="Arial" w:hAnsi="Arial"/>
          <w:sz w:val="22"/>
          <w:szCs w:val="22"/>
          <w:b w:val="1"/>
          <w:bCs w:val="1"/>
          <w:color w:val="auto"/>
        </w:rPr>
        <w:t>THE EXCLUSIVE JURISDICTION OF ANY UNITED STATES FEDERAL OR STATE COURT SITTING IN CALIFORNIA IN ANY ACTION OR PROCEEDING ARISING OUT OF OR RELATING TO ANY LOAN DOCUMENTS AND THE BORROWER HEREBY IRREVOCABLY AGREES THAT ALL CLAIMS IN RESPECT OF SUCH ACTION OR PROCEEDING MAY BE HEARD AND DETERMINED IN ANY SUCH COURT AND IRREVOCABLY WAIVES ANY OBJECTION IT MAY NOW OR HEREAFTER HAVE AS TO THE VENUE OF ANY SUCH SUIT, ACTION OR PROCEEDING BROUGHT IN SUCH A COURT OR THAT SUCH COURT IS AN INCONVENIENT FORUM. NOTHING HEREIN SHALL LIMIT THE RIGHT OF THE ADMINISTRATIVE AGENT, THE LC ISSUER OR ANY LENDER TO BRING PROCEEDINGS AGAINST THE BORROWER OR TO ENFORCE RIGHTS AND REMEDIES IN RESPECT OF COLLATERAL IN THE COURTS OF ANY OTHER JURISDICTION. ANY JUDICIAL PROCEEDING BY THE BORROWER AGAINST THE ADMINISTRATIVE AGENT, THE LC ISSUER OR ANY LENDER OR ANY AFFILIATE OF THE ADMINISTRATIVE AGENT, THE LC ISSUER OR ANY LENDER INVOLVING, DIRECTLY OR INDIRECTLY, ANY MATTER IN ANY WAY ARISING OUT OF, RELATED TO, OR CONNECTED WITH ANY LOAN DOCUMENT SHALL BE BROUGHT ONLY IN A COURT IN ORANGE COUNTY, CALIFORNIA.</w:t>
      </w:r>
    </w:p>
    <w:p>
      <w:pPr>
        <w:spacing w:after="0" w:line="238" w:lineRule="exact"/>
        <w:rPr>
          <w:sz w:val="20"/>
          <w:szCs w:val="20"/>
          <w:color w:val="auto"/>
        </w:rPr>
      </w:pPr>
    </w:p>
    <w:p>
      <w:pPr>
        <w:ind w:left="1380"/>
        <w:spacing w:after="0"/>
        <w:tabs>
          <w:tab w:leader="none" w:pos="2040" w:val="left"/>
          <w:tab w:leader="none" w:pos="3200" w:val="left"/>
          <w:tab w:leader="none" w:pos="3760" w:val="left"/>
          <w:tab w:leader="none" w:pos="4600" w:val="left"/>
          <w:tab w:leader="none" w:pos="5600" w:val="left"/>
          <w:tab w:leader="none" w:pos="6340" w:val="left"/>
          <w:tab w:leader="none" w:pos="798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22"/>
          <w:szCs w:val="22"/>
          <w:b w:val="1"/>
          <w:bCs w:val="1"/>
          <w:u w:val="single" w:color="auto"/>
          <w:color w:val="auto"/>
        </w:rPr>
        <w:t>WAIVER</w:t>
        <w:tab/>
        <w:t>OF</w:t>
        <w:tab/>
        <w:t>JURY</w:t>
        <w:tab/>
        <w:t>TRIAL</w:t>
      </w:r>
      <w:r>
        <w:rPr>
          <w:rFonts w:ascii="Arial" w:cs="Arial" w:eastAsia="Arial" w:hAnsi="Arial"/>
          <w:sz w:val="22"/>
          <w:szCs w:val="22"/>
          <w:b w:val="1"/>
          <w:bCs w:val="1"/>
          <w:color w:val="auto"/>
        </w:rPr>
        <w:t>.</w:t>
      </w:r>
      <w:r>
        <w:rPr>
          <w:sz w:val="20"/>
          <w:szCs w:val="20"/>
          <w:color w:val="auto"/>
        </w:rPr>
        <w:tab/>
      </w:r>
      <w:r>
        <w:rPr>
          <w:rFonts w:ascii="Arial" w:cs="Arial" w:eastAsia="Arial" w:hAnsi="Arial"/>
          <w:sz w:val="22"/>
          <w:szCs w:val="22"/>
          <w:b w:val="1"/>
          <w:bCs w:val="1"/>
          <w:color w:val="auto"/>
        </w:rPr>
        <w:t>THE</w:t>
        <w:tab/>
        <w:t>BORROWER,</w:t>
        <w:tab/>
        <w:t>THE ADMINISTRATIVE AGENT,</w:t>
      </w:r>
    </w:p>
    <w:p>
      <w:pPr>
        <w:spacing w:after="0" w:line="2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color w:val="auto"/>
        </w:rPr>
        <w:t>THE LC ISSUER AND EACH LENDER HEREBY WAIVE TRIAL BY JURY IN ANY JUDICIAL PROCEEDING INVOLVING, DIRECTLY OR INDIRECTLY, ANY MATTER (WHETHER SOUNDING IN TORT, CONTRACT OR OTHERWISE) IN ANY WAY ARISING OUT OF, RELATED TO, OR CONNECTED WITH ANY LOAN DOCUMENT OR THE RELATIONSHIP ESTABLISHED THEREUNDER.</w:t>
      </w:r>
    </w:p>
    <w:p>
      <w:pPr>
        <w:spacing w:after="0" w:line="206"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 xml:space="preserve">15.4. </w:t>
      </w:r>
      <w:r>
        <w:rPr>
          <w:rFonts w:ascii="Arial" w:cs="Arial" w:eastAsia="Arial" w:hAnsi="Arial"/>
          <w:sz w:val="22"/>
          <w:szCs w:val="22"/>
          <w:u w:val="single" w:color="auto"/>
          <w:color w:val="auto"/>
        </w:rPr>
        <w:t>Judicial Reference Agreement</w:t>
      </w:r>
      <w:r>
        <w:rPr>
          <w:rFonts w:ascii="Arial" w:cs="Arial" w:eastAsia="Arial" w:hAnsi="Arial"/>
          <w:sz w:val="22"/>
          <w:szCs w:val="22"/>
          <w:color w:val="auto"/>
        </w:rPr>
        <w:t>.</w:t>
      </w:r>
    </w:p>
    <w:p>
      <w:pPr>
        <w:spacing w:after="0" w:line="206" w:lineRule="exact"/>
        <w:rPr>
          <w:sz w:val="20"/>
          <w:szCs w:val="20"/>
          <w:color w:val="auto"/>
        </w:rPr>
      </w:pPr>
    </w:p>
    <w:p>
      <w:pPr>
        <w:jc w:val="both"/>
        <w:ind w:firstLine="1062"/>
        <w:spacing w:after="0" w:line="312" w:lineRule="auto"/>
        <w:tabs>
          <w:tab w:leader="none" w:pos="2171" w:val="left"/>
        </w:tabs>
        <w:numPr>
          <w:ilvl w:val="0"/>
          <w:numId w:val="132"/>
        </w:numPr>
        <w:rPr>
          <w:rFonts w:ascii="Arial" w:cs="Arial" w:eastAsia="Arial" w:hAnsi="Arial"/>
          <w:sz w:val="19"/>
          <w:szCs w:val="19"/>
          <w:color w:val="auto"/>
        </w:rPr>
      </w:pPr>
      <w:r>
        <w:rPr>
          <w:rFonts w:ascii="Arial" w:cs="Arial" w:eastAsia="Arial" w:hAnsi="Arial"/>
          <w:sz w:val="19"/>
          <w:szCs w:val="19"/>
          <w:color w:val="auto"/>
        </w:rPr>
        <w:t>Any and all disputes, claims, and controversies arising out of the Loan Documents or the transactions contemplated thereby (including, but not limited to, actions arising in contract or tort and any claims by the Borrower against the Administrative Agent or any of the Lenders related in any way to the Revolving Loans) (individually, a “Dispute”) that</w:t>
      </w:r>
    </w:p>
    <w:p>
      <w:pPr>
        <w:spacing w:after="0" w:line="215" w:lineRule="exact"/>
        <w:rPr>
          <w:sz w:val="20"/>
          <w:szCs w:val="20"/>
          <w:color w:val="auto"/>
        </w:rPr>
      </w:pPr>
    </w:p>
    <w:p>
      <w:pPr>
        <w:ind w:left="40"/>
        <w:spacing w:after="0" w:line="263" w:lineRule="auto"/>
        <w:rPr>
          <w:sz w:val="20"/>
          <w:szCs w:val="20"/>
          <w:color w:val="auto"/>
        </w:rPr>
      </w:pPr>
      <w:r>
        <w:rPr>
          <w:rFonts w:ascii="Arial" w:cs="Arial" w:eastAsia="Arial" w:hAnsi="Arial"/>
          <w:sz w:val="22"/>
          <w:szCs w:val="22"/>
          <w:color w:val="auto"/>
        </w:rPr>
        <w:t>are brought before a forum in which pre-dispute waivers of the right to trial by jury are invalid under applicable law shall be subject to the terms of this Section 15.4.</w:t>
      </w:r>
    </w:p>
    <w:p>
      <w:pPr>
        <w:spacing w:after="0" w:line="215" w:lineRule="exact"/>
        <w:rPr>
          <w:sz w:val="20"/>
          <w:szCs w:val="20"/>
          <w:color w:val="auto"/>
        </w:rPr>
      </w:pPr>
    </w:p>
    <w:p>
      <w:pPr>
        <w:ind w:left="40" w:firstLine="1049"/>
        <w:spacing w:after="0" w:line="263" w:lineRule="auto"/>
        <w:tabs>
          <w:tab w:leader="none" w:pos="2223" w:val="left"/>
        </w:tabs>
        <w:numPr>
          <w:ilvl w:val="0"/>
          <w:numId w:val="133"/>
        </w:numPr>
        <w:rPr>
          <w:rFonts w:ascii="Arial" w:cs="Arial" w:eastAsia="Arial" w:hAnsi="Arial"/>
          <w:sz w:val="22"/>
          <w:szCs w:val="22"/>
          <w:color w:val="auto"/>
        </w:rPr>
      </w:pPr>
      <w:r>
        <w:rPr>
          <w:rFonts w:ascii="Arial" w:cs="Arial" w:eastAsia="Arial" w:hAnsi="Arial"/>
          <w:sz w:val="22"/>
          <w:szCs w:val="22"/>
          <w:color w:val="auto"/>
        </w:rPr>
        <w:t>Any and all Disputes shall be heard by a referee and resolved by judicial reference pursuant to California Code of Civil Procedure Sections 638 et seq. The referee shall be</w:t>
      </w:r>
    </w:p>
    <w:p>
      <w:pPr>
        <w:spacing w:after="0" w:line="18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40"/>
          </w:cols>
          <w:pgMar w:left="320" w:top="375" w:right="239" w:bottom="1440" w:gutter="0" w:footer="0" w:header="0"/>
        </w:sectPr>
      </w:pPr>
    </w:p>
    <w:bookmarkStart w:id="204" w:name="page205"/>
    <w:bookmarkEnd w:id="204"/>
    <w:p>
      <w:pPr>
        <w:jc w:val="both"/>
        <w:ind w:left="40"/>
        <w:spacing w:after="0" w:line="261" w:lineRule="auto"/>
        <w:rPr>
          <w:sz w:val="20"/>
          <w:szCs w:val="20"/>
          <w:color w:val="auto"/>
        </w:rPr>
      </w:pPr>
      <w:r>
        <w:rPr>
          <w:rFonts w:ascii="Arial" w:cs="Arial" w:eastAsia="Arial" w:hAnsi="Arial"/>
          <w:sz w:val="21"/>
          <w:szCs w:val="21"/>
          <w:color w:val="auto"/>
        </w:rPr>
        <w:t>a retired California state court judge or an attorney licensed to practice law in the State of California with at least 10 years’ experience practicing commercial law. Neither the Borrower nor the Administrative Agent shall seek to appoint a referee that may be disqualified pursuant to California Code of Civil Procedure Section 641 or 641.2 without the prior written consent of the other party. If the Administrative Agent and the Borrower are unable to agree upon a referee within 10 calendar days after one party serves a written notice of intent for judicial reference upon the other party, then the referee will be selected by the court in accordance with California Code of Civil Procedure Section 640(b).</w:t>
      </w:r>
    </w:p>
    <w:p>
      <w:pPr>
        <w:spacing w:after="0" w:line="221" w:lineRule="exact"/>
        <w:rPr>
          <w:sz w:val="20"/>
          <w:szCs w:val="20"/>
          <w:color w:val="auto"/>
        </w:rPr>
      </w:pPr>
    </w:p>
    <w:p>
      <w:pPr>
        <w:jc w:val="both"/>
        <w:ind w:left="40" w:firstLine="1049"/>
        <w:spacing w:after="0" w:line="294" w:lineRule="auto"/>
        <w:tabs>
          <w:tab w:leader="none" w:pos="2211" w:val="left"/>
        </w:tabs>
        <w:numPr>
          <w:ilvl w:val="1"/>
          <w:numId w:val="134"/>
        </w:numPr>
        <w:rPr>
          <w:rFonts w:ascii="Arial" w:cs="Arial" w:eastAsia="Arial" w:hAnsi="Arial"/>
          <w:sz w:val="19"/>
          <w:szCs w:val="19"/>
          <w:color w:val="auto"/>
        </w:rPr>
      </w:pPr>
      <w:r>
        <w:rPr>
          <w:rFonts w:ascii="Arial" w:cs="Arial" w:eastAsia="Arial" w:hAnsi="Arial"/>
          <w:sz w:val="19"/>
          <w:szCs w:val="19"/>
          <w:color w:val="auto"/>
        </w:rPr>
        <w:t>The referee shall render a written statement of decision and shall conduct the proceedings in accordance with the California Code of Civil Procedure, the Rules of Court, and California Evidence Code, except as otherwise specifically agreed by the parties and approved by the referee. The referee’s statement of decision shall set forth findings of fact and conclusions of law. The decision of the referee shall be entered as a judgment in the court in accordance with the provisions of California Code of Civil Procedure Sections 644 and 645. The decision of the referee shall be appealable to the same extent and in the same manner that such decision would be appealable if rendered by a judge of the superior court.</w:t>
      </w:r>
    </w:p>
    <w:p>
      <w:pPr>
        <w:spacing w:after="0" w:line="190" w:lineRule="exact"/>
        <w:rPr>
          <w:rFonts w:ascii="Arial" w:cs="Arial" w:eastAsia="Arial" w:hAnsi="Arial"/>
          <w:sz w:val="19"/>
          <w:szCs w:val="19"/>
          <w:color w:val="auto"/>
        </w:rPr>
      </w:pPr>
    </w:p>
    <w:p>
      <w:pPr>
        <w:ind w:left="40" w:firstLine="1049"/>
        <w:spacing w:after="0" w:line="251" w:lineRule="auto"/>
        <w:tabs>
          <w:tab w:leader="none" w:pos="2223" w:val="left"/>
        </w:tabs>
        <w:numPr>
          <w:ilvl w:val="1"/>
          <w:numId w:val="134"/>
        </w:numPr>
        <w:rPr>
          <w:rFonts w:ascii="Arial" w:cs="Arial" w:eastAsia="Arial" w:hAnsi="Arial"/>
          <w:sz w:val="22"/>
          <w:szCs w:val="22"/>
          <w:color w:val="auto"/>
        </w:rPr>
      </w:pPr>
      <w:r>
        <w:rPr>
          <w:rFonts w:ascii="Arial" w:cs="Arial" w:eastAsia="Arial" w:hAnsi="Arial"/>
          <w:sz w:val="22"/>
          <w:szCs w:val="22"/>
          <w:color w:val="auto"/>
        </w:rPr>
        <w:t>Nothing in this Section 15.4 shall be deemed to apply to or limit the right of the Administrative Agent (i) to exercise self-help remedies such as (but not limited to) setoff,</w:t>
      </w:r>
    </w:p>
    <w:p>
      <w:pPr>
        <w:spacing w:after="0" w:line="2" w:lineRule="exact"/>
        <w:rPr>
          <w:rFonts w:ascii="Arial" w:cs="Arial" w:eastAsia="Arial" w:hAnsi="Arial"/>
          <w:sz w:val="22"/>
          <w:szCs w:val="22"/>
          <w:color w:val="auto"/>
        </w:rPr>
      </w:pPr>
    </w:p>
    <w:p>
      <w:pPr>
        <w:jc w:val="both"/>
        <w:ind w:left="40" w:hanging="4"/>
        <w:spacing w:after="0" w:line="286" w:lineRule="auto"/>
        <w:tabs>
          <w:tab w:leader="none" w:pos="642" w:val="left"/>
        </w:tabs>
        <w:numPr>
          <w:ilvl w:val="0"/>
          <w:numId w:val="135"/>
        </w:numPr>
        <w:rPr>
          <w:rFonts w:ascii="Arial" w:cs="Arial" w:eastAsia="Arial" w:hAnsi="Arial"/>
          <w:sz w:val="19"/>
          <w:szCs w:val="19"/>
          <w:color w:val="auto"/>
        </w:rPr>
      </w:pPr>
      <w:r>
        <w:rPr>
          <w:rFonts w:ascii="Arial" w:cs="Arial" w:eastAsia="Arial" w:hAnsi="Arial"/>
          <w:sz w:val="19"/>
          <w:szCs w:val="19"/>
          <w:color w:val="auto"/>
        </w:rPr>
        <w:t>to foreclose judicially or nonjudicially against any real or personal property collateral, or to exercise judicial or nonjudicial power of sale rights, (iii) to obtain from a court provisional or ancillary remedies (including, but not limited to, injunctive relief, a writ of possession, prejudgment attachment, a protective order, or the appointment of a receiver), or (iv) to pursue rights against any party in a third-party proceeding in any action brought against the Administrative Agent or the Lenders (including actions in bankruptcy court). The Administrative Agent may exercise the rights set forth in the foregoing clauses (i) through (iv), inclusive, before, during, or after the pendency of any judicial reference proceeding. Neither the exercise of self help remedies nor the institution or maintenance of an action for foreclosure or provisional or ancillary remedies or the opposition to any such provisional remedies shall constitute a waiver of the right of any party, including, but not limited to, the claimant in any such action, to require submission to judicial reference of the merits of the Dispute occasioning resort to such remedies. No provision in the Loan Documents regarding submission to jurisdiction and/or venue in any court is intended or shall be construed to be in derogation of the provisions in any Loan Document for judicial reference of any of Dispute.</w:t>
      </w:r>
    </w:p>
    <w:p>
      <w:pPr>
        <w:spacing w:after="0" w:line="197" w:lineRule="exact"/>
        <w:rPr>
          <w:rFonts w:ascii="Arial" w:cs="Arial" w:eastAsia="Arial" w:hAnsi="Arial"/>
          <w:sz w:val="19"/>
          <w:szCs w:val="19"/>
          <w:color w:val="auto"/>
        </w:rPr>
      </w:pPr>
    </w:p>
    <w:p>
      <w:pPr>
        <w:jc w:val="both"/>
        <w:ind w:left="40" w:firstLine="1049"/>
        <w:spacing w:after="0" w:line="248" w:lineRule="auto"/>
        <w:tabs>
          <w:tab w:leader="none" w:pos="2211" w:val="left"/>
        </w:tabs>
        <w:numPr>
          <w:ilvl w:val="1"/>
          <w:numId w:val="135"/>
        </w:numPr>
        <w:rPr>
          <w:rFonts w:ascii="Arial" w:cs="Arial" w:eastAsia="Arial" w:hAnsi="Arial"/>
          <w:sz w:val="22"/>
          <w:szCs w:val="22"/>
          <w:color w:val="auto"/>
        </w:rPr>
      </w:pPr>
      <w:r>
        <w:rPr>
          <w:rFonts w:ascii="Arial" w:cs="Arial" w:eastAsia="Arial" w:hAnsi="Arial"/>
          <w:sz w:val="22"/>
          <w:szCs w:val="22"/>
          <w:color w:val="auto"/>
        </w:rPr>
        <w:t>If a Dispute includes multiple claims, some of which are found not subject to this Section 15.4, the Parties shall stay the proceedings of such Dispute or the part or parts thereof not subject to this Section 15.4 until all other Disputes or parts thereof are resolved in accordance with this Section 15.4. If there are Disputes by or against multiple parties, some of which are not subject to this Section 15.4, the Borrower and the Administrative Agent shall sever the Disputes subject to this Section 15.4 and resolve them in accordance with this Section 15.4.</w:t>
      </w:r>
    </w:p>
    <w:p>
      <w:pPr>
        <w:spacing w:after="0" w:line="273"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During the pendency of any Dispute that is submitted to judicial reference in accordance with this Section 15.4, each of the parties to such Dispute shall bear equal shares of the fees charged and costs incurred by the referee in performing the services described in this Section 15.4. The compensation of the referee shall not exceed the prevailing rate for like services. The prevailing</w:t>
      </w:r>
    </w:p>
    <w:p>
      <w:pPr>
        <w:spacing w:after="0" w:line="14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40"/>
          </w:cols>
          <w:pgMar w:left="320" w:top="375" w:right="239" w:bottom="1440" w:gutter="0" w:footer="0" w:header="0"/>
        </w:sectPr>
      </w:pPr>
    </w:p>
    <w:bookmarkStart w:id="205" w:name="page206"/>
    <w:bookmarkEnd w:id="205"/>
    <w:p>
      <w:pPr>
        <w:jc w:val="both"/>
        <w:spacing w:after="0" w:line="250" w:lineRule="auto"/>
        <w:rPr>
          <w:sz w:val="20"/>
          <w:szCs w:val="20"/>
          <w:color w:val="auto"/>
        </w:rPr>
      </w:pPr>
      <w:r>
        <w:rPr>
          <w:rFonts w:ascii="Arial" w:cs="Arial" w:eastAsia="Arial" w:hAnsi="Arial"/>
          <w:sz w:val="22"/>
          <w:szCs w:val="22"/>
          <w:color w:val="auto"/>
        </w:rPr>
        <w:t>party shall be entitled to reasonable court costs and legal fees, including customary attorney fees, expert witness fees, paralegal fees, the fees of the referee, a reimbursement of fees and costs paid during the pendency of a dispute in accordance with this Section 15.4(e), and other reasonable costs and disbursements charged to the party by its counsel, in such amount as the Referee determines.</w:t>
      </w:r>
    </w:p>
    <w:p>
      <w:pPr>
        <w:spacing w:after="0" w:line="229" w:lineRule="exact"/>
        <w:rPr>
          <w:sz w:val="20"/>
          <w:szCs w:val="20"/>
          <w:color w:val="auto"/>
        </w:rPr>
      </w:pPr>
    </w:p>
    <w:p>
      <w:pPr>
        <w:jc w:val="both"/>
        <w:ind w:firstLine="1062"/>
        <w:spacing w:after="0" w:line="253" w:lineRule="auto"/>
        <w:tabs>
          <w:tab w:leader="none" w:pos="2147" w:val="left"/>
        </w:tabs>
        <w:numPr>
          <w:ilvl w:val="0"/>
          <w:numId w:val="136"/>
        </w:numPr>
        <w:rPr>
          <w:rFonts w:ascii="Arial" w:cs="Arial" w:eastAsia="Arial" w:hAnsi="Arial"/>
          <w:sz w:val="22"/>
          <w:szCs w:val="22"/>
          <w:color w:val="auto"/>
        </w:rPr>
      </w:pPr>
      <w:r>
        <w:rPr>
          <w:rFonts w:ascii="Arial" w:cs="Arial" w:eastAsia="Arial" w:hAnsi="Arial"/>
          <w:sz w:val="22"/>
          <w:szCs w:val="22"/>
          <w:color w:val="auto"/>
        </w:rPr>
        <w:t>In the event of any challenge to the legality or enforceability of this Section 15.4, the prevailing party shall be entitled to recover the costs and expenses from the non-prevailing party, including reasonable attorneys’ fees, incurred by it in connection with such challenge.</w:t>
      </w:r>
    </w:p>
    <w:p>
      <w:pPr>
        <w:spacing w:after="0" w:line="226" w:lineRule="exact"/>
        <w:rPr>
          <w:rFonts w:ascii="Arial" w:cs="Arial" w:eastAsia="Arial" w:hAnsi="Arial"/>
          <w:sz w:val="22"/>
          <w:szCs w:val="22"/>
          <w:color w:val="auto"/>
        </w:rPr>
      </w:pPr>
    </w:p>
    <w:p>
      <w:pPr>
        <w:jc w:val="both"/>
        <w:ind w:firstLine="1062"/>
        <w:spacing w:after="0" w:line="253" w:lineRule="auto"/>
        <w:tabs>
          <w:tab w:leader="none" w:pos="2183"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THIS SECTION 15.4 CONSTITUTES A “REFERENCE AGREEMENT” BETWEEN THE BORROWER, THE ADMINISTRATIVE AGENT AND THE LENDERS WITHIN THE MEANING OF AND FOR PURPOSES OF CALIFORNIA CODE OF CIVIL PROCEDURE SECTION 638.</w:t>
      </w:r>
    </w:p>
    <w:p>
      <w:pPr>
        <w:spacing w:after="0" w:line="200" w:lineRule="exact"/>
        <w:rPr>
          <w:sz w:val="20"/>
          <w:szCs w:val="20"/>
          <w:color w:val="auto"/>
        </w:rPr>
      </w:pPr>
    </w:p>
    <w:p>
      <w:pPr>
        <w:spacing w:after="0" w:line="215"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5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40"/>
          </w:cols>
          <w:pgMar w:left="320" w:top="442" w:right="239" w:bottom="1440" w:gutter="0" w:footer="0" w:header="0"/>
        </w:sectPr>
      </w:pPr>
    </w:p>
    <w:bookmarkStart w:id="206" w:name="page207"/>
    <w:bookmarkEnd w:id="206"/>
    <w:p>
      <w:pPr>
        <w:ind w:firstLine="648"/>
        <w:spacing w:after="0" w:line="263" w:lineRule="auto"/>
        <w:rPr>
          <w:sz w:val="20"/>
          <w:szCs w:val="20"/>
          <w:color w:val="auto"/>
        </w:rPr>
      </w:pPr>
      <w:r>
        <w:rPr>
          <w:rFonts w:ascii="Arial" w:cs="Arial" w:eastAsia="Arial" w:hAnsi="Arial"/>
          <w:sz w:val="22"/>
          <w:szCs w:val="22"/>
          <w:color w:val="auto"/>
        </w:rPr>
        <w:t>IN WITNESS WHEREOF, the Borrower, the Lenders, the LC Issuer and the Administrative Agent have executed this Agreement as of the date first above written.</w:t>
      </w:r>
    </w:p>
    <w:p>
      <w:pPr>
        <w:spacing w:after="0" w:line="200" w:lineRule="exact"/>
        <w:rPr>
          <w:sz w:val="20"/>
          <w:szCs w:val="20"/>
          <w:color w:val="auto"/>
        </w:rPr>
      </w:pPr>
    </w:p>
    <w:p>
      <w:pPr>
        <w:spacing w:after="0" w:line="204"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UNIVERSAL ELECTRONICS INC.</w:t>
      </w:r>
    </w:p>
    <w:p>
      <w:pPr>
        <w:spacing w:after="0" w:line="200" w:lineRule="exact"/>
        <w:rPr>
          <w:sz w:val="20"/>
          <w:szCs w:val="20"/>
          <w:color w:val="auto"/>
        </w:rPr>
      </w:pPr>
    </w:p>
    <w:p>
      <w:pPr>
        <w:spacing w:after="0" w:line="290"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Bryan M. Hackworth</w:t>
      </w:r>
      <w:r>
        <w:rPr>
          <w:rFonts w:ascii="Arial" w:cs="Arial" w:eastAsia="Arial" w:hAnsi="Arial"/>
          <w:sz w:val="22"/>
          <w:szCs w:val="22"/>
          <w:color w:val="auto"/>
        </w:rPr>
        <w:t xml:space="preserve"> Name: Bryan M. Hackworth</w:t>
      </w:r>
    </w:p>
    <w:p>
      <w:pPr>
        <w:spacing w:after="0" w:line="22"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Title: 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U.S. BANK NATIONAL ASSOCIATION,</w:t>
      </w:r>
    </w:p>
    <w:p>
      <w:pPr>
        <w:spacing w:after="0" w:line="2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as a Lender, as LC Issuer and as Administrative Agent</w:t>
      </w:r>
    </w:p>
    <w:p>
      <w:pPr>
        <w:spacing w:after="0" w:line="200" w:lineRule="exact"/>
        <w:rPr>
          <w:sz w:val="20"/>
          <w:szCs w:val="20"/>
          <w:color w:val="auto"/>
        </w:rPr>
      </w:pPr>
    </w:p>
    <w:p>
      <w:pPr>
        <w:spacing w:after="0" w:line="27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Andrew Williams</w:t>
      </w:r>
    </w:p>
    <w:p>
      <w:pPr>
        <w:spacing w:after="0" w:line="2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Andrew Williams</w:t>
      </w:r>
    </w:p>
    <w:p>
      <w:pPr>
        <w:spacing w:after="0" w:line="4"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Title: Vice President</w:t>
      </w:r>
    </w:p>
    <w:p>
      <w:pPr>
        <w:spacing w:after="0" w:line="283"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WELLS FARGO BANK, NATIONAL</w:t>
      </w:r>
    </w:p>
    <w:p>
      <w:pPr>
        <w:spacing w:after="0" w:line="2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ASSOCIATION, as a Lender</w:t>
      </w:r>
    </w:p>
    <w:p>
      <w:pPr>
        <w:spacing w:after="0" w:line="200" w:lineRule="exact"/>
        <w:rPr>
          <w:sz w:val="20"/>
          <w:szCs w:val="20"/>
          <w:color w:val="auto"/>
        </w:rPr>
      </w:pPr>
    </w:p>
    <w:p>
      <w:pPr>
        <w:spacing w:after="0" w:line="272"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By: _Name: Aaron Ryan</w:t>
      </w:r>
    </w:p>
    <w:p>
      <w:pPr>
        <w:spacing w:after="0" w:line="22"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3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860"/>
          </w:cols>
          <w:pgMar w:left="320" w:top="442" w:right="719" w:bottom="1440" w:gutter="0" w:footer="0" w:header="0"/>
        </w:sectPr>
      </w:pPr>
    </w:p>
    <w:bookmarkStart w:id="207" w:name="page208"/>
    <w:bookmarkEnd w:id="207"/>
    <w:tbl>
      <w:tblPr>
        <w:tblLayout w:type="fixed"/>
        <w:tblInd w:w="710" w:type="dxa"/>
        <w:tblCellMar>
          <w:top w:w="0" w:type="dxa"/>
          <w:left w:w="0" w:type="dxa"/>
          <w:bottom w:w="0" w:type="dxa"/>
          <w:right w:w="0" w:type="dxa"/>
        </w:tblCellMar>
      </w:tblPr>
      <w:tr>
        <w:trPr>
          <w:trHeight w:val="253"/>
        </w:trPr>
        <w:tc>
          <w:tcPr>
            <w:tcW w:w="19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580" w:type="dxa"/>
            <w:vAlign w:val="bottom"/>
            <w:tcBorders>
              <w:bottom w:val="single" w:sz="8" w:color="auto"/>
            </w:tcBorders>
            <w:gridSpan w:val="3"/>
          </w:tcPr>
          <w:p>
            <w:pPr>
              <w:spacing w:after="0"/>
              <w:rPr>
                <w:sz w:val="20"/>
                <w:szCs w:val="20"/>
                <w:color w:val="auto"/>
              </w:rPr>
            </w:pPr>
            <w:r>
              <w:rPr>
                <w:rFonts w:ascii="Arial" w:cs="Arial" w:eastAsia="Arial" w:hAnsi="Arial"/>
                <w:sz w:val="22"/>
                <w:szCs w:val="22"/>
                <w:b w:val="1"/>
                <w:bCs w:val="1"/>
                <w:color w:val="auto"/>
                <w:w w:val="97"/>
              </w:rPr>
              <w:t>SCHEDULE 1 PRICING SCHEDULE</w:t>
            </w:r>
          </w:p>
        </w:tc>
        <w:tc>
          <w:tcPr>
            <w:tcW w:w="0" w:type="dxa"/>
            <w:vAlign w:val="bottom"/>
          </w:tcPr>
          <w:p>
            <w:pPr>
              <w:spacing w:after="0"/>
              <w:rPr>
                <w:sz w:val="1"/>
                <w:szCs w:val="1"/>
                <w:color w:val="auto"/>
              </w:rPr>
            </w:pPr>
          </w:p>
        </w:tc>
      </w:tr>
      <w:tr>
        <w:trPr>
          <w:trHeight w:val="615"/>
        </w:trPr>
        <w:tc>
          <w:tcPr>
            <w:tcW w:w="19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900" w:type="dxa"/>
            <w:vAlign w:val="bottom"/>
            <w:tcBorders>
              <w:left w:val="single" w:sz="8" w:color="auto"/>
              <w:right w:val="single" w:sz="8" w:color="auto"/>
            </w:tcBorders>
            <w:shd w:val="clear" w:color="auto" w:fill="DADADA"/>
          </w:tcPr>
          <w:p>
            <w:pPr>
              <w:ind w:left="120"/>
              <w:spacing w:after="0" w:line="237" w:lineRule="exact"/>
              <w:rPr>
                <w:sz w:val="20"/>
                <w:szCs w:val="20"/>
                <w:color w:val="auto"/>
              </w:rPr>
            </w:pPr>
            <w:r>
              <w:rPr>
                <w:rFonts w:ascii="Arial" w:cs="Arial" w:eastAsia="Arial" w:hAnsi="Arial"/>
                <w:sz w:val="22"/>
                <w:szCs w:val="22"/>
                <w:b w:val="1"/>
                <w:bCs w:val="1"/>
                <w:color w:val="auto"/>
              </w:rPr>
              <w:t>A</w:t>
            </w:r>
            <w:r>
              <w:rPr>
                <w:rFonts w:ascii="Arial" w:cs="Arial" w:eastAsia="Arial" w:hAnsi="Arial"/>
                <w:sz w:val="16"/>
                <w:szCs w:val="16"/>
                <w:b w:val="1"/>
                <w:bCs w:val="1"/>
                <w:color w:val="auto"/>
              </w:rPr>
              <w:t>PPLICABLE</w:t>
            </w:r>
          </w:p>
        </w:tc>
        <w:tc>
          <w:tcPr>
            <w:tcW w:w="1800" w:type="dxa"/>
            <w:vAlign w:val="bottom"/>
            <w:tcBorders>
              <w:right w:val="single" w:sz="8" w:color="auto"/>
            </w:tcBorders>
            <w:vMerge w:val="restart"/>
            <w:shd w:val="clear" w:color="auto" w:fill="DADADA"/>
          </w:tcPr>
          <w:p>
            <w:pPr>
              <w:jc w:val="right"/>
              <w:ind w:right="184"/>
              <w:spacing w:after="0"/>
              <w:rPr>
                <w:sz w:val="20"/>
                <w:szCs w:val="20"/>
                <w:color w:val="auto"/>
              </w:rPr>
            </w:pPr>
            <w:r>
              <w:rPr>
                <w:rFonts w:ascii="Arial" w:cs="Arial" w:eastAsia="Arial" w:hAnsi="Arial"/>
                <w:sz w:val="22"/>
                <w:szCs w:val="22"/>
                <w:b w:val="1"/>
                <w:bCs w:val="1"/>
                <w:color w:val="auto"/>
              </w:rPr>
              <w:t>L</w:t>
            </w:r>
            <w:r>
              <w:rPr>
                <w:rFonts w:ascii="Arial" w:cs="Arial" w:eastAsia="Arial" w:hAnsi="Arial"/>
                <w:sz w:val="16"/>
                <w:szCs w:val="16"/>
                <w:b w:val="1"/>
                <w:bCs w:val="1"/>
                <w:color w:val="auto"/>
              </w:rPr>
              <w:t>EVEL</w:t>
            </w:r>
            <w:r>
              <w:rPr>
                <w:rFonts w:ascii="Arial" w:cs="Arial" w:eastAsia="Arial" w:hAnsi="Arial"/>
                <w:sz w:val="22"/>
                <w:szCs w:val="22"/>
                <w:b w:val="1"/>
                <w:bCs w:val="1"/>
                <w:color w:val="auto"/>
              </w:rPr>
              <w:t xml:space="preserve"> I S</w:t>
            </w:r>
            <w:r>
              <w:rPr>
                <w:rFonts w:ascii="Arial" w:cs="Arial" w:eastAsia="Arial" w:hAnsi="Arial"/>
                <w:sz w:val="16"/>
                <w:szCs w:val="16"/>
                <w:b w:val="1"/>
                <w:bCs w:val="1"/>
                <w:color w:val="auto"/>
              </w:rPr>
              <w:t>TATUS</w:t>
            </w:r>
          </w:p>
        </w:tc>
        <w:tc>
          <w:tcPr>
            <w:tcW w:w="1040" w:type="dxa"/>
            <w:vAlign w:val="bottom"/>
            <w:shd w:val="clear" w:color="auto" w:fill="DADADA"/>
          </w:tcPr>
          <w:p>
            <w:pPr>
              <w:ind w:left="100"/>
              <w:spacing w:after="0" w:line="237" w:lineRule="exact"/>
              <w:rPr>
                <w:sz w:val="20"/>
                <w:szCs w:val="20"/>
                <w:color w:val="auto"/>
              </w:rPr>
            </w:pPr>
            <w:r>
              <w:rPr>
                <w:rFonts w:ascii="Arial" w:cs="Arial" w:eastAsia="Arial" w:hAnsi="Arial"/>
                <w:sz w:val="22"/>
                <w:szCs w:val="22"/>
                <w:b w:val="1"/>
                <w:bCs w:val="1"/>
                <w:color w:val="auto"/>
              </w:rPr>
              <w:t>L</w:t>
            </w:r>
            <w:r>
              <w:rPr>
                <w:rFonts w:ascii="Arial" w:cs="Arial" w:eastAsia="Arial" w:hAnsi="Arial"/>
                <w:sz w:val="16"/>
                <w:szCs w:val="16"/>
                <w:b w:val="1"/>
                <w:bCs w:val="1"/>
                <w:color w:val="auto"/>
              </w:rPr>
              <w:t>EVEL</w:t>
            </w:r>
            <w:r>
              <w:rPr>
                <w:rFonts w:ascii="Arial" w:cs="Arial" w:eastAsia="Arial" w:hAnsi="Arial"/>
                <w:sz w:val="22"/>
                <w:szCs w:val="22"/>
                <w:b w:val="1"/>
                <w:bCs w:val="1"/>
                <w:color w:val="auto"/>
              </w:rPr>
              <w:t xml:space="preserve"> II</w:t>
            </w:r>
          </w:p>
        </w:tc>
        <w:tc>
          <w:tcPr>
            <w:tcW w:w="500" w:type="dxa"/>
            <w:vAlign w:val="bottom"/>
            <w:tcBorders>
              <w:right w:val="single" w:sz="8" w:color="auto"/>
            </w:tcBorders>
            <w:shd w:val="clear" w:color="auto" w:fill="DADADA"/>
          </w:tcPr>
          <w:p>
            <w:pPr>
              <w:spacing w:after="0"/>
              <w:rPr>
                <w:sz w:val="20"/>
                <w:szCs w:val="20"/>
                <w:color w:val="auto"/>
              </w:rPr>
            </w:pPr>
          </w:p>
        </w:tc>
        <w:tc>
          <w:tcPr>
            <w:tcW w:w="1860" w:type="dxa"/>
            <w:vAlign w:val="bottom"/>
            <w:tcBorders>
              <w:right w:val="single" w:sz="8" w:color="auto"/>
            </w:tcBorders>
            <w:shd w:val="clear" w:color="auto" w:fill="DADADA"/>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1900" w:type="dxa"/>
            <w:vAlign w:val="bottom"/>
            <w:tcBorders>
              <w:left w:val="single" w:sz="8" w:color="auto"/>
              <w:bottom w:val="single" w:sz="8" w:color="auto"/>
              <w:right w:val="single" w:sz="8" w:color="auto"/>
            </w:tcBorders>
            <w:shd w:val="clear" w:color="auto" w:fill="DADADA"/>
          </w:tcPr>
          <w:p>
            <w:pPr>
              <w:ind w:left="120"/>
              <w:spacing w:after="0"/>
              <w:rPr>
                <w:sz w:val="20"/>
                <w:szCs w:val="20"/>
                <w:color w:val="auto"/>
              </w:rPr>
            </w:pPr>
            <w:r>
              <w:rPr>
                <w:rFonts w:ascii="Arial" w:cs="Arial" w:eastAsia="Arial" w:hAnsi="Arial"/>
                <w:sz w:val="22"/>
                <w:szCs w:val="22"/>
                <w:b w:val="1"/>
                <w:bCs w:val="1"/>
                <w:color w:val="auto"/>
              </w:rPr>
              <w:t>M</w:t>
            </w:r>
            <w:r>
              <w:rPr>
                <w:rFonts w:ascii="Arial" w:cs="Arial" w:eastAsia="Arial" w:hAnsi="Arial"/>
                <w:sz w:val="16"/>
                <w:szCs w:val="16"/>
                <w:b w:val="1"/>
                <w:bCs w:val="1"/>
                <w:color w:val="auto"/>
              </w:rPr>
              <w:t>ARGIN</w:t>
            </w:r>
          </w:p>
        </w:tc>
        <w:tc>
          <w:tcPr>
            <w:tcW w:w="1800" w:type="dxa"/>
            <w:vAlign w:val="bottom"/>
            <w:tcBorders>
              <w:bottom w:val="single" w:sz="8" w:color="auto"/>
              <w:right w:val="single" w:sz="8" w:color="auto"/>
            </w:tcBorders>
            <w:vMerge w:val="continue"/>
            <w:shd w:val="clear" w:color="auto" w:fill="DADADA"/>
          </w:tcPr>
          <w:p>
            <w:pPr>
              <w:spacing w:after="0"/>
              <w:rPr>
                <w:sz w:val="24"/>
                <w:szCs w:val="24"/>
                <w:color w:val="auto"/>
              </w:rPr>
            </w:pPr>
          </w:p>
        </w:tc>
        <w:tc>
          <w:tcPr>
            <w:tcW w:w="1040" w:type="dxa"/>
            <w:vAlign w:val="bottom"/>
            <w:tcBorders>
              <w:bottom w:val="single" w:sz="8" w:color="auto"/>
            </w:tcBorders>
            <w:shd w:val="clear" w:color="auto" w:fill="DADADA"/>
          </w:tcPr>
          <w:p>
            <w:pPr>
              <w:ind w:left="100"/>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6"/>
                <w:szCs w:val="16"/>
                <w:b w:val="1"/>
                <w:bCs w:val="1"/>
                <w:color w:val="auto"/>
              </w:rPr>
              <w:t>TATUS</w:t>
            </w:r>
          </w:p>
        </w:tc>
        <w:tc>
          <w:tcPr>
            <w:tcW w:w="500" w:type="dxa"/>
            <w:vAlign w:val="bottom"/>
            <w:tcBorders>
              <w:bottom w:val="single" w:sz="8" w:color="auto"/>
              <w:right w:val="single" w:sz="8" w:color="auto"/>
            </w:tcBorders>
            <w:shd w:val="clear" w:color="auto" w:fill="DADADA"/>
          </w:tcPr>
          <w:p>
            <w:pPr>
              <w:spacing w:after="0"/>
              <w:rPr>
                <w:sz w:val="24"/>
                <w:szCs w:val="24"/>
                <w:color w:val="auto"/>
              </w:rPr>
            </w:pPr>
          </w:p>
        </w:tc>
        <w:tc>
          <w:tcPr>
            <w:tcW w:w="1860" w:type="dxa"/>
            <w:vAlign w:val="bottom"/>
            <w:tcBorders>
              <w:bottom w:val="single" w:sz="8" w:color="auto"/>
              <w:right w:val="single" w:sz="8" w:color="auto"/>
            </w:tcBorders>
            <w:shd w:val="clear" w:color="auto" w:fill="DADADA"/>
          </w:tcPr>
          <w:p>
            <w:pPr>
              <w:ind w:left="80"/>
              <w:spacing w:after="0"/>
              <w:rPr>
                <w:sz w:val="20"/>
                <w:szCs w:val="20"/>
                <w:color w:val="auto"/>
              </w:rPr>
            </w:pPr>
            <w:r>
              <w:rPr>
                <w:rFonts w:ascii="Arial" w:cs="Arial" w:eastAsia="Arial" w:hAnsi="Arial"/>
                <w:sz w:val="22"/>
                <w:szCs w:val="22"/>
                <w:b w:val="1"/>
                <w:bCs w:val="1"/>
                <w:color w:val="auto"/>
              </w:rPr>
              <w:t>L</w:t>
            </w:r>
            <w:r>
              <w:rPr>
                <w:rFonts w:ascii="Arial" w:cs="Arial" w:eastAsia="Arial" w:hAnsi="Arial"/>
                <w:sz w:val="16"/>
                <w:szCs w:val="16"/>
                <w:b w:val="1"/>
                <w:bCs w:val="1"/>
                <w:color w:val="auto"/>
              </w:rPr>
              <w:t>EVEL</w:t>
            </w:r>
            <w:r>
              <w:rPr>
                <w:rFonts w:ascii="Arial" w:cs="Arial" w:eastAsia="Arial" w:hAnsi="Arial"/>
                <w:sz w:val="22"/>
                <w:szCs w:val="22"/>
                <w:b w:val="1"/>
                <w:bCs w:val="1"/>
                <w:color w:val="auto"/>
              </w:rPr>
              <w:t xml:space="preserve"> III S</w:t>
            </w:r>
            <w:r>
              <w:rPr>
                <w:rFonts w:ascii="Arial" w:cs="Arial" w:eastAsia="Arial" w:hAnsi="Arial"/>
                <w:sz w:val="16"/>
                <w:szCs w:val="16"/>
                <w:b w:val="1"/>
                <w:bCs w:val="1"/>
                <w:color w:val="auto"/>
              </w:rPr>
              <w:t>TATUS</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9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i w:val="1"/>
                <w:iCs w:val="1"/>
                <w:color w:val="auto"/>
              </w:rPr>
              <w:t>Eurocurrency</w:t>
            </w:r>
          </w:p>
        </w:tc>
        <w:tc>
          <w:tcPr>
            <w:tcW w:w="1800" w:type="dxa"/>
            <w:vAlign w:val="bottom"/>
            <w:tcBorders>
              <w:right w:val="single" w:sz="8" w:color="auto"/>
            </w:tcBorders>
          </w:tcPr>
          <w:p>
            <w:pPr>
              <w:jc w:val="right"/>
              <w:ind w:right="1204"/>
              <w:spacing w:after="0"/>
              <w:rPr>
                <w:sz w:val="20"/>
                <w:szCs w:val="20"/>
                <w:color w:val="auto"/>
              </w:rPr>
            </w:pPr>
            <w:r>
              <w:rPr>
                <w:rFonts w:ascii="Arial" w:cs="Arial" w:eastAsia="Arial" w:hAnsi="Arial"/>
                <w:sz w:val="18"/>
                <w:szCs w:val="18"/>
                <w:i w:val="1"/>
                <w:iCs w:val="1"/>
                <w:color w:val="auto"/>
                <w:w w:val="93"/>
              </w:rPr>
              <w:t>1.25%</w:t>
            </w:r>
          </w:p>
        </w:tc>
        <w:tc>
          <w:tcPr>
            <w:tcW w:w="1040" w:type="dxa"/>
            <w:vAlign w:val="bottom"/>
          </w:tcPr>
          <w:p>
            <w:pPr>
              <w:ind w:left="20"/>
              <w:spacing w:after="0"/>
              <w:rPr>
                <w:sz w:val="20"/>
                <w:szCs w:val="20"/>
                <w:color w:val="auto"/>
              </w:rPr>
            </w:pPr>
            <w:r>
              <w:rPr>
                <w:rFonts w:ascii="Arial" w:cs="Arial" w:eastAsia="Arial" w:hAnsi="Arial"/>
                <w:sz w:val="18"/>
                <w:szCs w:val="18"/>
                <w:i w:val="1"/>
                <w:iCs w:val="1"/>
                <w:color w:val="auto"/>
              </w:rPr>
              <w:t>1.5%</w:t>
            </w:r>
          </w:p>
        </w:tc>
        <w:tc>
          <w:tcPr>
            <w:tcW w:w="50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1.75%</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9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i w:val="1"/>
                <w:iCs w:val="1"/>
                <w:color w:val="auto"/>
              </w:rPr>
              <w:t>Rate</w:t>
            </w:r>
          </w:p>
        </w:tc>
        <w:tc>
          <w:tcPr>
            <w:tcW w:w="180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190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1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i w:val="1"/>
                <w:iCs w:val="1"/>
                <w:color w:val="auto"/>
              </w:rPr>
              <w:t>Base Rate</w:t>
            </w:r>
          </w:p>
        </w:tc>
        <w:tc>
          <w:tcPr>
            <w:tcW w:w="1800" w:type="dxa"/>
            <w:vAlign w:val="bottom"/>
            <w:tcBorders>
              <w:bottom w:val="single" w:sz="8" w:color="auto"/>
              <w:right w:val="single" w:sz="8" w:color="auto"/>
            </w:tcBorders>
          </w:tcPr>
          <w:p>
            <w:pPr>
              <w:jc w:val="right"/>
              <w:ind w:right="1204"/>
              <w:spacing w:after="0"/>
              <w:rPr>
                <w:sz w:val="20"/>
                <w:szCs w:val="20"/>
                <w:color w:val="auto"/>
              </w:rPr>
            </w:pPr>
            <w:r>
              <w:rPr>
                <w:rFonts w:ascii="Arial" w:cs="Arial" w:eastAsia="Arial" w:hAnsi="Arial"/>
                <w:sz w:val="18"/>
                <w:szCs w:val="18"/>
                <w:i w:val="1"/>
                <w:iCs w:val="1"/>
                <w:color w:val="auto"/>
                <w:w w:val="93"/>
              </w:rPr>
              <w:t>0.00%</w:t>
            </w: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0.25%</w:t>
            </w:r>
          </w:p>
        </w:tc>
        <w:tc>
          <w:tcPr>
            <w:tcW w:w="500" w:type="dxa"/>
            <w:vAlign w:val="bottom"/>
            <w:tcBorders>
              <w:bottom w:val="single" w:sz="8" w:color="auto"/>
              <w:right w:val="single" w:sz="8" w:color="auto"/>
            </w:tcBorders>
          </w:tcPr>
          <w:p>
            <w:pPr>
              <w:spacing w:after="0"/>
              <w:rPr>
                <w:sz w:val="23"/>
                <w:szCs w:val="23"/>
                <w:color w:val="auto"/>
              </w:rPr>
            </w:pP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rPr>
              <w:t>0.5%</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the purposes of this Schedule, the following terms have the following meanings, subject to the final paragraph of this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Schedule:</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“Financials” means the annual or quarterly financial statements of the Borrower delivered pursuant to Section 6.1(a) or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6.1(c).</w:t>
      </w:r>
    </w:p>
    <w:p>
      <w:pPr>
        <w:spacing w:after="0" w:line="2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“Level I Status” exists at any date if, as of the last day of the fiscal quarter of the Borrower referred to in the most recent Financials, the Consolidated Cash Flow Leverage Ratio is less than or equal to 1.50 to 1.00.</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“Level II Status” exists at any date if, as of the last day of the fiscal quarter of the Borrower referred to in the most recent Financials, (i) the Borrower has not qualified for Level I Status and (ii) the Consolidated Cash Flow Leverage Ratio is less than or equal to 2.00 to 1.00.</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“Level III Status” exists at any date if, as of the last day of the fiscal quarter of the Borrower referred to in the most recent Financials, (i) the Borrower has not qualified for Level I Status or Level II Status and (ii) the Consolidated Cash Flow Leverage Ratio is greater than 2.00 to 1.00.</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“Status” means either Level I Status, Level II Status, or Level III Status.</w:t>
      </w:r>
    </w:p>
    <w:p>
      <w:pPr>
        <w:spacing w:after="0" w:line="2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The Applicable Margin shall be determined in accordance with the foregoing table based on the Borrower’s Status as reflected in the then most recent Financials. Adjustments, if any, to the Applicable Margin shall be effective from and after the first day of the first fiscal month immediately following the date on which the delivery of such Financials is required until the first day of the first fiscal month immediately following the next such date on which delivery of such Financials of the Borrower and its Subsidiaries is so required. If the Borrower fails to deliver the Financials to the Administrative Agent at the time required pursuant to Section 6.1, then the Applicable Margin shall be the highest Applicable Margin set forth in the foregoing table until five (5) days after such Financials are so delivered. Subject to the preceding sentence, from and after the date of the Credit Agreement to and including the first month immediately following the delivery of Financials for the fiscal quarter ended September 30, 3017, the Status shall be Level I Status.</w:t>
      </w:r>
    </w:p>
    <w:p>
      <w:pPr>
        <w:spacing w:after="0" w:line="200" w:lineRule="exact"/>
        <w:rPr>
          <w:sz w:val="20"/>
          <w:szCs w:val="20"/>
          <w:color w:val="auto"/>
        </w:rPr>
      </w:pPr>
    </w:p>
    <w:p>
      <w:pPr>
        <w:spacing w:after="0" w:line="21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40"/>
          </w:cols>
          <w:pgMar w:left="320" w:top="414" w:right="239" w:bottom="1440" w:gutter="0" w:footer="0" w:header="0"/>
        </w:sectPr>
      </w:pPr>
    </w:p>
    <w:bookmarkStart w:id="208" w:name="page209"/>
    <w:bookmarkEnd w:id="208"/>
    <w:p>
      <w:pPr>
        <w:jc w:val="right"/>
        <w:ind w:right="2439"/>
        <w:spacing w:after="0"/>
        <w:rPr>
          <w:sz w:val="20"/>
          <w:szCs w:val="20"/>
          <w:color w:val="auto"/>
        </w:rPr>
      </w:pPr>
      <w:r>
        <w:rPr>
          <w:rFonts w:ascii="Arial" w:cs="Arial" w:eastAsia="Arial" w:hAnsi="Arial"/>
          <w:sz w:val="22"/>
          <w:szCs w:val="22"/>
          <w:b w:val="1"/>
          <w:bCs w:val="1"/>
          <w:u w:val="single" w:color="auto"/>
          <w:color w:val="auto"/>
        </w:rPr>
        <w:t>SCHEDULE 2 REVOLVING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90" w:type="dxa"/>
        <w:tblCellMar>
          <w:top w:w="0" w:type="dxa"/>
          <w:left w:w="0" w:type="dxa"/>
          <w:bottom w:w="0" w:type="dxa"/>
          <w:right w:w="0" w:type="dxa"/>
        </w:tblCellMar>
      </w:tblPr>
      <w:tr>
        <w:trPr>
          <w:trHeight w:val="262"/>
        </w:trPr>
        <w:tc>
          <w:tcPr>
            <w:tcW w:w="3020" w:type="dxa"/>
            <w:vAlign w:val="bottom"/>
            <w:tcBorders>
              <w:top w:val="single" w:sz="8" w:color="auto"/>
              <w:left w:val="single" w:sz="8" w:color="auto"/>
              <w:right w:val="single" w:sz="8" w:color="auto"/>
            </w:tcBorders>
          </w:tcPr>
          <w:p>
            <w:pPr>
              <w:spacing w:after="0"/>
              <w:rPr>
                <w:sz w:val="22"/>
                <w:szCs w:val="22"/>
                <w:color w:val="auto"/>
              </w:rPr>
            </w:pPr>
          </w:p>
        </w:tc>
        <w:tc>
          <w:tcPr>
            <w:tcW w:w="2020" w:type="dxa"/>
            <w:vAlign w:val="bottom"/>
            <w:tcBorders>
              <w:top w:val="single" w:sz="8" w:color="auto"/>
              <w:right w:val="single" w:sz="8" w:color="auto"/>
            </w:tcBorders>
          </w:tcPr>
          <w:p>
            <w:pPr>
              <w:jc w:val="center"/>
              <w:ind w:left="224"/>
              <w:spacing w:after="0"/>
              <w:rPr>
                <w:sz w:val="20"/>
                <w:szCs w:val="20"/>
                <w:color w:val="auto"/>
              </w:rPr>
            </w:pPr>
            <w:r>
              <w:rPr>
                <w:rFonts w:ascii="Arial" w:cs="Arial" w:eastAsia="Arial" w:hAnsi="Arial"/>
                <w:sz w:val="22"/>
                <w:szCs w:val="22"/>
                <w:color w:val="auto"/>
                <w:w w:val="93"/>
              </w:rPr>
              <w:t>Revolving</w:t>
            </w:r>
          </w:p>
        </w:tc>
      </w:tr>
      <w:tr>
        <w:trPr>
          <w:trHeight w:val="285"/>
        </w:trPr>
        <w:tc>
          <w:tcPr>
            <w:tcW w:w="3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Lender:</w:t>
            </w:r>
          </w:p>
        </w:tc>
        <w:tc>
          <w:tcPr>
            <w:tcW w:w="2020" w:type="dxa"/>
            <w:vAlign w:val="bottom"/>
            <w:tcBorders>
              <w:bottom w:val="single" w:sz="8" w:color="auto"/>
              <w:right w:val="single" w:sz="8" w:color="auto"/>
            </w:tcBorders>
          </w:tcPr>
          <w:p>
            <w:pPr>
              <w:jc w:val="center"/>
              <w:ind w:left="204"/>
              <w:spacing w:after="0"/>
              <w:rPr>
                <w:sz w:val="20"/>
                <w:szCs w:val="20"/>
                <w:color w:val="auto"/>
              </w:rPr>
            </w:pPr>
            <w:r>
              <w:rPr>
                <w:rFonts w:ascii="Arial" w:cs="Arial" w:eastAsia="Arial" w:hAnsi="Arial"/>
                <w:sz w:val="22"/>
                <w:szCs w:val="22"/>
                <w:color w:val="auto"/>
                <w:w w:val="91"/>
              </w:rPr>
              <w:t>Commitment:</w:t>
            </w:r>
          </w:p>
        </w:tc>
      </w:tr>
      <w:tr>
        <w:trPr>
          <w:trHeight w:val="249"/>
        </w:trPr>
        <w:tc>
          <w:tcPr>
            <w:tcW w:w="3020" w:type="dxa"/>
            <w:vAlign w:val="bottom"/>
            <w:tcBorders>
              <w:left w:val="single" w:sz="8" w:color="auto"/>
              <w:right w:val="single" w:sz="8" w:color="auto"/>
            </w:tcBorders>
          </w:tcPr>
          <w:p>
            <w:pPr>
              <w:ind w:left="120"/>
              <w:spacing w:after="0" w:line="248" w:lineRule="exact"/>
              <w:rPr>
                <w:sz w:val="20"/>
                <w:szCs w:val="20"/>
                <w:color w:val="auto"/>
              </w:rPr>
            </w:pPr>
            <w:r>
              <w:rPr>
                <w:rFonts w:ascii="Arial" w:cs="Arial" w:eastAsia="Arial" w:hAnsi="Arial"/>
                <w:sz w:val="22"/>
                <w:szCs w:val="22"/>
                <w:color w:val="auto"/>
              </w:rPr>
              <w:t>U.S. BANK NATIONAL</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$120,000,000</w:t>
            </w:r>
          </w:p>
        </w:tc>
      </w:tr>
      <w:tr>
        <w:trPr>
          <w:trHeight w:val="285"/>
        </w:trPr>
        <w:tc>
          <w:tcPr>
            <w:tcW w:w="3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ASSOCIATION</w:t>
            </w:r>
          </w:p>
        </w:tc>
        <w:tc>
          <w:tcPr>
            <w:tcW w:w="2020" w:type="dxa"/>
            <w:vAlign w:val="bottom"/>
            <w:tcBorders>
              <w:bottom w:val="single" w:sz="8" w:color="auto"/>
              <w:right w:val="single" w:sz="8" w:color="auto"/>
            </w:tcBorders>
          </w:tcPr>
          <w:p>
            <w:pPr>
              <w:spacing w:after="0"/>
              <w:rPr>
                <w:sz w:val="24"/>
                <w:szCs w:val="24"/>
                <w:color w:val="auto"/>
              </w:rPr>
            </w:pPr>
          </w:p>
        </w:tc>
      </w:tr>
      <w:tr>
        <w:trPr>
          <w:trHeight w:val="249"/>
        </w:trPr>
        <w:tc>
          <w:tcPr>
            <w:tcW w:w="3020" w:type="dxa"/>
            <w:vAlign w:val="bottom"/>
            <w:tcBorders>
              <w:left w:val="single" w:sz="8" w:color="auto"/>
              <w:right w:val="single" w:sz="8" w:color="auto"/>
            </w:tcBorders>
          </w:tcPr>
          <w:p>
            <w:pPr>
              <w:ind w:left="120"/>
              <w:spacing w:after="0" w:line="248" w:lineRule="exact"/>
              <w:rPr>
                <w:sz w:val="20"/>
                <w:szCs w:val="20"/>
                <w:color w:val="auto"/>
              </w:rPr>
            </w:pPr>
            <w:r>
              <w:rPr>
                <w:rFonts w:ascii="Arial" w:cs="Arial" w:eastAsia="Arial" w:hAnsi="Arial"/>
                <w:sz w:val="22"/>
                <w:szCs w:val="22"/>
                <w:color w:val="auto"/>
              </w:rPr>
              <w:t>WELLS FARGO BANK,</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$50,000,000</w:t>
            </w:r>
          </w:p>
        </w:tc>
      </w:tr>
      <w:tr>
        <w:trPr>
          <w:trHeight w:val="285"/>
        </w:trPr>
        <w:tc>
          <w:tcPr>
            <w:tcW w:w="3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NATIONAL ASSOCIATION</w:t>
            </w:r>
          </w:p>
        </w:tc>
        <w:tc>
          <w:tcPr>
            <w:tcW w:w="2020" w:type="dxa"/>
            <w:vAlign w:val="bottom"/>
            <w:tcBorders>
              <w:bottom w:val="single" w:sz="8" w:color="auto"/>
              <w:right w:val="single" w:sz="8" w:color="auto"/>
            </w:tcBorders>
          </w:tcPr>
          <w:p>
            <w:pPr>
              <w:spacing w:after="0"/>
              <w:rPr>
                <w:sz w:val="24"/>
                <w:szCs w:val="24"/>
                <w:color w:val="auto"/>
              </w:rPr>
            </w:pPr>
          </w:p>
        </w:tc>
      </w:tr>
      <w:tr>
        <w:trPr>
          <w:trHeight w:val="297"/>
        </w:trPr>
        <w:tc>
          <w:tcPr>
            <w:tcW w:w="302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r>
      <w:tr>
        <w:trPr>
          <w:trHeight w:val="236"/>
        </w:trPr>
        <w:tc>
          <w:tcPr>
            <w:tcW w:w="3020" w:type="dxa"/>
            <w:vAlign w:val="bottom"/>
            <w:tcBorders>
              <w:left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b w:val="1"/>
                <w:bCs w:val="1"/>
                <w:color w:val="auto"/>
              </w:rPr>
              <w:t>TOTAL REVOLVING</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$170,000,000</w:t>
            </w:r>
          </w:p>
        </w:tc>
      </w:tr>
      <w:tr>
        <w:trPr>
          <w:trHeight w:val="291"/>
        </w:trPr>
        <w:tc>
          <w:tcPr>
            <w:tcW w:w="3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COMMITMENTS</w:t>
            </w:r>
          </w:p>
        </w:tc>
        <w:tc>
          <w:tcPr>
            <w:tcW w:w="2020" w:type="dxa"/>
            <w:vAlign w:val="bottom"/>
            <w:tcBorders>
              <w:bottom w:val="single" w:sz="8" w:color="auto"/>
              <w:right w:val="single" w:sz="8" w:color="auto"/>
            </w:tcBorders>
          </w:tcPr>
          <w:p>
            <w:pPr>
              <w:spacing w:after="0"/>
              <w:rPr>
                <w:sz w:val="24"/>
                <w:szCs w:val="24"/>
                <w:color w:val="auto"/>
              </w:rPr>
            </w:pPr>
          </w:p>
        </w:tc>
      </w:tr>
      <w:tr>
        <w:trPr>
          <w:trHeight w:val="729"/>
        </w:trPr>
        <w:tc>
          <w:tcPr>
            <w:tcW w:w="3020" w:type="dxa"/>
            <w:vAlign w:val="bottom"/>
          </w:tcPr>
          <w:p>
            <w:pPr>
              <w:spacing w:after="0"/>
              <w:rPr>
                <w:sz w:val="24"/>
                <w:szCs w:val="24"/>
                <w:color w:val="auto"/>
              </w:rPr>
            </w:pPr>
          </w:p>
        </w:tc>
        <w:tc>
          <w:tcPr>
            <w:tcW w:w="2020" w:type="dxa"/>
            <w:vAlign w:val="bottom"/>
          </w:tcPr>
          <w:p>
            <w:pPr>
              <w:jc w:val="right"/>
              <w:ind w:right="524"/>
              <w:spacing w:after="0"/>
              <w:rPr>
                <w:sz w:val="20"/>
                <w:szCs w:val="20"/>
                <w:color w:val="auto"/>
              </w:rPr>
            </w:pPr>
            <w:r>
              <w:rPr>
                <w:rFonts w:ascii="Arial" w:cs="Arial" w:eastAsia="Arial" w:hAnsi="Arial"/>
                <w:sz w:val="18"/>
                <w:szCs w:val="18"/>
                <w:color w:val="auto"/>
              </w:rPr>
              <w:t>92</w:t>
            </w:r>
          </w:p>
        </w:tc>
      </w:tr>
    </w:tbl>
    <w:p>
      <w:pPr>
        <w:sectPr>
          <w:pgSz w:w="11900" w:h="16838" w:orient="portrait"/>
          <w:cols w:equalWidth="0" w:num="1">
            <w:col w:w="9019"/>
          </w:cols>
          <w:pgMar w:left="1440" w:top="436" w:right="1440" w:bottom="1440" w:gutter="0" w:footer="0" w:header="0"/>
        </w:sectPr>
      </w:pPr>
    </w:p>
    <w:bookmarkStart w:id="209" w:name="page210"/>
    <w:bookmarkEnd w:id="209"/>
    <w:p>
      <w:pPr>
        <w:jc w:val="right"/>
        <w:ind w:right="1959"/>
        <w:spacing w:after="0"/>
        <w:rPr>
          <w:sz w:val="20"/>
          <w:szCs w:val="20"/>
          <w:color w:val="auto"/>
        </w:rPr>
      </w:pPr>
      <w:r>
        <w:rPr>
          <w:rFonts w:ascii="Arial" w:cs="Arial" w:eastAsia="Arial" w:hAnsi="Arial"/>
          <w:sz w:val="22"/>
          <w:szCs w:val="22"/>
          <w:b w:val="1"/>
          <w:bCs w:val="1"/>
          <w:color w:val="auto"/>
        </w:rPr>
        <w:t>SCHEDULE 5.12</w:t>
      </w:r>
    </w:p>
    <w:p>
      <w:pPr>
        <w:spacing w:after="0" w:line="328" w:lineRule="exact"/>
        <w:rPr>
          <w:sz w:val="20"/>
          <w:szCs w:val="20"/>
          <w:color w:val="auto"/>
        </w:rPr>
      </w:pPr>
    </w:p>
    <w:p>
      <w:pPr>
        <w:ind w:left="6900"/>
        <w:spacing w:after="0"/>
        <w:rPr>
          <w:sz w:val="20"/>
          <w:szCs w:val="20"/>
          <w:color w:val="auto"/>
        </w:rPr>
      </w:pPr>
      <w:r>
        <w:rPr>
          <w:rFonts w:ascii="Arial" w:cs="Arial" w:eastAsia="Arial" w:hAnsi="Arial"/>
          <w:sz w:val="22"/>
          <w:szCs w:val="22"/>
          <w:b w:val="1"/>
          <w:bCs w:val="1"/>
          <w:color w:val="auto"/>
        </w:rPr>
        <w:t>Properties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8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139"/>
          </w:cols>
          <w:pgMar w:left="320" w:top="436" w:right="1440" w:bottom="1440" w:gutter="0" w:footer="0" w:header="0"/>
        </w:sectPr>
      </w:pPr>
    </w:p>
    <w:bookmarkStart w:id="210" w:name="page211"/>
    <w:bookmarkEnd w:id="210"/>
    <w:p>
      <w:pPr>
        <w:jc w:val="center"/>
        <w:ind w:right="-43"/>
        <w:spacing w:after="0"/>
        <w:rPr>
          <w:sz w:val="20"/>
          <w:szCs w:val="20"/>
          <w:color w:val="auto"/>
        </w:rPr>
      </w:pPr>
      <w:r>
        <w:rPr>
          <w:rFonts w:ascii="Arial" w:cs="Arial" w:eastAsia="Arial" w:hAnsi="Arial"/>
          <w:sz w:val="22"/>
          <w:szCs w:val="22"/>
          <w:b w:val="1"/>
          <w:bCs w:val="1"/>
          <w:color w:val="auto"/>
        </w:rPr>
        <w:t>SCHEDULE 5.24</w:t>
      </w:r>
    </w:p>
    <w:p>
      <w:pPr>
        <w:spacing w:after="0" w:line="28" w:lineRule="exact"/>
        <w:rPr>
          <w:sz w:val="20"/>
          <w:szCs w:val="20"/>
          <w:color w:val="auto"/>
        </w:rPr>
      </w:pPr>
    </w:p>
    <w:p>
      <w:pPr>
        <w:jc w:val="center"/>
        <w:ind w:right="-43"/>
        <w:spacing w:after="0"/>
        <w:rPr>
          <w:sz w:val="20"/>
          <w:szCs w:val="20"/>
          <w:color w:val="auto"/>
        </w:rPr>
      </w:pPr>
      <w:r>
        <w:rPr>
          <w:rFonts w:ascii="Arial" w:cs="Arial" w:eastAsia="Arial" w:hAnsi="Arial"/>
          <w:sz w:val="22"/>
          <w:szCs w:val="22"/>
          <w:b w:val="1"/>
          <w:bCs w:val="1"/>
          <w:color w:val="auto"/>
        </w:rPr>
        <w:t>Subsidiaries</w:t>
      </w:r>
    </w:p>
    <w:p>
      <w:pPr>
        <w:spacing w:after="0" w:line="272"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U</w:t>
      </w:r>
      <w:r>
        <w:rPr>
          <w:rFonts w:ascii="Arial" w:cs="Arial" w:eastAsia="Arial" w:hAnsi="Arial"/>
          <w:sz w:val="14"/>
          <w:szCs w:val="14"/>
          <w:b w:val="1"/>
          <w:bCs w:val="1"/>
          <w:u w:val="single" w:color="auto"/>
          <w:color w:val="auto"/>
        </w:rPr>
        <w:t>NIVERSAL</w:t>
      </w:r>
      <w:r>
        <w:rPr>
          <w:rFonts w:ascii="Arial" w:cs="Arial" w:eastAsia="Arial" w:hAnsi="Arial"/>
          <w:sz w:val="18"/>
          <w:szCs w:val="18"/>
          <w:b w:val="1"/>
          <w:bCs w:val="1"/>
          <w:u w:val="single" w:color="auto"/>
          <w:color w:val="auto"/>
        </w:rPr>
        <w:t xml:space="preserve"> E</w:t>
      </w:r>
      <w:r>
        <w:rPr>
          <w:rFonts w:ascii="Arial" w:cs="Arial" w:eastAsia="Arial" w:hAnsi="Arial"/>
          <w:sz w:val="14"/>
          <w:szCs w:val="14"/>
          <w:b w:val="1"/>
          <w:bCs w:val="1"/>
          <w:u w:val="single" w:color="auto"/>
          <w:color w:val="auto"/>
        </w:rPr>
        <w:t>LECTRONICS</w:t>
      </w:r>
      <w:r>
        <w:rPr>
          <w:rFonts w:ascii="Arial" w:cs="Arial" w:eastAsia="Arial" w:hAnsi="Arial"/>
          <w:sz w:val="18"/>
          <w:szCs w:val="18"/>
          <w:b w:val="1"/>
          <w:bCs w:val="1"/>
          <w:u w:val="single" w:color="auto"/>
          <w:color w:val="auto"/>
        </w:rPr>
        <w:t xml:space="preserve"> I</w:t>
      </w:r>
      <w:r>
        <w:rPr>
          <w:rFonts w:ascii="Arial" w:cs="Arial" w:eastAsia="Arial" w:hAnsi="Arial"/>
          <w:sz w:val="14"/>
          <w:szCs w:val="14"/>
          <w:b w:val="1"/>
          <w:bCs w:val="1"/>
          <w:u w:val="single" w:color="auto"/>
          <w:color w:val="auto"/>
        </w:rPr>
        <w:t>NC</w:t>
      </w:r>
      <w:r>
        <w:rPr>
          <w:rFonts w:ascii="Arial" w:cs="Arial" w:eastAsia="Arial" w:hAnsi="Arial"/>
          <w:sz w:val="18"/>
          <w:szCs w:val="18"/>
          <w:b w:val="1"/>
          <w:bCs w:val="1"/>
          <w:u w:val="single" w:color="auto"/>
          <w:color w:val="auto"/>
        </w:rPr>
        <w:t>. S</w:t>
      </w:r>
      <w:r>
        <w:rPr>
          <w:rFonts w:ascii="Arial" w:cs="Arial" w:eastAsia="Arial" w:hAnsi="Arial"/>
          <w:sz w:val="14"/>
          <w:szCs w:val="14"/>
          <w:b w:val="1"/>
          <w:bCs w:val="1"/>
          <w:u w:val="single" w:color="auto"/>
          <w:color w:val="auto"/>
        </w:rPr>
        <w:t>UBSIDIARIES</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Universal Electronics BV (The Netherlands)</w:t>
      </w:r>
      <w:r>
        <w:rPr>
          <w:rFonts w:ascii="Arial" w:cs="Arial" w:eastAsia="Arial" w:hAnsi="Arial"/>
          <w:sz w:val="11"/>
          <w:szCs w:val="11"/>
          <w:color w:val="auto"/>
        </w:rPr>
        <w:t>RS</w:t>
      </w:r>
      <w:r>
        <w:rPr>
          <w:rFonts w:ascii="Arial" w:cs="Arial" w:eastAsia="Arial" w:hAnsi="Arial"/>
          <w:sz w:val="18"/>
          <w:szCs w:val="18"/>
          <w:color w:val="auto"/>
        </w:rPr>
        <w:t xml:space="preserve"> UE Holdings, LLC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CG Mexico (99% Universal Electronics Inc; 1% UE Holdings LLC</w:t>
      </w:r>
    </w:p>
    <w:p>
      <w:pPr>
        <w:spacing w:after="0" w:line="11" w:lineRule="exact"/>
        <w:rPr>
          <w:sz w:val="20"/>
          <w:szCs w:val="20"/>
          <w:color w:val="auto"/>
        </w:rPr>
      </w:pPr>
    </w:p>
    <w:p>
      <w:pPr>
        <w:ind w:left="4"/>
        <w:spacing w:after="0"/>
        <w:rPr>
          <w:sz w:val="20"/>
          <w:szCs w:val="20"/>
          <w:color w:val="auto"/>
        </w:rPr>
      </w:pPr>
      <w:r>
        <w:rPr>
          <w:rFonts w:ascii="Arial" w:cs="Arial" w:eastAsia="Arial" w:hAnsi="Arial"/>
          <w:sz w:val="18"/>
          <w:szCs w:val="18"/>
          <w:color w:val="auto"/>
        </w:rPr>
        <w:t>UE Japan Limited</w:t>
      </w:r>
    </w:p>
    <w:p>
      <w:pPr>
        <w:spacing w:after="0" w:line="7" w:lineRule="exact"/>
        <w:rPr>
          <w:sz w:val="20"/>
          <w:szCs w:val="20"/>
          <w:color w:val="auto"/>
        </w:rPr>
      </w:pPr>
    </w:p>
    <w:p>
      <w:pPr>
        <w:ind w:left="4"/>
        <w:spacing w:after="0"/>
        <w:rPr>
          <w:sz w:val="20"/>
          <w:szCs w:val="20"/>
          <w:color w:val="auto"/>
        </w:rPr>
      </w:pPr>
      <w:r>
        <w:rPr>
          <w:rFonts w:ascii="Arial" w:cs="Arial" w:eastAsia="Arial" w:hAnsi="Arial"/>
          <w:sz w:val="18"/>
          <w:szCs w:val="18"/>
          <w:color w:val="auto"/>
        </w:rPr>
        <w:t>Ecolink Intelligent Technologies, Inc. RCS Technology, LLC</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U</w:t>
      </w:r>
      <w:r>
        <w:rPr>
          <w:rFonts w:ascii="Arial" w:cs="Arial" w:eastAsia="Arial" w:hAnsi="Arial"/>
          <w:sz w:val="14"/>
          <w:szCs w:val="14"/>
          <w:b w:val="1"/>
          <w:bCs w:val="1"/>
          <w:u w:val="single" w:color="auto"/>
          <w:color w:val="auto"/>
        </w:rPr>
        <w:t>NIVERSAL</w:t>
      </w:r>
      <w:r>
        <w:rPr>
          <w:rFonts w:ascii="Arial" w:cs="Arial" w:eastAsia="Arial" w:hAnsi="Arial"/>
          <w:sz w:val="18"/>
          <w:szCs w:val="18"/>
          <w:b w:val="1"/>
          <w:bCs w:val="1"/>
          <w:u w:val="single" w:color="auto"/>
          <w:color w:val="auto"/>
        </w:rPr>
        <w:t xml:space="preserve"> E</w:t>
      </w:r>
      <w:r>
        <w:rPr>
          <w:rFonts w:ascii="Arial" w:cs="Arial" w:eastAsia="Arial" w:hAnsi="Arial"/>
          <w:sz w:val="14"/>
          <w:szCs w:val="14"/>
          <w:b w:val="1"/>
          <w:bCs w:val="1"/>
          <w:u w:val="single" w:color="auto"/>
          <w:color w:val="auto"/>
        </w:rPr>
        <w:t>LECTRONICS</w:t>
      </w:r>
      <w:r>
        <w:rPr>
          <w:rFonts w:ascii="Arial" w:cs="Arial" w:eastAsia="Arial" w:hAnsi="Arial"/>
          <w:sz w:val="18"/>
          <w:szCs w:val="18"/>
          <w:b w:val="1"/>
          <w:bCs w:val="1"/>
          <w:u w:val="single" w:color="auto"/>
          <w:color w:val="auto"/>
        </w:rPr>
        <w:t xml:space="preserve"> BV S</w:t>
      </w:r>
      <w:r>
        <w:rPr>
          <w:rFonts w:ascii="Arial" w:cs="Arial" w:eastAsia="Arial" w:hAnsi="Arial"/>
          <w:sz w:val="14"/>
          <w:szCs w:val="14"/>
          <w:b w:val="1"/>
          <w:bCs w:val="1"/>
          <w:u w:val="single" w:color="auto"/>
          <w:color w:val="auto"/>
        </w:rPr>
        <w:t>UBSIDIARIES</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One For All Argentina SRL (Argentina) – </w:t>
      </w:r>
      <w:r>
        <w:rPr>
          <w:rFonts w:ascii="Arial" w:cs="Arial" w:eastAsia="Arial" w:hAnsi="Arial"/>
          <w:sz w:val="16"/>
          <w:szCs w:val="16"/>
          <w:color w:val="auto"/>
        </w:rPr>
        <w:t>[95.92% Universal Electronics BV; 4.08% Universal Electronics Inc.]</w:t>
      </w:r>
    </w:p>
    <w:p>
      <w:pPr>
        <w:ind w:left="4"/>
        <w:spacing w:after="0"/>
        <w:rPr>
          <w:sz w:val="20"/>
          <w:szCs w:val="20"/>
          <w:color w:val="auto"/>
        </w:rPr>
      </w:pPr>
      <w:r>
        <w:rPr>
          <w:rFonts w:ascii="Arial" w:cs="Arial" w:eastAsia="Arial" w:hAnsi="Arial"/>
          <w:sz w:val="18"/>
          <w:szCs w:val="18"/>
          <w:color w:val="auto"/>
        </w:rPr>
        <w:t>One For All France S.A.S. (France) One For All GmbH (Germany) One For All Iberia SL (Spain)</w:t>
      </w:r>
    </w:p>
    <w:p>
      <w:pPr>
        <w:spacing w:after="0" w:line="7" w:lineRule="exact"/>
        <w:rPr>
          <w:sz w:val="20"/>
          <w:szCs w:val="20"/>
          <w:color w:val="auto"/>
        </w:rPr>
      </w:pPr>
    </w:p>
    <w:p>
      <w:pPr>
        <w:ind w:left="4"/>
        <w:spacing w:after="0"/>
        <w:rPr>
          <w:sz w:val="20"/>
          <w:szCs w:val="20"/>
          <w:color w:val="auto"/>
        </w:rPr>
      </w:pPr>
      <w:r>
        <w:rPr>
          <w:rFonts w:ascii="Arial" w:cs="Arial" w:eastAsia="Arial" w:hAnsi="Arial"/>
          <w:sz w:val="18"/>
          <w:szCs w:val="18"/>
          <w:color w:val="auto"/>
        </w:rPr>
        <w:t>One For All UK, Ltd. (England and Wales)</w:t>
      </w:r>
    </w:p>
    <w:p>
      <w:pPr>
        <w:spacing w:after="0" w:line="6" w:lineRule="exact"/>
        <w:rPr>
          <w:sz w:val="20"/>
          <w:szCs w:val="20"/>
          <w:color w:val="auto"/>
        </w:rPr>
      </w:pPr>
    </w:p>
    <w:p>
      <w:pPr>
        <w:ind w:left="4"/>
        <w:spacing w:after="0"/>
        <w:rPr>
          <w:sz w:val="20"/>
          <w:szCs w:val="20"/>
          <w:color w:val="auto"/>
        </w:rPr>
      </w:pPr>
      <w:r>
        <w:rPr>
          <w:rFonts w:ascii="Arial" w:cs="Arial" w:eastAsia="Arial" w:hAnsi="Arial"/>
          <w:sz w:val="18"/>
          <w:szCs w:val="18"/>
          <w:color w:val="auto"/>
        </w:rPr>
        <w:t>Ultra Control Consumer Electronics GmbH (Germany) Universal Electronics Italia S.R.L. (Italy)</w:t>
      </w:r>
    </w:p>
    <w:p>
      <w:pPr>
        <w:ind w:left="4"/>
        <w:spacing w:after="0"/>
        <w:rPr>
          <w:sz w:val="20"/>
          <w:szCs w:val="20"/>
          <w:color w:val="auto"/>
        </w:rPr>
      </w:pPr>
      <w:r>
        <w:rPr>
          <w:rFonts w:ascii="Arial" w:cs="Arial" w:eastAsia="Arial" w:hAnsi="Arial"/>
          <w:sz w:val="18"/>
          <w:szCs w:val="18"/>
          <w:color w:val="auto"/>
        </w:rPr>
        <w:t xml:space="preserve">UEI Hong Kong Private Limited (Hong Kong) </w:t>
      </w:r>
      <w:r>
        <w:rPr>
          <w:rFonts w:ascii="Arial" w:cs="Arial" w:eastAsia="Arial" w:hAnsi="Arial"/>
          <w:sz w:val="11"/>
          <w:szCs w:val="11"/>
          <w:color w:val="auto"/>
        </w:rPr>
        <w:t>RS</w:t>
      </w:r>
    </w:p>
    <w:p>
      <w:pPr>
        <w:spacing w:after="0" w:line="7" w:lineRule="exact"/>
        <w:rPr>
          <w:sz w:val="20"/>
          <w:szCs w:val="20"/>
          <w:color w:val="auto"/>
        </w:rPr>
      </w:pPr>
    </w:p>
    <w:p>
      <w:pPr>
        <w:ind w:left="4"/>
        <w:spacing w:after="0"/>
        <w:rPr>
          <w:sz w:val="20"/>
          <w:szCs w:val="20"/>
          <w:color w:val="auto"/>
        </w:rPr>
      </w:pPr>
      <w:r>
        <w:rPr>
          <w:rFonts w:ascii="Arial" w:cs="Arial" w:eastAsia="Arial" w:hAnsi="Arial"/>
          <w:sz w:val="18"/>
          <w:szCs w:val="18"/>
          <w:color w:val="auto"/>
        </w:rPr>
        <w:t>Universal Electronics Holdings, LLC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UEI Brasil Controles Remotos Ltda. – </w:t>
      </w:r>
      <w:r>
        <w:rPr>
          <w:rFonts w:ascii="Arial" w:cs="Arial" w:eastAsia="Arial" w:hAnsi="Arial"/>
          <w:sz w:val="16"/>
          <w:szCs w:val="16"/>
          <w:color w:val="auto"/>
        </w:rPr>
        <w:t>[99% Universal Electronics BV; 1% Universal Electronics Holdings, LLC]</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UEI H</w:t>
      </w:r>
      <w:r>
        <w:rPr>
          <w:rFonts w:ascii="Arial" w:cs="Arial" w:eastAsia="Arial" w:hAnsi="Arial"/>
          <w:sz w:val="14"/>
          <w:szCs w:val="14"/>
          <w:b w:val="1"/>
          <w:bCs w:val="1"/>
          <w:u w:val="single" w:color="auto"/>
          <w:color w:val="auto"/>
        </w:rPr>
        <w:t>ONG</w:t>
      </w:r>
      <w:r>
        <w:rPr>
          <w:rFonts w:ascii="Arial" w:cs="Arial" w:eastAsia="Arial" w:hAnsi="Arial"/>
          <w:sz w:val="18"/>
          <w:szCs w:val="18"/>
          <w:b w:val="1"/>
          <w:bCs w:val="1"/>
          <w:u w:val="single" w:color="auto"/>
          <w:color w:val="auto"/>
        </w:rPr>
        <w:t xml:space="preserve"> K</w:t>
      </w:r>
      <w:r>
        <w:rPr>
          <w:rFonts w:ascii="Arial" w:cs="Arial" w:eastAsia="Arial" w:hAnsi="Arial"/>
          <w:sz w:val="14"/>
          <w:szCs w:val="14"/>
          <w:b w:val="1"/>
          <w:bCs w:val="1"/>
          <w:u w:val="single" w:color="auto"/>
          <w:color w:val="auto"/>
        </w:rPr>
        <w:t>ONG</w:t>
      </w:r>
      <w:r>
        <w:rPr>
          <w:rFonts w:ascii="Arial" w:cs="Arial" w:eastAsia="Arial" w:hAnsi="Arial"/>
          <w:sz w:val="18"/>
          <w:szCs w:val="18"/>
          <w:b w:val="1"/>
          <w:bCs w:val="1"/>
          <w:u w:val="single" w:color="auto"/>
          <w:color w:val="auto"/>
        </w:rPr>
        <w:t xml:space="preserve"> P</w:t>
      </w:r>
      <w:r>
        <w:rPr>
          <w:rFonts w:ascii="Arial" w:cs="Arial" w:eastAsia="Arial" w:hAnsi="Arial"/>
          <w:sz w:val="14"/>
          <w:szCs w:val="14"/>
          <w:b w:val="1"/>
          <w:bCs w:val="1"/>
          <w:u w:val="single" w:color="auto"/>
          <w:color w:val="auto"/>
        </w:rPr>
        <w:t>RIVATE</w:t>
      </w:r>
      <w:r>
        <w:rPr>
          <w:rFonts w:ascii="Arial" w:cs="Arial" w:eastAsia="Arial" w:hAnsi="Arial"/>
          <w:sz w:val="18"/>
          <w:szCs w:val="18"/>
          <w:b w:val="1"/>
          <w:bCs w:val="1"/>
          <w:u w:val="single" w:color="auto"/>
          <w:color w:val="auto"/>
        </w:rPr>
        <w:t xml:space="preserve"> L</w:t>
      </w:r>
      <w:r>
        <w:rPr>
          <w:rFonts w:ascii="Arial" w:cs="Arial" w:eastAsia="Arial" w:hAnsi="Arial"/>
          <w:sz w:val="14"/>
          <w:szCs w:val="14"/>
          <w:b w:val="1"/>
          <w:bCs w:val="1"/>
          <w:u w:val="single" w:color="auto"/>
          <w:color w:val="auto"/>
        </w:rPr>
        <w:t>IMITED</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UBSIDIARIES</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UE Singapore Private Limited Ltd. (Republic of Singapore)</w:t>
      </w:r>
    </w:p>
    <w:p>
      <w:pPr>
        <w:spacing w:after="0" w:line="11" w:lineRule="exact"/>
        <w:rPr>
          <w:sz w:val="20"/>
          <w:szCs w:val="20"/>
          <w:color w:val="auto"/>
        </w:rPr>
      </w:pPr>
    </w:p>
    <w:p>
      <w:pPr>
        <w:ind w:left="4"/>
        <w:spacing w:after="0"/>
        <w:rPr>
          <w:sz w:val="20"/>
          <w:szCs w:val="20"/>
          <w:color w:val="auto"/>
        </w:rPr>
      </w:pPr>
      <w:r>
        <w:rPr>
          <w:rFonts w:ascii="Arial" w:cs="Arial" w:eastAsia="Arial" w:hAnsi="Arial"/>
          <w:sz w:val="18"/>
          <w:szCs w:val="18"/>
          <w:color w:val="auto"/>
        </w:rPr>
        <w:t>Enson Assets Limited (British Virgin Islands)</w:t>
      </w:r>
    </w:p>
    <w:p>
      <w:pPr>
        <w:spacing w:after="0" w:line="21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UEI H</w:t>
      </w:r>
      <w:r>
        <w:rPr>
          <w:rFonts w:ascii="Arial" w:cs="Arial" w:eastAsia="Arial" w:hAnsi="Arial"/>
          <w:sz w:val="14"/>
          <w:szCs w:val="14"/>
          <w:b w:val="1"/>
          <w:bCs w:val="1"/>
          <w:u w:val="single" w:color="auto"/>
          <w:color w:val="auto"/>
        </w:rPr>
        <w:t>ONG</w:t>
      </w:r>
      <w:r>
        <w:rPr>
          <w:rFonts w:ascii="Arial" w:cs="Arial" w:eastAsia="Arial" w:hAnsi="Arial"/>
          <w:sz w:val="18"/>
          <w:szCs w:val="18"/>
          <w:b w:val="1"/>
          <w:bCs w:val="1"/>
          <w:u w:val="single" w:color="auto"/>
          <w:color w:val="auto"/>
        </w:rPr>
        <w:t xml:space="preserve"> K</w:t>
      </w:r>
      <w:r>
        <w:rPr>
          <w:rFonts w:ascii="Arial" w:cs="Arial" w:eastAsia="Arial" w:hAnsi="Arial"/>
          <w:sz w:val="14"/>
          <w:szCs w:val="14"/>
          <w:b w:val="1"/>
          <w:bCs w:val="1"/>
          <w:u w:val="single" w:color="auto"/>
          <w:color w:val="auto"/>
        </w:rPr>
        <w:t>ONG</w:t>
      </w:r>
      <w:r>
        <w:rPr>
          <w:rFonts w:ascii="Arial" w:cs="Arial" w:eastAsia="Arial" w:hAnsi="Arial"/>
          <w:sz w:val="18"/>
          <w:szCs w:val="18"/>
          <w:b w:val="1"/>
          <w:bCs w:val="1"/>
          <w:u w:val="single" w:color="auto"/>
          <w:color w:val="auto"/>
        </w:rPr>
        <w:t xml:space="preserve"> H</w:t>
      </w:r>
      <w:r>
        <w:rPr>
          <w:rFonts w:ascii="Arial" w:cs="Arial" w:eastAsia="Arial" w:hAnsi="Arial"/>
          <w:sz w:val="14"/>
          <w:szCs w:val="14"/>
          <w:b w:val="1"/>
          <w:bCs w:val="1"/>
          <w:u w:val="single" w:color="auto"/>
          <w:color w:val="auto"/>
        </w:rPr>
        <w:t>OLDINGS</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w:t>
      </w:r>
      <w:r>
        <w:rPr>
          <w:rFonts w:ascii="Arial" w:cs="Arial" w:eastAsia="Arial" w:hAnsi="Arial"/>
          <w:sz w:val="18"/>
          <w:szCs w:val="18"/>
          <w:b w:val="1"/>
          <w:bCs w:val="1"/>
          <w:u w:val="single" w:color="auto"/>
          <w:color w:val="auto"/>
        </w:rPr>
        <w:t xml:space="preserve"> P</w:t>
      </w:r>
      <w:r>
        <w:rPr>
          <w:rFonts w:ascii="Arial" w:cs="Arial" w:eastAsia="Arial" w:hAnsi="Arial"/>
          <w:sz w:val="14"/>
          <w:szCs w:val="14"/>
          <w:b w:val="1"/>
          <w:bCs w:val="1"/>
          <w:u w:val="single" w:color="auto"/>
          <w:color w:val="auto"/>
        </w:rPr>
        <w:t>RIVATE</w:t>
      </w:r>
      <w:r>
        <w:rPr>
          <w:rFonts w:ascii="Arial" w:cs="Arial" w:eastAsia="Arial" w:hAnsi="Arial"/>
          <w:sz w:val="18"/>
          <w:szCs w:val="18"/>
          <w:b w:val="1"/>
          <w:bCs w:val="1"/>
          <w:u w:val="single" w:color="auto"/>
          <w:color w:val="auto"/>
        </w:rPr>
        <w:t xml:space="preserve"> L</w:t>
      </w:r>
      <w:r>
        <w:rPr>
          <w:rFonts w:ascii="Arial" w:cs="Arial" w:eastAsia="Arial" w:hAnsi="Arial"/>
          <w:sz w:val="14"/>
          <w:szCs w:val="14"/>
          <w:b w:val="1"/>
          <w:bCs w:val="1"/>
          <w:u w:val="single" w:color="auto"/>
          <w:color w:val="auto"/>
        </w:rPr>
        <w:t>IMITED</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UBSIDIARIES</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Universal Electronics (Shenzhen) LLC (Republic of China) –</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UE S</w:t>
      </w:r>
      <w:r>
        <w:rPr>
          <w:rFonts w:ascii="Arial" w:cs="Arial" w:eastAsia="Arial" w:hAnsi="Arial"/>
          <w:sz w:val="14"/>
          <w:szCs w:val="14"/>
          <w:b w:val="1"/>
          <w:bCs w:val="1"/>
          <w:u w:val="single" w:color="auto"/>
          <w:color w:val="auto"/>
        </w:rPr>
        <w:t>INGAPORE</w:t>
      </w:r>
      <w:r>
        <w:rPr>
          <w:rFonts w:ascii="Arial" w:cs="Arial" w:eastAsia="Arial" w:hAnsi="Arial"/>
          <w:sz w:val="18"/>
          <w:szCs w:val="18"/>
          <w:b w:val="1"/>
          <w:bCs w:val="1"/>
          <w:u w:val="single" w:color="auto"/>
          <w:color w:val="auto"/>
        </w:rPr>
        <w:t xml:space="preserve"> P</w:t>
      </w:r>
      <w:r>
        <w:rPr>
          <w:rFonts w:ascii="Arial" w:cs="Arial" w:eastAsia="Arial" w:hAnsi="Arial"/>
          <w:sz w:val="14"/>
          <w:szCs w:val="14"/>
          <w:b w:val="1"/>
          <w:bCs w:val="1"/>
          <w:u w:val="single" w:color="auto"/>
          <w:color w:val="auto"/>
        </w:rPr>
        <w:t>RIVATE</w:t>
      </w:r>
      <w:r>
        <w:rPr>
          <w:rFonts w:ascii="Arial" w:cs="Arial" w:eastAsia="Arial" w:hAnsi="Arial"/>
          <w:sz w:val="18"/>
          <w:szCs w:val="18"/>
          <w:b w:val="1"/>
          <w:bCs w:val="1"/>
          <w:u w:val="single" w:color="auto"/>
          <w:color w:val="auto"/>
        </w:rPr>
        <w:t xml:space="preserve"> L</w:t>
      </w:r>
      <w:r>
        <w:rPr>
          <w:rFonts w:ascii="Arial" w:cs="Arial" w:eastAsia="Arial" w:hAnsi="Arial"/>
          <w:sz w:val="14"/>
          <w:szCs w:val="14"/>
          <w:b w:val="1"/>
          <w:bCs w:val="1"/>
          <w:u w:val="single" w:color="auto"/>
          <w:color w:val="auto"/>
        </w:rPr>
        <w:t>IMITED</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UBSIDIARIES</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UEI Electronics Private Limited (India) – [99% UE Singapore Private Limited Ltd.; 1% Universal Electronics Inc.]</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NSON</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SSETS</w:t>
      </w:r>
      <w:r>
        <w:rPr>
          <w:rFonts w:ascii="Arial" w:cs="Arial" w:eastAsia="Arial" w:hAnsi="Arial"/>
          <w:sz w:val="18"/>
          <w:szCs w:val="18"/>
          <w:b w:val="1"/>
          <w:bCs w:val="1"/>
          <w:u w:val="single" w:color="auto"/>
          <w:color w:val="auto"/>
        </w:rPr>
        <w:t xml:space="preserve"> L</w:t>
      </w:r>
      <w:r>
        <w:rPr>
          <w:rFonts w:ascii="Arial" w:cs="Arial" w:eastAsia="Arial" w:hAnsi="Arial"/>
          <w:sz w:val="14"/>
          <w:szCs w:val="14"/>
          <w:b w:val="1"/>
          <w:bCs w:val="1"/>
          <w:u w:val="single" w:color="auto"/>
          <w:color w:val="auto"/>
        </w:rPr>
        <w:t>IMITED</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UBSIDIARIES</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C. G. Development Limited (Hong Kong) Gemstar Polyfirst Limited (Hong Kong)</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C. G. D</w:t>
      </w:r>
      <w:r>
        <w:rPr>
          <w:rFonts w:ascii="Arial" w:cs="Arial" w:eastAsia="Arial" w:hAnsi="Arial"/>
          <w:sz w:val="14"/>
          <w:szCs w:val="14"/>
          <w:b w:val="1"/>
          <w:bCs w:val="1"/>
          <w:u w:val="single" w:color="auto"/>
          <w:color w:val="auto"/>
        </w:rPr>
        <w:t>EVELOPMENT</w:t>
      </w:r>
      <w:r>
        <w:rPr>
          <w:rFonts w:ascii="Arial" w:cs="Arial" w:eastAsia="Arial" w:hAnsi="Arial"/>
          <w:sz w:val="18"/>
          <w:szCs w:val="18"/>
          <w:b w:val="1"/>
          <w:bCs w:val="1"/>
          <w:u w:val="single" w:color="auto"/>
          <w:color w:val="auto"/>
        </w:rPr>
        <w:t xml:space="preserve"> L</w:t>
      </w:r>
      <w:r>
        <w:rPr>
          <w:rFonts w:ascii="Arial" w:cs="Arial" w:eastAsia="Arial" w:hAnsi="Arial"/>
          <w:sz w:val="14"/>
          <w:szCs w:val="14"/>
          <w:b w:val="1"/>
          <w:bCs w:val="1"/>
          <w:u w:val="single" w:color="auto"/>
          <w:color w:val="auto"/>
        </w:rPr>
        <w:t>IMITED</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UBSIDIARIES</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Gemstar Technology (China) Co., Limited (People’s Republic of China)</w:t>
      </w:r>
    </w:p>
    <w:p>
      <w:pPr>
        <w:spacing w:after="0" w:line="11" w:lineRule="exact"/>
        <w:rPr>
          <w:sz w:val="20"/>
          <w:szCs w:val="20"/>
          <w:color w:val="auto"/>
        </w:rPr>
      </w:pPr>
    </w:p>
    <w:p>
      <w:pPr>
        <w:ind w:left="4"/>
        <w:spacing w:after="0" w:line="249" w:lineRule="auto"/>
        <w:rPr>
          <w:sz w:val="20"/>
          <w:szCs w:val="20"/>
          <w:color w:val="auto"/>
        </w:rPr>
      </w:pPr>
      <w:r>
        <w:rPr>
          <w:rFonts w:ascii="Arial" w:cs="Arial" w:eastAsia="Arial" w:hAnsi="Arial"/>
          <w:sz w:val="18"/>
          <w:szCs w:val="18"/>
          <w:color w:val="auto"/>
        </w:rPr>
        <w:t>Gemstar Technology (Yangzhou) Co., Limited (People’s Republic of China) Genstar Technology (Qinzhou) Co., Limited (People’s Republic of China) UEI Cayman Inc. (Cayman Islands)</w:t>
      </w:r>
    </w:p>
    <w:p>
      <w:pPr>
        <w:spacing w:after="0" w:line="1" w:lineRule="exact"/>
        <w:rPr>
          <w:sz w:val="20"/>
          <w:szCs w:val="20"/>
          <w:color w:val="auto"/>
        </w:rPr>
      </w:pPr>
    </w:p>
    <w:p>
      <w:pPr>
        <w:ind w:left="4" w:right="3360"/>
        <w:spacing w:after="0" w:line="261" w:lineRule="auto"/>
        <w:rPr>
          <w:sz w:val="20"/>
          <w:szCs w:val="20"/>
          <w:color w:val="auto"/>
        </w:rPr>
      </w:pPr>
      <w:r>
        <w:rPr>
          <w:rFonts w:ascii="Arial" w:cs="Arial" w:eastAsia="Arial" w:hAnsi="Arial"/>
          <w:sz w:val="18"/>
          <w:szCs w:val="18"/>
          <w:color w:val="auto"/>
        </w:rPr>
        <w:t>Universal Electronics Trading Co., Ltd (located in Shenzhen) Universal Electronics (Yangzhou) Co., Limited Guangzhou Universal Electronics Service Co., Ltd. UE Korea LD</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C. G. G</w:t>
      </w:r>
      <w:r>
        <w:rPr>
          <w:rFonts w:ascii="Arial" w:cs="Arial" w:eastAsia="Arial" w:hAnsi="Arial"/>
          <w:sz w:val="14"/>
          <w:szCs w:val="14"/>
          <w:b w:val="1"/>
          <w:bCs w:val="1"/>
          <w:u w:val="single" w:color="auto"/>
          <w:color w:val="auto"/>
        </w:rPr>
        <w:t>ROUP</w:t>
      </w:r>
      <w:r>
        <w:rPr>
          <w:rFonts w:ascii="Arial" w:cs="Arial" w:eastAsia="Arial" w:hAnsi="Arial"/>
          <w:sz w:val="18"/>
          <w:szCs w:val="18"/>
          <w:b w:val="1"/>
          <w:bCs w:val="1"/>
          <w:u w:val="single" w:color="auto"/>
          <w:color w:val="auto"/>
        </w:rPr>
        <w:t xml:space="preserve"> L</w:t>
      </w:r>
      <w:r>
        <w:rPr>
          <w:rFonts w:ascii="Arial" w:cs="Arial" w:eastAsia="Arial" w:hAnsi="Arial"/>
          <w:sz w:val="14"/>
          <w:szCs w:val="14"/>
          <w:b w:val="1"/>
          <w:bCs w:val="1"/>
          <w:u w:val="single" w:color="auto"/>
          <w:color w:val="auto"/>
        </w:rPr>
        <w:t>IMITED</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UBSIDIARIES</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C. G. Timepiece Limited (Hong Kong)</w:t>
      </w:r>
    </w:p>
    <w:p>
      <w:pPr>
        <w:spacing w:after="0" w:line="11" w:lineRule="exact"/>
        <w:rPr>
          <w:sz w:val="20"/>
          <w:szCs w:val="20"/>
          <w:color w:val="auto"/>
        </w:rPr>
      </w:pPr>
    </w:p>
    <w:p>
      <w:pPr>
        <w:ind w:left="4"/>
        <w:spacing w:after="0"/>
        <w:rPr>
          <w:sz w:val="20"/>
          <w:szCs w:val="20"/>
          <w:color w:val="auto"/>
        </w:rPr>
      </w:pPr>
      <w:r>
        <w:rPr>
          <w:rFonts w:ascii="Arial" w:cs="Arial" w:eastAsia="Arial" w:hAnsi="Arial"/>
          <w:sz w:val="18"/>
          <w:szCs w:val="18"/>
          <w:color w:val="auto"/>
        </w:rPr>
        <w:t>CG Asia Limited (British Virgin Islands)</w:t>
      </w:r>
    </w:p>
    <w:p>
      <w:pPr>
        <w:spacing w:after="0" w:line="398" w:lineRule="exact"/>
        <w:rPr>
          <w:sz w:val="20"/>
          <w:szCs w:val="20"/>
          <w:color w:val="auto"/>
        </w:rPr>
      </w:pPr>
    </w:p>
    <w:p>
      <w:pPr>
        <w:ind w:left="4" w:right="5860" w:hanging="4"/>
        <w:spacing w:after="0" w:line="289" w:lineRule="auto"/>
        <w:tabs>
          <w:tab w:leader="none" w:pos="13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Subsidiary is 100% owned by its parent unless otherwise set forth herein </w:t>
      </w:r>
      <w:r>
        <w:rPr>
          <w:rFonts w:ascii="Arial" w:cs="Arial" w:eastAsia="Arial" w:hAnsi="Arial"/>
          <w:sz w:val="18"/>
          <w:szCs w:val="18"/>
          <w:color w:val="auto"/>
          <w:vertAlign w:val="superscript"/>
        </w:rPr>
        <w:t>RS</w:t>
      </w:r>
      <w:r>
        <w:rPr>
          <w:rFonts w:ascii="Arial" w:cs="Arial" w:eastAsia="Arial" w:hAnsi="Arial"/>
          <w:sz w:val="18"/>
          <w:szCs w:val="18"/>
          <w:color w:val="auto"/>
        </w:rPr>
        <w:t xml:space="preserve"> Restricted Subsidiary</w:t>
      </w:r>
    </w:p>
    <w:p>
      <w:pPr>
        <w:spacing w:after="0" w:line="366"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4"/>
          </w:cols>
          <w:pgMar w:left="356" w:top="436" w:right="319" w:bottom="1440" w:gutter="0" w:footer="0" w:header="0"/>
        </w:sectPr>
      </w:pPr>
    </w:p>
    <w:bookmarkStart w:id="211" w:name="page212"/>
    <w:bookmarkEnd w:id="211"/>
    <w:p>
      <w:pPr>
        <w:jc w:val="right"/>
        <w:ind w:right="1959"/>
        <w:spacing w:after="0"/>
        <w:rPr>
          <w:sz w:val="20"/>
          <w:szCs w:val="20"/>
          <w:color w:val="auto"/>
        </w:rPr>
      </w:pPr>
      <w:r>
        <w:rPr>
          <w:rFonts w:ascii="Arial" w:cs="Arial" w:eastAsia="Arial" w:hAnsi="Arial"/>
          <w:sz w:val="22"/>
          <w:szCs w:val="22"/>
          <w:b w:val="1"/>
          <w:bCs w:val="1"/>
          <w:u w:val="single" w:color="auto"/>
          <w:color w:val="auto"/>
        </w:rPr>
        <w:t>SCHEDULE 6.11</w:t>
      </w:r>
    </w:p>
    <w:p>
      <w:pPr>
        <w:spacing w:after="0" w:line="28" w:lineRule="exact"/>
        <w:rPr>
          <w:sz w:val="20"/>
          <w:szCs w:val="20"/>
          <w:color w:val="auto"/>
        </w:rPr>
      </w:pPr>
    </w:p>
    <w:p>
      <w:pPr>
        <w:ind w:left="6840"/>
        <w:spacing w:after="0"/>
        <w:rPr>
          <w:sz w:val="20"/>
          <w:szCs w:val="20"/>
          <w:color w:val="auto"/>
        </w:rPr>
      </w:pPr>
      <w:r>
        <w:rPr>
          <w:rFonts w:ascii="Arial" w:cs="Arial" w:eastAsia="Arial" w:hAnsi="Arial"/>
          <w:sz w:val="19"/>
          <w:szCs w:val="19"/>
          <w:b w:val="1"/>
          <w:bCs w:val="1"/>
          <w:color w:val="auto"/>
        </w:rPr>
        <w:t>Indebtedness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8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099"/>
          </w:cols>
          <w:pgMar w:left="360" w:top="436" w:right="1440" w:bottom="1440" w:gutter="0" w:footer="0" w:header="0"/>
        </w:sectPr>
      </w:pPr>
    </w:p>
    <w:bookmarkStart w:id="212" w:name="page213"/>
    <w:bookmarkEnd w:id="212"/>
    <w:p>
      <w:pPr>
        <w:jc w:val="right"/>
        <w:ind w:right="1959"/>
        <w:spacing w:after="0"/>
        <w:rPr>
          <w:sz w:val="20"/>
          <w:szCs w:val="20"/>
          <w:color w:val="auto"/>
        </w:rPr>
      </w:pPr>
      <w:r>
        <w:rPr>
          <w:rFonts w:ascii="Arial" w:cs="Arial" w:eastAsia="Arial" w:hAnsi="Arial"/>
          <w:sz w:val="22"/>
          <w:szCs w:val="22"/>
          <w:b w:val="1"/>
          <w:bCs w:val="1"/>
          <w:color w:val="auto"/>
        </w:rPr>
        <w:t>SCHEDULE 6.14</w:t>
      </w:r>
    </w:p>
    <w:p>
      <w:pPr>
        <w:spacing w:after="0" w:line="28" w:lineRule="exact"/>
        <w:rPr>
          <w:sz w:val="20"/>
          <w:szCs w:val="20"/>
          <w:color w:val="auto"/>
        </w:rPr>
      </w:pPr>
    </w:p>
    <w:p>
      <w:pPr>
        <w:ind w:left="5240"/>
        <w:spacing w:after="0"/>
        <w:rPr>
          <w:sz w:val="20"/>
          <w:szCs w:val="20"/>
          <w:color w:val="auto"/>
        </w:rPr>
      </w:pPr>
      <w:r>
        <w:rPr>
          <w:rFonts w:ascii="Arial" w:cs="Arial" w:eastAsia="Arial" w:hAnsi="Arial"/>
          <w:sz w:val="22"/>
          <w:szCs w:val="22"/>
          <w:b w:val="1"/>
          <w:bCs w:val="1"/>
          <w:color w:val="auto"/>
        </w:rPr>
        <w:t>Investments</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8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139"/>
          </w:cols>
          <w:pgMar w:left="320" w:top="436" w:right="1440" w:bottom="1440" w:gutter="0" w:footer="0" w:header="0"/>
        </w:sectPr>
      </w:pPr>
    </w:p>
    <w:bookmarkStart w:id="213" w:name="page214"/>
    <w:bookmarkEnd w:id="213"/>
    <w:p>
      <w:pPr>
        <w:jc w:val="right"/>
        <w:ind w:right="1959"/>
        <w:spacing w:after="0"/>
        <w:rPr>
          <w:sz w:val="20"/>
          <w:szCs w:val="20"/>
          <w:color w:val="auto"/>
        </w:rPr>
      </w:pPr>
      <w:r>
        <w:rPr>
          <w:rFonts w:ascii="Arial" w:cs="Arial" w:eastAsia="Arial" w:hAnsi="Arial"/>
          <w:sz w:val="22"/>
          <w:szCs w:val="22"/>
          <w:b w:val="1"/>
          <w:bCs w:val="1"/>
          <w:color w:val="auto"/>
        </w:rPr>
        <w:t>SCHEDULE 6.16</w:t>
      </w:r>
    </w:p>
    <w:p>
      <w:pPr>
        <w:spacing w:after="0" w:line="28" w:lineRule="exact"/>
        <w:rPr>
          <w:sz w:val="20"/>
          <w:szCs w:val="20"/>
          <w:color w:val="auto"/>
        </w:rPr>
      </w:pPr>
    </w:p>
    <w:p>
      <w:pPr>
        <w:ind w:left="7180"/>
        <w:spacing w:after="0"/>
        <w:rPr>
          <w:sz w:val="20"/>
          <w:szCs w:val="20"/>
          <w:color w:val="auto"/>
        </w:rPr>
      </w:pPr>
      <w:r>
        <w:rPr>
          <w:rFonts w:ascii="Arial" w:cs="Arial" w:eastAsia="Arial" w:hAnsi="Arial"/>
          <w:sz w:val="22"/>
          <w:szCs w:val="22"/>
          <w:b w:val="1"/>
          <w:bCs w:val="1"/>
          <w:color w:val="auto"/>
        </w:rPr>
        <w:t>Liens</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8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099"/>
          </w:cols>
          <w:pgMar w:left="360" w:top="436" w:right="1440" w:bottom="1440" w:gutter="0" w:footer="0" w:header="0"/>
        </w:sectPr>
      </w:pPr>
    </w:p>
    <w:bookmarkStart w:id="214" w:name="page215"/>
    <w:bookmarkEnd w:id="214"/>
    <w:p>
      <w:pPr>
        <w:ind w:left="2180"/>
        <w:spacing w:after="0"/>
        <w:rPr>
          <w:sz w:val="20"/>
          <w:szCs w:val="20"/>
          <w:color w:val="auto"/>
        </w:rPr>
      </w:pPr>
      <w:r>
        <w:rPr>
          <w:rFonts w:ascii="Arial" w:cs="Arial" w:eastAsia="Arial" w:hAnsi="Arial"/>
          <w:sz w:val="22"/>
          <w:szCs w:val="22"/>
          <w:b w:val="1"/>
          <w:bCs w:val="1"/>
          <w:color w:val="auto"/>
        </w:rPr>
        <w:t>EXHIBIT A FORM OF OPINION</w:t>
      </w:r>
    </w:p>
    <w:p>
      <w:pPr>
        <w:sectPr>
          <w:pgSz w:w="11900" w:h="16838" w:orient="portrait"/>
          <w:cols w:equalWidth="0" w:num="1">
            <w:col w:w="9019"/>
          </w:cols>
          <w:pgMar w:left="1440" w:top="436"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 A</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9019"/>
          </w:cols>
          <w:pgMar w:left="1440" w:top="436" w:right="1440" w:bottom="1440" w:gutter="0" w:footer="0" w:header="0"/>
          <w:type w:val="continuous"/>
        </w:sectPr>
      </w:pPr>
    </w:p>
    <w:bookmarkStart w:id="215" w:name="page216"/>
    <w:bookmarkEnd w:id="215"/>
    <w:p>
      <w:pPr>
        <w:jc w:val="center"/>
        <w:ind w:right="100"/>
        <w:spacing w:after="0"/>
        <w:rPr>
          <w:sz w:val="20"/>
          <w:szCs w:val="20"/>
          <w:color w:val="auto"/>
        </w:rPr>
      </w:pPr>
      <w:r>
        <w:rPr>
          <w:rFonts w:ascii="Arial" w:cs="Arial" w:eastAsia="Arial" w:hAnsi="Arial"/>
          <w:sz w:val="22"/>
          <w:szCs w:val="22"/>
          <w:b w:val="1"/>
          <w:bCs w:val="1"/>
          <w:u w:val="single" w:color="auto"/>
          <w:color w:val="auto"/>
        </w:rPr>
        <w:t>EXHIBIT B</w:t>
      </w:r>
    </w:p>
    <w:p>
      <w:pPr>
        <w:spacing w:after="0" w:line="314"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FORM OF COMPLIANCE CERTIFICATE</w:t>
      </w:r>
    </w:p>
    <w:p>
      <w:pPr>
        <w:spacing w:after="0" w:line="3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19"/>
          <w:szCs w:val="19"/>
          <w:color w:val="auto"/>
        </w:rPr>
        <w:t>The Lenders parties to the</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Credit Agreement Described Below</w:t>
      </w:r>
    </w:p>
    <w:p>
      <w:pPr>
        <w:spacing w:after="0" w:line="24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Compliance Certificate is furnished pursuant to that certain Second Amended and Restated Credit Agreement dated as of October , 2017 (as amended, modified, renewed or extended from time to time, the “Agreement”) among the Universal Electronics Inc. (the “Borrower”), the lenders party thereto and U.S. Bank National Association, as Administrative Agent for the Lenders and as LC Issuer. Unless otherwise defined herein, capitalized terms used in this Compliance Certificate have the meanings ascribed thereto in the Agreement.</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THE UNDERSIGNED HEREBY CERTIFIES THAT:</w:t>
      </w:r>
    </w:p>
    <w:p>
      <w:pPr>
        <w:spacing w:after="0" w:line="260" w:lineRule="exact"/>
        <w:rPr>
          <w:sz w:val="20"/>
          <w:szCs w:val="20"/>
          <w:color w:val="auto"/>
        </w:rPr>
      </w:pPr>
    </w:p>
    <w:p>
      <w:pPr>
        <w:ind w:left="980" w:hanging="336"/>
        <w:spacing w:after="0"/>
        <w:tabs>
          <w:tab w:leader="none" w:pos="98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I am the duly elected Chief Financial Officer of the Borrower;</w:t>
      </w:r>
    </w:p>
    <w:p>
      <w:pPr>
        <w:spacing w:after="0" w:line="273" w:lineRule="exact"/>
        <w:rPr>
          <w:rFonts w:ascii="Arial" w:cs="Arial" w:eastAsia="Arial" w:hAnsi="Arial"/>
          <w:sz w:val="22"/>
          <w:szCs w:val="22"/>
          <w:color w:val="auto"/>
        </w:rPr>
      </w:pPr>
    </w:p>
    <w:p>
      <w:pPr>
        <w:jc w:val="both"/>
        <w:ind w:firstLine="644"/>
        <w:spacing w:after="0" w:line="260" w:lineRule="auto"/>
        <w:tabs>
          <w:tab w:leader="none" w:pos="1071" w:val="left"/>
        </w:tabs>
        <w:numPr>
          <w:ilvl w:val="0"/>
          <w:numId w:val="138"/>
        </w:numPr>
        <w:rPr>
          <w:rFonts w:ascii="Arial" w:cs="Arial" w:eastAsia="Arial" w:hAnsi="Arial"/>
          <w:sz w:val="22"/>
          <w:szCs w:val="22"/>
          <w:color w:val="auto"/>
        </w:rPr>
      </w:pPr>
      <w:r>
        <w:rPr>
          <w:rFonts w:ascii="Arial" w:cs="Arial" w:eastAsia="Arial" w:hAnsi="Arial"/>
          <w:sz w:val="22"/>
          <w:szCs w:val="22"/>
          <w:color w:val="auto"/>
        </w:rPr>
        <w:t>I have reviewed the terms of the Agreement and I have made, or have caused to be made under my supervision, a detailed review of the transactions and conditions of the Borrower and its Subsidiaries during the accounting period covered by the attached financial statements;</w:t>
      </w:r>
    </w:p>
    <w:p>
      <w:pPr>
        <w:spacing w:after="0" w:line="217" w:lineRule="exact"/>
        <w:rPr>
          <w:rFonts w:ascii="Arial" w:cs="Arial" w:eastAsia="Arial" w:hAnsi="Arial"/>
          <w:sz w:val="22"/>
          <w:szCs w:val="22"/>
          <w:color w:val="auto"/>
        </w:rPr>
      </w:pPr>
    </w:p>
    <w:p>
      <w:pPr>
        <w:jc w:val="both"/>
        <w:ind w:firstLine="644"/>
        <w:spacing w:after="0" w:line="278" w:lineRule="auto"/>
        <w:tabs>
          <w:tab w:leader="none" w:pos="1139" w:val="left"/>
        </w:tabs>
        <w:numPr>
          <w:ilvl w:val="0"/>
          <w:numId w:val="138"/>
        </w:numPr>
        <w:rPr>
          <w:rFonts w:ascii="Arial" w:cs="Arial" w:eastAsia="Arial" w:hAnsi="Arial"/>
          <w:sz w:val="21"/>
          <w:szCs w:val="21"/>
          <w:color w:val="auto"/>
        </w:rPr>
      </w:pPr>
      <w:r>
        <w:rPr>
          <w:rFonts w:ascii="Arial" w:cs="Arial" w:eastAsia="Arial" w:hAnsi="Arial"/>
          <w:sz w:val="21"/>
          <w:szCs w:val="21"/>
          <w:color w:val="auto"/>
        </w:rPr>
        <w:t>The examinations described in paragraph 2 did not disclose, and I have no knowledge of, the existence of any condition or event which constitutes a Default or Event of Default during or at the end of the accounting period covered by the attached financial statements or as of the date of this Certificate, except as set forth below; and</w:t>
      </w:r>
    </w:p>
    <w:p>
      <w:pPr>
        <w:spacing w:after="0" w:line="200" w:lineRule="exact"/>
        <w:rPr>
          <w:rFonts w:ascii="Arial" w:cs="Arial" w:eastAsia="Arial" w:hAnsi="Arial"/>
          <w:sz w:val="21"/>
          <w:szCs w:val="21"/>
          <w:color w:val="auto"/>
        </w:rPr>
      </w:pPr>
    </w:p>
    <w:p>
      <w:pPr>
        <w:ind w:right="20" w:firstLine="644"/>
        <w:spacing w:after="0" w:line="301" w:lineRule="auto"/>
        <w:tabs>
          <w:tab w:leader="none" w:pos="1098" w:val="left"/>
        </w:tabs>
        <w:numPr>
          <w:ilvl w:val="0"/>
          <w:numId w:val="138"/>
        </w:numPr>
        <w:rPr>
          <w:rFonts w:ascii="Arial" w:cs="Arial" w:eastAsia="Arial" w:hAnsi="Arial"/>
          <w:sz w:val="21"/>
          <w:szCs w:val="21"/>
          <w:color w:val="auto"/>
        </w:rPr>
      </w:pPr>
      <w:r>
        <w:rPr>
          <w:rFonts w:ascii="Arial" w:cs="Arial" w:eastAsia="Arial" w:hAnsi="Arial"/>
          <w:sz w:val="21"/>
          <w:szCs w:val="21"/>
          <w:color w:val="auto"/>
        </w:rPr>
        <w:t>Schedule I attached hereto sets forth financial data and computations evidencing the Borrower’s compliance with certain covenants of the Agreement, all of which data and computations are true, complete and correct.</w:t>
      </w:r>
    </w:p>
    <w:p>
      <w:pPr>
        <w:spacing w:after="0" w:line="177" w:lineRule="exact"/>
        <w:rPr>
          <w:rFonts w:ascii="Arial" w:cs="Arial" w:eastAsia="Arial" w:hAnsi="Arial"/>
          <w:sz w:val="21"/>
          <w:szCs w:val="21"/>
          <w:color w:val="auto"/>
        </w:rPr>
      </w:pPr>
    </w:p>
    <w:p>
      <w:pPr>
        <w:jc w:val="both"/>
        <w:ind w:firstLine="644"/>
        <w:spacing w:after="0" w:line="260" w:lineRule="auto"/>
        <w:tabs>
          <w:tab w:leader="none" w:pos="1044" w:val="left"/>
        </w:tabs>
        <w:numPr>
          <w:ilvl w:val="0"/>
          <w:numId w:val="138"/>
        </w:numPr>
        <w:rPr>
          <w:rFonts w:ascii="Arial" w:cs="Arial" w:eastAsia="Arial" w:hAnsi="Arial"/>
          <w:sz w:val="22"/>
          <w:szCs w:val="22"/>
          <w:color w:val="auto"/>
        </w:rPr>
      </w:pPr>
      <w:r>
        <w:rPr>
          <w:rFonts w:ascii="Arial" w:cs="Arial" w:eastAsia="Arial" w:hAnsi="Arial"/>
          <w:sz w:val="22"/>
          <w:szCs w:val="22"/>
          <w:color w:val="auto"/>
        </w:rPr>
        <w:t>Schedule II attached hereto sets forth the determination of the interest rates to be paid for Advances and the LC Fee rates commencing on the first day of the first fiscal month immediately following the date on which delivery hereof is required pursuant to Section 6.1(e) of the Agreement.</w:t>
      </w:r>
    </w:p>
    <w:p>
      <w:pPr>
        <w:spacing w:after="0" w:line="217" w:lineRule="exact"/>
        <w:rPr>
          <w:rFonts w:ascii="Arial" w:cs="Arial" w:eastAsia="Arial" w:hAnsi="Arial"/>
          <w:sz w:val="22"/>
          <w:szCs w:val="22"/>
          <w:color w:val="auto"/>
        </w:rPr>
      </w:pPr>
    </w:p>
    <w:p>
      <w:pPr>
        <w:ind w:firstLine="644"/>
        <w:spacing w:after="0" w:line="301" w:lineRule="auto"/>
        <w:tabs>
          <w:tab w:leader="none" w:pos="1085" w:val="left"/>
        </w:tabs>
        <w:numPr>
          <w:ilvl w:val="0"/>
          <w:numId w:val="138"/>
        </w:numPr>
        <w:rPr>
          <w:rFonts w:ascii="Arial" w:cs="Arial" w:eastAsia="Arial" w:hAnsi="Arial"/>
          <w:sz w:val="21"/>
          <w:szCs w:val="21"/>
          <w:color w:val="auto"/>
        </w:rPr>
      </w:pPr>
      <w:r>
        <w:rPr>
          <w:rFonts w:ascii="Arial" w:cs="Arial" w:eastAsia="Arial" w:hAnsi="Arial"/>
          <w:sz w:val="21"/>
          <w:szCs w:val="21"/>
          <w:color w:val="auto"/>
        </w:rPr>
        <w:t>Schedule III attached hereto sets forth the various reports and deliveries which are required at this time under the Credit Agreement, the Collateral Documents and the other Loan Documents and the status of compliance.</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Described below are the exceptions, if any, to paragraph 3 by listing, in detail, the nature of the condition or event, the period during which it has existed and the action which the Borrower has taken, is taking, or proposes to take with respect to each such condition or event:</w:t>
      </w:r>
    </w:p>
    <w:p>
      <w:pPr>
        <w:spacing w:after="0" w:line="1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EXH. B-1</w:t>
      </w:r>
    </w:p>
    <w:p>
      <w:pPr>
        <w:sectPr>
          <w:pgSz w:w="11900" w:h="16838" w:orient="portrait"/>
          <w:cols w:equalWidth="0" w:num="1">
            <w:col w:w="11300"/>
          </w:cols>
          <w:pgMar w:left="360" w:top="436" w:right="239" w:bottom="1440" w:gutter="0" w:footer="0" w:header="0"/>
        </w:sectPr>
      </w:pPr>
    </w:p>
    <w:bookmarkStart w:id="216" w:name="page217"/>
    <w:bookmarkEnd w:id="216"/>
    <w:p>
      <w:pPr>
        <w:ind w:left="68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-17780</wp:posOffset>
            </wp:positionV>
            <wp:extent cx="2171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8">
                      <a:extLst>
                        <a:ext uri="{28A0092B-C50C-407E-A947-70E740481C1C}"/>
                      </a:extLst>
                    </a:blip>
                    <a:srcRect/>
                    <a:stretch>
                      <a:fillRect/>
                    </a:stretch>
                  </pic:blipFill>
                  <pic:spPr bwMode="auto">
                    <a:xfrm>
                      <a:off x="0" y="0"/>
                      <a:ext cx="217170" cy="8890"/>
                    </a:xfrm>
                    <a:prstGeom prst="rect">
                      <a:avLst/>
                    </a:prstGeom>
                    <a:noFill/>
                  </pic:spPr>
                </pic:pic>
              </a:graphicData>
            </a:graphic>
          </wp:anchor>
        </w:drawing>
        <w:drawing>
          <wp:anchor simplePos="0" relativeHeight="251657728" behindDoc="1" locked="0" layoutInCell="0" allowOverlap="1">
            <wp:simplePos x="0" y="0"/>
            <wp:positionH relativeFrom="column">
              <wp:posOffset>5837555</wp:posOffset>
            </wp:positionH>
            <wp:positionV relativeFrom="paragraph">
              <wp:posOffset>367665</wp:posOffset>
            </wp:positionV>
            <wp:extent cx="137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434340</wp:posOffset>
            </wp:positionH>
            <wp:positionV relativeFrom="paragraph">
              <wp:posOffset>693420</wp:posOffset>
            </wp:positionV>
            <wp:extent cx="137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434340</wp:posOffset>
            </wp:positionH>
            <wp:positionV relativeFrom="paragraph">
              <wp:posOffset>967740</wp:posOffset>
            </wp:positionV>
            <wp:extent cx="137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The foregoing certifications, together with the computations set forth in Schedule I and Schedule II hereto and the financial statements delivered with this Certificate in support hereof, are made and delivered this [ ] day of [ ],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5423535</wp:posOffset>
            </wp:positionH>
            <wp:positionV relativeFrom="paragraph">
              <wp:posOffset>-60960</wp:posOffset>
            </wp:positionV>
            <wp:extent cx="1371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Name:</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EXH. B-2</w:t>
      </w:r>
    </w:p>
    <w:p>
      <w:pPr>
        <w:sectPr>
          <w:pgSz w:w="11900" w:h="16838" w:orient="portrait"/>
          <w:cols w:equalWidth="0" w:num="1">
            <w:col w:w="11340"/>
          </w:cols>
          <w:pgMar w:left="320" w:top="375" w:right="239" w:bottom="1440" w:gutter="0" w:footer="0" w:header="0"/>
        </w:sectPr>
      </w:pPr>
    </w:p>
    <w:bookmarkStart w:id="217" w:name="page218"/>
    <w:bookmarkEnd w:id="217"/>
    <w:p>
      <w:pPr>
        <w:ind w:left="3240"/>
        <w:spacing w:after="0"/>
        <w:rPr>
          <w:sz w:val="20"/>
          <w:szCs w:val="20"/>
          <w:color w:val="auto"/>
        </w:rPr>
      </w:pPr>
      <w:r>
        <w:rPr>
          <w:rFonts w:ascii="Arial" w:cs="Arial" w:eastAsia="Arial" w:hAnsi="Arial"/>
          <w:sz w:val="22"/>
          <w:szCs w:val="22"/>
          <w:b w:val="1"/>
          <w:bCs w:val="1"/>
          <w:u w:val="single" w:color="auto"/>
          <w:color w:val="auto"/>
        </w:rPr>
        <w:t>SCHEDULE I TO COMPLIANCE CERTIFICATE</w:t>
      </w:r>
    </w:p>
    <w:p>
      <w:pPr>
        <w:spacing w:after="0" w:line="239" w:lineRule="exact"/>
        <w:rPr>
          <w:sz w:val="20"/>
          <w:szCs w:val="20"/>
          <w:color w:val="auto"/>
        </w:rPr>
      </w:pPr>
    </w:p>
    <w:p>
      <w:pPr>
        <w:ind w:left="5000" w:right="119" w:hanging="1238"/>
        <w:spacing w:after="0" w:line="263" w:lineRule="auto"/>
        <w:rPr>
          <w:sz w:val="20"/>
          <w:szCs w:val="20"/>
          <w:color w:val="auto"/>
        </w:rPr>
      </w:pPr>
      <w:r>
        <w:rPr>
          <w:rFonts w:ascii="Arial" w:cs="Arial" w:eastAsia="Arial" w:hAnsi="Arial"/>
          <w:sz w:val="22"/>
          <w:szCs w:val="22"/>
          <w:color w:val="auto"/>
        </w:rPr>
        <w:t>Compliance as of [</w:t>
      </w:r>
      <w:r>
        <w:rPr>
          <w:sz w:val="20"/>
          <w:szCs w:val="20"/>
          <w:color w:val="auto"/>
        </w:rPr>
        <w:t xml:space="preserve"> </w:t>
      </w:r>
      <w:r>
        <w:rPr>
          <w:rFonts w:ascii="Arial" w:cs="Arial" w:eastAsia="Arial" w:hAnsi="Arial"/>
          <w:sz w:val="22"/>
          <w:szCs w:val="22"/>
          <w:color w:val="auto"/>
        </w:rPr>
        <w:t>], 20[ ] with Provisions of Section 6.21 and 6.27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-208915</wp:posOffset>
            </wp:positionV>
            <wp:extent cx="1371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240" w:type="dxa"/>
            <w:vAlign w:val="bottom"/>
            <w:tcBorders>
              <w:top w:val="single" w:sz="8" w:color="auto"/>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Covenant</w:t>
            </w:r>
          </w:p>
        </w:tc>
        <w:tc>
          <w:tcPr>
            <w:tcW w:w="248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rPr>
              <w:t>Actual</w:t>
            </w:r>
          </w:p>
        </w:tc>
        <w:tc>
          <w:tcPr>
            <w:tcW w:w="3220" w:type="dxa"/>
            <w:vAlign w:val="bottom"/>
            <w:tcBorders>
              <w:top w:val="single" w:sz="8" w:color="auto"/>
              <w:right w:val="single" w:sz="8" w:color="auto"/>
            </w:tcBorders>
          </w:tcPr>
          <w:p>
            <w:pPr>
              <w:ind w:left="1240"/>
              <w:spacing w:after="0"/>
              <w:rPr>
                <w:sz w:val="20"/>
                <w:szCs w:val="20"/>
                <w:color w:val="auto"/>
              </w:rPr>
            </w:pPr>
            <w:r>
              <w:rPr>
                <w:rFonts w:ascii="Arial" w:cs="Arial" w:eastAsia="Arial" w:hAnsi="Arial"/>
                <w:sz w:val="18"/>
                <w:szCs w:val="18"/>
                <w:b w:val="1"/>
                <w:bCs w:val="1"/>
                <w:color w:val="auto"/>
              </w:rPr>
              <w:t>Required</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Compliance</w:t>
            </w:r>
          </w:p>
        </w:tc>
      </w:tr>
      <w:tr>
        <w:trPr>
          <w:trHeight w:val="291"/>
        </w:trPr>
        <w:tc>
          <w:tcPr>
            <w:tcW w:w="1240" w:type="dxa"/>
            <w:vAlign w:val="bottom"/>
            <w:tcBorders>
              <w:left w:val="single" w:sz="8" w:color="auto"/>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322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(Yes/No)</w:t>
            </w:r>
          </w:p>
        </w:tc>
      </w:tr>
      <w:tr>
        <w:trPr>
          <w:trHeight w:val="240"/>
        </w:trPr>
        <w:tc>
          <w:tcPr>
            <w:tcW w:w="1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Borrower</w:t>
            </w:r>
          </w:p>
        </w:tc>
        <w:tc>
          <w:tcPr>
            <w:tcW w:w="24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[&gt;70%] of the</w:t>
            </w:r>
          </w:p>
        </w:tc>
        <w:tc>
          <w:tcPr>
            <w:tcW w:w="32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The Borrower and Restricted</w:t>
            </w:r>
          </w:p>
        </w:tc>
        <w:tc>
          <w:tcPr>
            <w:tcW w:w="1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YES/NO</w:t>
            </w:r>
          </w:p>
        </w:tc>
      </w:tr>
      <w:tr>
        <w:trPr>
          <w:trHeight w:val="230"/>
        </w:trPr>
        <w:tc>
          <w:tcPr>
            <w:tcW w:w="1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and</w:t>
            </w:r>
          </w:p>
        </w:tc>
        <w:tc>
          <w:tcPr>
            <w:tcW w:w="24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aggregate amount of the</w:t>
            </w:r>
          </w:p>
        </w:tc>
        <w:tc>
          <w:tcPr>
            <w:tcW w:w="32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6"/>
              </w:rPr>
              <w:t>Subsidiaries must at least constitute</w:t>
            </w:r>
          </w:p>
        </w:tc>
        <w:tc>
          <w:tcPr>
            <w:tcW w:w="1580" w:type="dxa"/>
            <w:vAlign w:val="bottom"/>
            <w:tcBorders>
              <w:right w:val="single" w:sz="8" w:color="auto"/>
            </w:tcBorders>
          </w:tcPr>
          <w:p>
            <w:pPr>
              <w:spacing w:after="0"/>
              <w:rPr>
                <w:sz w:val="19"/>
                <w:szCs w:val="19"/>
                <w:color w:val="auto"/>
              </w:rPr>
            </w:pPr>
          </w:p>
        </w:tc>
      </w:tr>
      <w:tr>
        <w:trPr>
          <w:trHeight w:val="230"/>
        </w:trPr>
        <w:tc>
          <w:tcPr>
            <w:tcW w:w="1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Restricted</w:t>
            </w:r>
          </w:p>
        </w:tc>
        <w:tc>
          <w:tcPr>
            <w:tcW w:w="24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consolidated assets of the</w:t>
            </w:r>
          </w:p>
        </w:tc>
        <w:tc>
          <w:tcPr>
            <w:tcW w:w="32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2"/>
              </w:rPr>
              <w:t>both (i) 70% of the aggregate amount</w:t>
            </w:r>
          </w:p>
        </w:tc>
        <w:tc>
          <w:tcPr>
            <w:tcW w:w="1580" w:type="dxa"/>
            <w:vAlign w:val="bottom"/>
            <w:tcBorders>
              <w:right w:val="single" w:sz="8" w:color="auto"/>
            </w:tcBorders>
          </w:tcPr>
          <w:p>
            <w:pPr>
              <w:spacing w:after="0"/>
              <w:rPr>
                <w:sz w:val="19"/>
                <w:szCs w:val="19"/>
                <w:color w:val="auto"/>
              </w:rPr>
            </w:pPr>
          </w:p>
        </w:tc>
      </w:tr>
      <w:tr>
        <w:trPr>
          <w:trHeight w:val="230"/>
        </w:trPr>
        <w:tc>
          <w:tcPr>
            <w:tcW w:w="1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w w:val="97"/>
              </w:rPr>
              <w:t>Subsidiaries</w:t>
            </w:r>
          </w:p>
        </w:tc>
        <w:tc>
          <w:tcPr>
            <w:tcW w:w="24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2"/>
              </w:rPr>
              <w:t>Borrower and the Borrower's</w:t>
            </w:r>
          </w:p>
        </w:tc>
        <w:tc>
          <w:tcPr>
            <w:tcW w:w="32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of the consolidated assets of the</w:t>
            </w:r>
          </w:p>
        </w:tc>
        <w:tc>
          <w:tcPr>
            <w:tcW w:w="1580" w:type="dxa"/>
            <w:vAlign w:val="bottom"/>
            <w:tcBorders>
              <w:right w:val="single" w:sz="8" w:color="auto"/>
            </w:tcBorders>
          </w:tcPr>
          <w:p>
            <w:pPr>
              <w:spacing w:after="0"/>
              <w:rPr>
                <w:sz w:val="19"/>
                <w:szCs w:val="19"/>
                <w:color w:val="auto"/>
              </w:rPr>
            </w:pPr>
          </w:p>
        </w:tc>
      </w:tr>
      <w:tr>
        <w:trPr>
          <w:trHeight w:val="230"/>
        </w:trPr>
        <w:tc>
          <w:tcPr>
            <w:tcW w:w="1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w w:val="99"/>
              </w:rPr>
              <w:t>(pursuant to</w:t>
            </w:r>
          </w:p>
        </w:tc>
        <w:tc>
          <w:tcPr>
            <w:tcW w:w="24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8"/>
              </w:rPr>
              <w:t>Subsidiaries and [&gt;70%] of</w:t>
            </w:r>
          </w:p>
        </w:tc>
        <w:tc>
          <w:tcPr>
            <w:tcW w:w="32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Borrower and the Borrower's</w:t>
            </w:r>
          </w:p>
        </w:tc>
        <w:tc>
          <w:tcPr>
            <w:tcW w:w="1580" w:type="dxa"/>
            <w:vAlign w:val="bottom"/>
            <w:tcBorders>
              <w:right w:val="single" w:sz="8" w:color="auto"/>
            </w:tcBorders>
          </w:tcPr>
          <w:p>
            <w:pPr>
              <w:spacing w:after="0"/>
              <w:rPr>
                <w:sz w:val="19"/>
                <w:szCs w:val="19"/>
                <w:color w:val="auto"/>
              </w:rPr>
            </w:pPr>
          </w:p>
        </w:tc>
      </w:tr>
      <w:tr>
        <w:trPr>
          <w:trHeight w:val="230"/>
        </w:trPr>
        <w:tc>
          <w:tcPr>
            <w:tcW w:w="1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Section</w:t>
            </w:r>
          </w:p>
        </w:tc>
        <w:tc>
          <w:tcPr>
            <w:tcW w:w="24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6"/>
              </w:rPr>
              <w:t>the aggregate Consolidated</w:t>
            </w:r>
          </w:p>
        </w:tc>
        <w:tc>
          <w:tcPr>
            <w:tcW w:w="32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Subsidiaries and (ii) 70% of the</w:t>
            </w:r>
          </w:p>
        </w:tc>
        <w:tc>
          <w:tcPr>
            <w:tcW w:w="1580" w:type="dxa"/>
            <w:vAlign w:val="bottom"/>
            <w:tcBorders>
              <w:right w:val="single" w:sz="8" w:color="auto"/>
            </w:tcBorders>
          </w:tcPr>
          <w:p>
            <w:pPr>
              <w:spacing w:after="0"/>
              <w:rPr>
                <w:sz w:val="19"/>
                <w:szCs w:val="19"/>
                <w:color w:val="auto"/>
              </w:rPr>
            </w:pPr>
          </w:p>
        </w:tc>
      </w:tr>
      <w:tr>
        <w:trPr>
          <w:trHeight w:val="230"/>
        </w:trPr>
        <w:tc>
          <w:tcPr>
            <w:tcW w:w="1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6.27)</w:t>
            </w:r>
          </w:p>
        </w:tc>
        <w:tc>
          <w:tcPr>
            <w:tcW w:w="24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EBITDA of the Borrower</w:t>
            </w:r>
          </w:p>
        </w:tc>
        <w:tc>
          <w:tcPr>
            <w:tcW w:w="32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8"/>
              </w:rPr>
              <w:t>aggregate Consolidated EBITDA of</w:t>
            </w:r>
          </w:p>
        </w:tc>
        <w:tc>
          <w:tcPr>
            <w:tcW w:w="1580" w:type="dxa"/>
            <w:vAlign w:val="bottom"/>
            <w:tcBorders>
              <w:right w:val="single" w:sz="8" w:color="auto"/>
            </w:tcBorders>
          </w:tcPr>
          <w:p>
            <w:pPr>
              <w:spacing w:after="0"/>
              <w:rPr>
                <w:sz w:val="19"/>
                <w:szCs w:val="19"/>
                <w:color w:val="auto"/>
              </w:rPr>
            </w:pPr>
          </w:p>
        </w:tc>
      </w:tr>
      <w:tr>
        <w:trPr>
          <w:trHeight w:val="230"/>
        </w:trPr>
        <w:tc>
          <w:tcPr>
            <w:tcW w:w="1240" w:type="dxa"/>
            <w:vAlign w:val="bottom"/>
            <w:tcBorders>
              <w:left w:val="single" w:sz="8" w:color="auto"/>
              <w:right w:val="single" w:sz="8" w:color="auto"/>
            </w:tcBorders>
          </w:tcPr>
          <w:p>
            <w:pPr>
              <w:spacing w:after="0"/>
              <w:rPr>
                <w:sz w:val="19"/>
                <w:szCs w:val="19"/>
                <w:color w:val="auto"/>
              </w:rPr>
            </w:pPr>
          </w:p>
        </w:tc>
        <w:tc>
          <w:tcPr>
            <w:tcW w:w="24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and the Borrower's</w:t>
            </w:r>
          </w:p>
        </w:tc>
        <w:tc>
          <w:tcPr>
            <w:tcW w:w="32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the Borrower and the Borrower's</w:t>
            </w:r>
          </w:p>
        </w:tc>
        <w:tc>
          <w:tcPr>
            <w:tcW w:w="1580" w:type="dxa"/>
            <w:vAlign w:val="bottom"/>
            <w:tcBorders>
              <w:right w:val="single" w:sz="8" w:color="auto"/>
            </w:tcBorders>
          </w:tcPr>
          <w:p>
            <w:pPr>
              <w:spacing w:after="0"/>
              <w:rPr>
                <w:sz w:val="19"/>
                <w:szCs w:val="19"/>
                <w:color w:val="auto"/>
              </w:rPr>
            </w:pPr>
          </w:p>
        </w:tc>
      </w:tr>
      <w:tr>
        <w:trPr>
          <w:trHeight w:val="250"/>
        </w:trPr>
        <w:tc>
          <w:tcPr>
            <w:tcW w:w="1240" w:type="dxa"/>
            <w:vAlign w:val="bottom"/>
            <w:tcBorders>
              <w:left w:val="single" w:sz="8" w:color="auto"/>
              <w:right w:val="single" w:sz="8" w:color="auto"/>
            </w:tcBorders>
          </w:tcPr>
          <w:p>
            <w:pPr>
              <w:spacing w:after="0"/>
              <w:rPr>
                <w:sz w:val="21"/>
                <w:szCs w:val="21"/>
                <w:color w:val="auto"/>
              </w:rPr>
            </w:pPr>
          </w:p>
        </w:tc>
        <w:tc>
          <w:tcPr>
            <w:tcW w:w="24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Subsidiaries</w:t>
            </w:r>
          </w:p>
        </w:tc>
        <w:tc>
          <w:tcPr>
            <w:tcW w:w="32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Subsidiaries</w:t>
            </w:r>
          </w:p>
        </w:tc>
        <w:tc>
          <w:tcPr>
            <w:tcW w:w="1580" w:type="dxa"/>
            <w:vAlign w:val="bottom"/>
            <w:tcBorders>
              <w:right w:val="single" w:sz="8" w:color="auto"/>
            </w:tcBorders>
          </w:tcPr>
          <w:p>
            <w:pPr>
              <w:spacing w:after="0"/>
              <w:rPr>
                <w:sz w:val="21"/>
                <w:szCs w:val="21"/>
                <w:color w:val="auto"/>
              </w:rPr>
            </w:pPr>
          </w:p>
        </w:tc>
      </w:tr>
      <w:tr>
        <w:trPr>
          <w:trHeight w:val="23"/>
        </w:trPr>
        <w:tc>
          <w:tcPr>
            <w:tcW w:w="12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3"/>
        </w:trPr>
        <w:tc>
          <w:tcPr>
            <w:tcW w:w="1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w w:val="90"/>
              </w:rPr>
              <w:t>Consolidated</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[___] to 1.0</w:t>
            </w:r>
          </w:p>
        </w:tc>
        <w:tc>
          <w:tcPr>
            <w:tcW w:w="3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Not more than 2.5 to 1.0</w:t>
            </w:r>
          </w:p>
        </w:tc>
        <w:tc>
          <w:tcPr>
            <w:tcW w:w="1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YES/NO</w:t>
            </w:r>
          </w:p>
        </w:tc>
      </w:tr>
      <w:tr>
        <w:trPr>
          <w:trHeight w:val="230"/>
        </w:trPr>
        <w:tc>
          <w:tcPr>
            <w:tcW w:w="1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Cash</w:t>
            </w:r>
          </w:p>
        </w:tc>
        <w:tc>
          <w:tcPr>
            <w:tcW w:w="2480" w:type="dxa"/>
            <w:vAlign w:val="bottom"/>
            <w:tcBorders>
              <w:right w:val="single" w:sz="8" w:color="auto"/>
            </w:tcBorders>
          </w:tcPr>
          <w:p>
            <w:pPr>
              <w:spacing w:after="0"/>
              <w:rPr>
                <w:sz w:val="19"/>
                <w:szCs w:val="19"/>
                <w:color w:val="auto"/>
              </w:rPr>
            </w:pPr>
          </w:p>
        </w:tc>
        <w:tc>
          <w:tcPr>
            <w:tcW w:w="322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r>
      <w:tr>
        <w:trPr>
          <w:trHeight w:val="230"/>
        </w:trPr>
        <w:tc>
          <w:tcPr>
            <w:tcW w:w="1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Flow</w:t>
            </w:r>
          </w:p>
        </w:tc>
        <w:tc>
          <w:tcPr>
            <w:tcW w:w="2480" w:type="dxa"/>
            <w:vAlign w:val="bottom"/>
            <w:tcBorders>
              <w:right w:val="single" w:sz="8" w:color="auto"/>
            </w:tcBorders>
          </w:tcPr>
          <w:p>
            <w:pPr>
              <w:spacing w:after="0"/>
              <w:rPr>
                <w:sz w:val="19"/>
                <w:szCs w:val="19"/>
                <w:color w:val="auto"/>
              </w:rPr>
            </w:pPr>
          </w:p>
        </w:tc>
        <w:tc>
          <w:tcPr>
            <w:tcW w:w="322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r>
      <w:tr>
        <w:trPr>
          <w:trHeight w:val="230"/>
        </w:trPr>
        <w:tc>
          <w:tcPr>
            <w:tcW w:w="1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Leverage</w:t>
            </w:r>
          </w:p>
        </w:tc>
        <w:tc>
          <w:tcPr>
            <w:tcW w:w="2480" w:type="dxa"/>
            <w:vAlign w:val="bottom"/>
            <w:tcBorders>
              <w:right w:val="single" w:sz="8" w:color="auto"/>
            </w:tcBorders>
          </w:tcPr>
          <w:p>
            <w:pPr>
              <w:spacing w:after="0"/>
              <w:rPr>
                <w:sz w:val="19"/>
                <w:szCs w:val="19"/>
                <w:color w:val="auto"/>
              </w:rPr>
            </w:pPr>
          </w:p>
        </w:tc>
        <w:tc>
          <w:tcPr>
            <w:tcW w:w="322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r>
      <w:tr>
        <w:trPr>
          <w:trHeight w:val="230"/>
        </w:trPr>
        <w:tc>
          <w:tcPr>
            <w:tcW w:w="1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Ratio</w:t>
            </w:r>
          </w:p>
        </w:tc>
        <w:tc>
          <w:tcPr>
            <w:tcW w:w="2480" w:type="dxa"/>
            <w:vAlign w:val="bottom"/>
            <w:tcBorders>
              <w:right w:val="single" w:sz="8" w:color="auto"/>
            </w:tcBorders>
          </w:tcPr>
          <w:p>
            <w:pPr>
              <w:spacing w:after="0"/>
              <w:rPr>
                <w:sz w:val="19"/>
                <w:szCs w:val="19"/>
                <w:color w:val="auto"/>
              </w:rPr>
            </w:pPr>
          </w:p>
        </w:tc>
        <w:tc>
          <w:tcPr>
            <w:tcW w:w="322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r>
      <w:tr>
        <w:trPr>
          <w:trHeight w:val="230"/>
        </w:trPr>
        <w:tc>
          <w:tcPr>
            <w:tcW w:w="1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w w:val="99"/>
              </w:rPr>
              <w:t>(pursuant to</w:t>
            </w:r>
          </w:p>
        </w:tc>
        <w:tc>
          <w:tcPr>
            <w:tcW w:w="2480" w:type="dxa"/>
            <w:vAlign w:val="bottom"/>
            <w:tcBorders>
              <w:right w:val="single" w:sz="8" w:color="auto"/>
            </w:tcBorders>
          </w:tcPr>
          <w:p>
            <w:pPr>
              <w:spacing w:after="0"/>
              <w:rPr>
                <w:sz w:val="19"/>
                <w:szCs w:val="19"/>
                <w:color w:val="auto"/>
              </w:rPr>
            </w:pPr>
          </w:p>
        </w:tc>
        <w:tc>
          <w:tcPr>
            <w:tcW w:w="322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r>
      <w:tr>
        <w:trPr>
          <w:trHeight w:val="230"/>
        </w:trPr>
        <w:tc>
          <w:tcPr>
            <w:tcW w:w="1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Section</w:t>
            </w:r>
          </w:p>
        </w:tc>
        <w:tc>
          <w:tcPr>
            <w:tcW w:w="2480" w:type="dxa"/>
            <w:vAlign w:val="bottom"/>
            <w:tcBorders>
              <w:right w:val="single" w:sz="8" w:color="auto"/>
            </w:tcBorders>
          </w:tcPr>
          <w:p>
            <w:pPr>
              <w:spacing w:after="0"/>
              <w:rPr>
                <w:sz w:val="19"/>
                <w:szCs w:val="19"/>
                <w:color w:val="auto"/>
              </w:rPr>
            </w:pPr>
          </w:p>
        </w:tc>
        <w:tc>
          <w:tcPr>
            <w:tcW w:w="322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r>
      <w:tr>
        <w:trPr>
          <w:trHeight w:val="250"/>
        </w:trPr>
        <w:tc>
          <w:tcPr>
            <w:tcW w:w="1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6.21(b))</w:t>
            </w:r>
          </w:p>
        </w:tc>
        <w:tc>
          <w:tcPr>
            <w:tcW w:w="2480" w:type="dxa"/>
            <w:vAlign w:val="bottom"/>
            <w:tcBorders>
              <w:right w:val="single" w:sz="8" w:color="auto"/>
            </w:tcBorders>
          </w:tcPr>
          <w:p>
            <w:pPr>
              <w:spacing w:after="0"/>
              <w:rPr>
                <w:sz w:val="21"/>
                <w:szCs w:val="21"/>
                <w:color w:val="auto"/>
              </w:rPr>
            </w:pPr>
          </w:p>
        </w:tc>
        <w:tc>
          <w:tcPr>
            <w:tcW w:w="322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r>
      <w:tr>
        <w:trPr>
          <w:trHeight w:val="23"/>
        </w:trPr>
        <w:tc>
          <w:tcPr>
            <w:tcW w:w="12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3"/>
        </w:trPr>
        <w:tc>
          <w:tcPr>
            <w:tcW w:w="1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w w:val="90"/>
              </w:rPr>
              <w:t>Consolidated</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[___] to 1.0</w:t>
            </w:r>
          </w:p>
        </w:tc>
        <w:tc>
          <w:tcPr>
            <w:tcW w:w="3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Not less than 2.0 to 1.0</w:t>
            </w:r>
          </w:p>
        </w:tc>
        <w:tc>
          <w:tcPr>
            <w:tcW w:w="1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YES/NO</w:t>
            </w:r>
          </w:p>
        </w:tc>
      </w:tr>
      <w:tr>
        <w:trPr>
          <w:trHeight w:val="230"/>
        </w:trPr>
        <w:tc>
          <w:tcPr>
            <w:tcW w:w="1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Fixed</w:t>
            </w:r>
          </w:p>
        </w:tc>
        <w:tc>
          <w:tcPr>
            <w:tcW w:w="2480" w:type="dxa"/>
            <w:vAlign w:val="bottom"/>
            <w:tcBorders>
              <w:right w:val="single" w:sz="8" w:color="auto"/>
            </w:tcBorders>
          </w:tcPr>
          <w:p>
            <w:pPr>
              <w:spacing w:after="0"/>
              <w:rPr>
                <w:sz w:val="19"/>
                <w:szCs w:val="19"/>
                <w:color w:val="auto"/>
              </w:rPr>
            </w:pPr>
          </w:p>
        </w:tc>
        <w:tc>
          <w:tcPr>
            <w:tcW w:w="322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r>
      <w:tr>
        <w:trPr>
          <w:trHeight w:val="230"/>
        </w:trPr>
        <w:tc>
          <w:tcPr>
            <w:tcW w:w="1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Charge</w:t>
            </w:r>
          </w:p>
        </w:tc>
        <w:tc>
          <w:tcPr>
            <w:tcW w:w="2480" w:type="dxa"/>
            <w:vAlign w:val="bottom"/>
            <w:tcBorders>
              <w:right w:val="single" w:sz="8" w:color="auto"/>
            </w:tcBorders>
          </w:tcPr>
          <w:p>
            <w:pPr>
              <w:spacing w:after="0"/>
              <w:rPr>
                <w:sz w:val="19"/>
                <w:szCs w:val="19"/>
                <w:color w:val="auto"/>
              </w:rPr>
            </w:pPr>
          </w:p>
        </w:tc>
        <w:tc>
          <w:tcPr>
            <w:tcW w:w="322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r>
      <w:tr>
        <w:trPr>
          <w:trHeight w:val="230"/>
        </w:trPr>
        <w:tc>
          <w:tcPr>
            <w:tcW w:w="1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Coverage</w:t>
            </w:r>
          </w:p>
        </w:tc>
        <w:tc>
          <w:tcPr>
            <w:tcW w:w="2480" w:type="dxa"/>
            <w:vAlign w:val="bottom"/>
            <w:tcBorders>
              <w:right w:val="single" w:sz="8" w:color="auto"/>
            </w:tcBorders>
          </w:tcPr>
          <w:p>
            <w:pPr>
              <w:spacing w:after="0"/>
              <w:rPr>
                <w:sz w:val="19"/>
                <w:szCs w:val="19"/>
                <w:color w:val="auto"/>
              </w:rPr>
            </w:pPr>
          </w:p>
        </w:tc>
        <w:tc>
          <w:tcPr>
            <w:tcW w:w="322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r>
      <w:tr>
        <w:trPr>
          <w:trHeight w:val="230"/>
        </w:trPr>
        <w:tc>
          <w:tcPr>
            <w:tcW w:w="1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Ratio</w:t>
            </w:r>
          </w:p>
        </w:tc>
        <w:tc>
          <w:tcPr>
            <w:tcW w:w="2480" w:type="dxa"/>
            <w:vAlign w:val="bottom"/>
            <w:tcBorders>
              <w:right w:val="single" w:sz="8" w:color="auto"/>
            </w:tcBorders>
          </w:tcPr>
          <w:p>
            <w:pPr>
              <w:spacing w:after="0"/>
              <w:rPr>
                <w:sz w:val="19"/>
                <w:szCs w:val="19"/>
                <w:color w:val="auto"/>
              </w:rPr>
            </w:pPr>
          </w:p>
        </w:tc>
        <w:tc>
          <w:tcPr>
            <w:tcW w:w="322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r>
      <w:tr>
        <w:trPr>
          <w:trHeight w:val="230"/>
        </w:trPr>
        <w:tc>
          <w:tcPr>
            <w:tcW w:w="1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w w:val="99"/>
              </w:rPr>
              <w:t>(pursuant to</w:t>
            </w:r>
          </w:p>
        </w:tc>
        <w:tc>
          <w:tcPr>
            <w:tcW w:w="2480" w:type="dxa"/>
            <w:vAlign w:val="bottom"/>
            <w:tcBorders>
              <w:right w:val="single" w:sz="8" w:color="auto"/>
            </w:tcBorders>
          </w:tcPr>
          <w:p>
            <w:pPr>
              <w:spacing w:after="0"/>
              <w:rPr>
                <w:sz w:val="19"/>
                <w:szCs w:val="19"/>
                <w:color w:val="auto"/>
              </w:rPr>
            </w:pPr>
          </w:p>
        </w:tc>
        <w:tc>
          <w:tcPr>
            <w:tcW w:w="322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r>
      <w:tr>
        <w:trPr>
          <w:trHeight w:val="230"/>
        </w:trPr>
        <w:tc>
          <w:tcPr>
            <w:tcW w:w="1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Section</w:t>
            </w:r>
          </w:p>
        </w:tc>
        <w:tc>
          <w:tcPr>
            <w:tcW w:w="2480" w:type="dxa"/>
            <w:vAlign w:val="bottom"/>
            <w:tcBorders>
              <w:right w:val="single" w:sz="8" w:color="auto"/>
            </w:tcBorders>
          </w:tcPr>
          <w:p>
            <w:pPr>
              <w:spacing w:after="0"/>
              <w:rPr>
                <w:sz w:val="19"/>
                <w:szCs w:val="19"/>
                <w:color w:val="auto"/>
              </w:rPr>
            </w:pPr>
          </w:p>
        </w:tc>
        <w:tc>
          <w:tcPr>
            <w:tcW w:w="322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r>
      <w:tr>
        <w:trPr>
          <w:trHeight w:val="250"/>
        </w:trPr>
        <w:tc>
          <w:tcPr>
            <w:tcW w:w="1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6.21(a))</w:t>
            </w:r>
          </w:p>
        </w:tc>
        <w:tc>
          <w:tcPr>
            <w:tcW w:w="2480" w:type="dxa"/>
            <w:vAlign w:val="bottom"/>
            <w:tcBorders>
              <w:right w:val="single" w:sz="8" w:color="auto"/>
            </w:tcBorders>
          </w:tcPr>
          <w:p>
            <w:pPr>
              <w:spacing w:after="0"/>
              <w:rPr>
                <w:sz w:val="21"/>
                <w:szCs w:val="21"/>
                <w:color w:val="auto"/>
              </w:rPr>
            </w:pPr>
          </w:p>
        </w:tc>
        <w:tc>
          <w:tcPr>
            <w:tcW w:w="322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r>
      <w:tr>
        <w:trPr>
          <w:trHeight w:val="23"/>
        </w:trPr>
        <w:tc>
          <w:tcPr>
            <w:tcW w:w="12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723"/>
        </w:trPr>
        <w:tc>
          <w:tcPr>
            <w:tcW w:w="12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220" w:type="dxa"/>
            <w:vAlign w:val="bottom"/>
          </w:tcPr>
          <w:p>
            <w:pPr>
              <w:ind w:left="1520"/>
              <w:spacing w:after="0"/>
              <w:rPr>
                <w:sz w:val="20"/>
                <w:szCs w:val="20"/>
                <w:color w:val="auto"/>
              </w:rPr>
            </w:pPr>
            <w:r>
              <w:rPr>
                <w:rFonts w:ascii="Arial" w:cs="Arial" w:eastAsia="Arial" w:hAnsi="Arial"/>
                <w:sz w:val="18"/>
                <w:szCs w:val="18"/>
                <w:color w:val="auto"/>
              </w:rPr>
              <w:t>EXH. B- 3</w:t>
            </w:r>
          </w:p>
        </w:tc>
        <w:tc>
          <w:tcPr>
            <w:tcW w:w="1580" w:type="dxa"/>
            <w:vAlign w:val="bottom"/>
          </w:tcPr>
          <w:p>
            <w:pPr>
              <w:spacing w:after="0"/>
              <w:rPr>
                <w:sz w:val="24"/>
                <w:szCs w:val="24"/>
                <w:color w:val="auto"/>
              </w:rPr>
            </w:pPr>
          </w:p>
        </w:tc>
      </w:tr>
    </w:tbl>
    <w:p>
      <w:pPr>
        <w:sectPr>
          <w:pgSz w:w="11900" w:h="16838" w:orient="portrait"/>
          <w:cols w:equalWidth="0" w:num="1">
            <w:col w:w="10139"/>
          </w:cols>
          <w:pgMar w:left="320" w:top="436" w:right="1440" w:bottom="1440" w:gutter="0" w:footer="0" w:header="0"/>
        </w:sectPr>
      </w:pPr>
    </w:p>
    <w:bookmarkStart w:id="218" w:name="page219"/>
    <w:bookmarkEnd w:id="2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18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86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b w:val="1"/>
                <w:bCs w:val="1"/>
                <w:color w:val="auto"/>
              </w:rPr>
              <w:t>SCHEDULE II TO COMPLIANCE CERTIFICATE</w:t>
            </w:r>
          </w:p>
        </w:tc>
      </w:tr>
      <w:tr>
        <w:trPr>
          <w:trHeight w:val="517"/>
        </w:trPr>
        <w:tc>
          <w:tcPr>
            <w:tcW w:w="1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60" w:type="dxa"/>
            <w:vAlign w:val="bottom"/>
            <w:gridSpan w:val="2"/>
          </w:tcPr>
          <w:p>
            <w:pPr>
              <w:jc w:val="center"/>
              <w:ind w:right="180"/>
              <w:spacing w:after="0"/>
              <w:rPr>
                <w:sz w:val="20"/>
                <w:szCs w:val="20"/>
                <w:color w:val="auto"/>
              </w:rPr>
            </w:pPr>
            <w:r>
              <w:rPr>
                <w:rFonts w:ascii="Arial" w:cs="Arial" w:eastAsia="Arial" w:hAnsi="Arial"/>
                <w:sz w:val="22"/>
                <w:szCs w:val="22"/>
                <w:color w:val="auto"/>
                <w:w w:val="92"/>
              </w:rPr>
              <w:t>Borrower’s Applicable Margin Calculation</w:t>
            </w:r>
          </w:p>
        </w:tc>
      </w:tr>
      <w:tr>
        <w:trPr>
          <w:trHeight w:val="787"/>
        </w:trPr>
        <w:tc>
          <w:tcPr>
            <w:tcW w:w="1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60" w:type="dxa"/>
            <w:vAlign w:val="bottom"/>
            <w:gridSpan w:val="2"/>
          </w:tcPr>
          <w:p>
            <w:pPr>
              <w:spacing w:after="0"/>
              <w:rPr>
                <w:sz w:val="24"/>
                <w:szCs w:val="24"/>
                <w:color w:val="auto"/>
              </w:rPr>
            </w:pPr>
          </w:p>
        </w:tc>
      </w:tr>
      <w:tr>
        <w:trPr>
          <w:trHeight w:val="254"/>
        </w:trPr>
        <w:tc>
          <w:tcPr>
            <w:tcW w:w="1820" w:type="dxa"/>
            <w:vAlign w:val="bottom"/>
            <w:tcBorders>
              <w:top w:val="single" w:sz="8" w:color="auto"/>
              <w:left w:val="single" w:sz="8" w:color="auto"/>
              <w:right w:val="single" w:sz="8" w:color="auto"/>
            </w:tcBorders>
          </w:tcPr>
          <w:p>
            <w:pPr>
              <w:ind w:left="500"/>
              <w:spacing w:after="0"/>
              <w:rPr>
                <w:sz w:val="20"/>
                <w:szCs w:val="20"/>
                <w:color w:val="auto"/>
              </w:rPr>
            </w:pPr>
            <w:r>
              <w:rPr>
                <w:rFonts w:ascii="Arial" w:cs="Arial" w:eastAsia="Arial" w:hAnsi="Arial"/>
                <w:sz w:val="20"/>
                <w:szCs w:val="20"/>
                <w:b w:val="1"/>
                <w:bCs w:val="1"/>
                <w:color w:val="auto"/>
              </w:rPr>
              <w:t>Covenant</w:t>
            </w:r>
          </w:p>
        </w:tc>
        <w:tc>
          <w:tcPr>
            <w:tcW w:w="1600" w:type="dxa"/>
            <w:vAlign w:val="bottom"/>
            <w:tcBorders>
              <w:top w:val="single" w:sz="8" w:color="auto"/>
            </w:tcBorders>
          </w:tcPr>
          <w:p>
            <w:pPr>
              <w:ind w:left="600"/>
              <w:spacing w:after="0"/>
              <w:rPr>
                <w:sz w:val="20"/>
                <w:szCs w:val="20"/>
                <w:color w:val="auto"/>
              </w:rPr>
            </w:pPr>
            <w:r>
              <w:rPr>
                <w:rFonts w:ascii="Arial" w:cs="Arial" w:eastAsia="Arial" w:hAnsi="Arial"/>
                <w:sz w:val="20"/>
                <w:szCs w:val="20"/>
                <w:b w:val="1"/>
                <w:bCs w:val="1"/>
                <w:color w:val="auto"/>
              </w:rPr>
              <w:t>Actual</w:t>
            </w:r>
          </w:p>
        </w:tc>
        <w:tc>
          <w:tcPr>
            <w:tcW w:w="200" w:type="dxa"/>
            <w:vAlign w:val="bottom"/>
            <w:tcBorders>
              <w:top w:val="single" w:sz="8" w:color="auto"/>
              <w:right w:val="single" w:sz="8" w:color="auto"/>
            </w:tcBorders>
          </w:tcPr>
          <w:p>
            <w:pPr>
              <w:spacing w:after="0"/>
              <w:rPr>
                <w:sz w:val="22"/>
                <w:szCs w:val="22"/>
                <w:color w:val="auto"/>
              </w:rPr>
            </w:pPr>
          </w:p>
        </w:tc>
        <w:tc>
          <w:tcPr>
            <w:tcW w:w="1800" w:type="dxa"/>
            <w:vAlign w:val="bottom"/>
            <w:tcBorders>
              <w:top w:val="single" w:sz="8" w:color="auto"/>
              <w:right w:val="single" w:sz="8" w:color="auto"/>
            </w:tcBorders>
          </w:tcPr>
          <w:p>
            <w:pPr>
              <w:ind w:left="620"/>
              <w:spacing w:after="0"/>
              <w:rPr>
                <w:sz w:val="20"/>
                <w:szCs w:val="20"/>
                <w:color w:val="auto"/>
              </w:rPr>
            </w:pPr>
            <w:r>
              <w:rPr>
                <w:rFonts w:ascii="Arial" w:cs="Arial" w:eastAsia="Arial" w:hAnsi="Arial"/>
                <w:sz w:val="20"/>
                <w:szCs w:val="20"/>
                <w:b w:val="1"/>
                <w:bCs w:val="1"/>
                <w:color w:val="auto"/>
              </w:rPr>
              <w:t>Status</w:t>
            </w:r>
          </w:p>
        </w:tc>
        <w:tc>
          <w:tcPr>
            <w:tcW w:w="2860" w:type="dxa"/>
            <w:vAlign w:val="bottom"/>
          </w:tcPr>
          <w:p>
            <w:pPr>
              <w:spacing w:after="0"/>
              <w:rPr>
                <w:sz w:val="22"/>
                <w:szCs w:val="22"/>
                <w:color w:val="auto"/>
              </w:rPr>
            </w:pPr>
          </w:p>
        </w:tc>
      </w:tr>
      <w:tr>
        <w:trPr>
          <w:trHeight w:val="23"/>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860" w:type="dxa"/>
            <w:vAlign w:val="bottom"/>
          </w:tcPr>
          <w:p>
            <w:pPr>
              <w:spacing w:after="0"/>
              <w:rPr>
                <w:sz w:val="2"/>
                <w:szCs w:val="2"/>
                <w:color w:val="auto"/>
              </w:rPr>
            </w:pPr>
          </w:p>
        </w:tc>
      </w:tr>
      <w:tr>
        <w:trPr>
          <w:trHeight w:val="291"/>
        </w:trPr>
        <w:tc>
          <w:tcPr>
            <w:tcW w:w="1820" w:type="dxa"/>
            <w:vAlign w:val="bottom"/>
            <w:tcBorders>
              <w:left w:val="single" w:sz="8" w:color="auto"/>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2860" w:type="dxa"/>
            <w:vAlign w:val="bottom"/>
          </w:tcPr>
          <w:p>
            <w:pPr>
              <w:spacing w:after="0"/>
              <w:rPr>
                <w:sz w:val="24"/>
                <w:szCs w:val="24"/>
                <w:color w:val="auto"/>
              </w:rPr>
            </w:pPr>
          </w:p>
        </w:tc>
      </w:tr>
      <w:tr>
        <w:trPr>
          <w:trHeight w:val="233"/>
        </w:trPr>
        <w:tc>
          <w:tcPr>
            <w:tcW w:w="18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w w:val="97"/>
              </w:rPr>
              <w:t>Consolidated Cash</w:t>
            </w:r>
          </w:p>
        </w:tc>
        <w:tc>
          <w:tcPr>
            <w:tcW w:w="1600" w:type="dxa"/>
            <w:vAlign w:val="bottom"/>
          </w:tcPr>
          <w:p>
            <w:pPr>
              <w:ind w:left="20"/>
              <w:spacing w:after="0"/>
              <w:rPr>
                <w:sz w:val="20"/>
                <w:szCs w:val="20"/>
                <w:color w:val="auto"/>
              </w:rPr>
            </w:pPr>
            <w:r>
              <w:rPr>
                <w:rFonts w:ascii="Arial" w:cs="Arial" w:eastAsia="Arial" w:hAnsi="Arial"/>
                <w:sz w:val="20"/>
                <w:szCs w:val="20"/>
                <w:color w:val="auto"/>
              </w:rPr>
              <w:t>[___] to 1.0</w:t>
            </w:r>
          </w:p>
        </w:tc>
        <w:tc>
          <w:tcPr>
            <w:tcW w:w="20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Level [I/II/III]</w:t>
            </w:r>
          </w:p>
        </w:tc>
        <w:tc>
          <w:tcPr>
            <w:tcW w:w="2860" w:type="dxa"/>
            <w:vAlign w:val="bottom"/>
          </w:tcPr>
          <w:p>
            <w:pPr>
              <w:spacing w:after="0"/>
              <w:rPr>
                <w:sz w:val="20"/>
                <w:szCs w:val="20"/>
                <w:color w:val="auto"/>
              </w:rPr>
            </w:pPr>
          </w:p>
        </w:tc>
      </w:tr>
      <w:tr>
        <w:trPr>
          <w:trHeight w:val="230"/>
        </w:trPr>
        <w:tc>
          <w:tcPr>
            <w:tcW w:w="18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Flow Leverage</w:t>
            </w:r>
          </w:p>
        </w:tc>
        <w:tc>
          <w:tcPr>
            <w:tcW w:w="160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2860" w:type="dxa"/>
            <w:vAlign w:val="bottom"/>
          </w:tcPr>
          <w:p>
            <w:pPr>
              <w:spacing w:after="0"/>
              <w:rPr>
                <w:sz w:val="19"/>
                <w:szCs w:val="19"/>
                <w:color w:val="auto"/>
              </w:rPr>
            </w:pPr>
          </w:p>
        </w:tc>
      </w:tr>
      <w:tr>
        <w:trPr>
          <w:trHeight w:val="230"/>
        </w:trPr>
        <w:tc>
          <w:tcPr>
            <w:tcW w:w="18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Ratio (pursuant to</w:t>
            </w:r>
          </w:p>
        </w:tc>
        <w:tc>
          <w:tcPr>
            <w:tcW w:w="160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2860" w:type="dxa"/>
            <w:vAlign w:val="bottom"/>
          </w:tcPr>
          <w:p>
            <w:pPr>
              <w:spacing w:after="0"/>
              <w:rPr>
                <w:sz w:val="19"/>
                <w:szCs w:val="19"/>
                <w:color w:val="auto"/>
              </w:rPr>
            </w:pPr>
          </w:p>
        </w:tc>
      </w:tr>
      <w:tr>
        <w:trPr>
          <w:trHeight w:val="250"/>
        </w:trPr>
        <w:tc>
          <w:tcPr>
            <w:tcW w:w="18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Section 6.21(b))</w:t>
            </w:r>
          </w:p>
        </w:tc>
        <w:tc>
          <w:tcPr>
            <w:tcW w:w="160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2860" w:type="dxa"/>
            <w:vAlign w:val="bottom"/>
          </w:tcPr>
          <w:p>
            <w:pPr>
              <w:spacing w:after="0"/>
              <w:rPr>
                <w:sz w:val="21"/>
                <w:szCs w:val="21"/>
                <w:color w:val="auto"/>
              </w:rPr>
            </w:pPr>
          </w:p>
        </w:tc>
      </w:tr>
      <w:tr>
        <w:trPr>
          <w:trHeight w:val="23"/>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860" w:type="dxa"/>
            <w:vAlign w:val="bottom"/>
          </w:tcPr>
          <w:p>
            <w:pPr>
              <w:spacing w:after="0"/>
              <w:rPr>
                <w:sz w:val="2"/>
                <w:szCs w:val="2"/>
                <w:color w:val="auto"/>
              </w:rPr>
            </w:pPr>
          </w:p>
        </w:tc>
      </w:tr>
      <w:tr>
        <w:trPr>
          <w:trHeight w:val="723"/>
        </w:trPr>
        <w:tc>
          <w:tcPr>
            <w:tcW w:w="1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60" w:type="dxa"/>
            <w:vAlign w:val="bottom"/>
            <w:gridSpan w:val="2"/>
          </w:tcPr>
          <w:p>
            <w:pPr>
              <w:ind w:left="1620"/>
              <w:spacing w:after="0"/>
              <w:rPr>
                <w:sz w:val="20"/>
                <w:szCs w:val="20"/>
                <w:color w:val="auto"/>
              </w:rPr>
            </w:pPr>
            <w:r>
              <w:rPr>
                <w:rFonts w:ascii="Arial" w:cs="Arial" w:eastAsia="Arial" w:hAnsi="Arial"/>
                <w:sz w:val="18"/>
                <w:szCs w:val="18"/>
                <w:color w:val="auto"/>
              </w:rPr>
              <w:t>EXH. B- 4</w:t>
            </w:r>
          </w:p>
        </w:tc>
      </w:tr>
    </w:tbl>
    <w:p>
      <w:pPr>
        <w:sectPr>
          <w:pgSz w:w="11900" w:h="16838" w:orient="portrait"/>
          <w:cols w:equalWidth="0" w:num="1">
            <w:col w:w="10139"/>
          </w:cols>
          <w:pgMar w:left="320" w:top="413" w:right="1440" w:bottom="1440" w:gutter="0" w:footer="0" w:header="0"/>
        </w:sectPr>
      </w:pPr>
    </w:p>
    <w:bookmarkStart w:id="219" w:name="page220"/>
    <w:bookmarkEnd w:id="219"/>
    <w:p>
      <w:pPr>
        <w:jc w:val="center"/>
        <w:spacing w:after="0"/>
        <w:rPr>
          <w:sz w:val="20"/>
          <w:szCs w:val="20"/>
          <w:color w:val="auto"/>
        </w:rPr>
      </w:pPr>
      <w:r>
        <w:rPr>
          <w:rFonts w:ascii="Arial" w:cs="Arial" w:eastAsia="Arial" w:hAnsi="Arial"/>
          <w:sz w:val="22"/>
          <w:szCs w:val="22"/>
          <w:b w:val="1"/>
          <w:bCs w:val="1"/>
          <w:u w:val="single" w:color="auto"/>
          <w:color w:val="auto"/>
        </w:rPr>
        <w:t>SCHEDULE III TO COMPLIANCE CERTIFICATE</w:t>
      </w:r>
    </w:p>
    <w:p>
      <w:pPr>
        <w:sectPr>
          <w:pgSz w:w="11900" w:h="16838" w:orient="portrait"/>
          <w:cols w:equalWidth="0" w:num="1">
            <w:col w:w="9019"/>
          </w:cols>
          <w:pgMar w:left="1440" w:top="436" w:right="1440" w:bottom="1440" w:gutter="0" w:footer="0" w:header="0"/>
        </w:sect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Reports and Deliveries Currently Due</w:t>
      </w: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 B- 5</w:t>
      </w:r>
    </w:p>
    <w:p>
      <w:pPr>
        <w:sectPr>
          <w:pgSz w:w="11900" w:h="16838" w:orient="portrait"/>
          <w:cols w:equalWidth="0" w:num="1">
            <w:col w:w="9019"/>
          </w:cols>
          <w:pgMar w:left="1440" w:top="436" w:right="1440" w:bottom="1440" w:gutter="0" w:footer="0" w:header="0"/>
          <w:type w:val="continuous"/>
        </w:sectPr>
      </w:pPr>
    </w:p>
    <w:bookmarkStart w:id="220" w:name="page221"/>
    <w:bookmarkEnd w:id="220"/>
    <w:p>
      <w:pPr>
        <w:jc w:val="center"/>
        <w:ind w:right="100"/>
        <w:spacing w:after="0"/>
        <w:rPr>
          <w:sz w:val="20"/>
          <w:szCs w:val="20"/>
          <w:color w:val="auto"/>
        </w:rPr>
      </w:pPr>
      <w:r>
        <w:rPr>
          <w:rFonts w:ascii="Arial" w:cs="Arial" w:eastAsia="Arial" w:hAnsi="Arial"/>
          <w:sz w:val="22"/>
          <w:szCs w:val="22"/>
          <w:b w:val="1"/>
          <w:bCs w:val="1"/>
          <w:u w:val="single" w:color="auto"/>
          <w:color w:val="auto"/>
        </w:rPr>
        <w:t>EXHIBIT C</w:t>
      </w:r>
    </w:p>
    <w:p>
      <w:pPr>
        <w:spacing w:after="0" w:line="314"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FORM OF ASSIGNMENT AND ASSUMPTION AGREEMENT</w:t>
      </w: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This Assignment and Assumption (the “Assignment and Assumption”) is dated as of the Effective Date set forth below and is entered into by and between [</w:t>
      </w:r>
      <w:r>
        <w:rPr>
          <w:rFonts w:ascii="Arial" w:cs="Arial" w:eastAsia="Arial" w:hAnsi="Arial"/>
          <w:sz w:val="21"/>
          <w:szCs w:val="21"/>
          <w:i w:val="1"/>
          <w:iCs w:val="1"/>
          <w:color w:val="auto"/>
        </w:rPr>
        <w:t>Insert name of Assignor</w:t>
      </w:r>
      <w:r>
        <w:rPr>
          <w:rFonts w:ascii="Arial" w:cs="Arial" w:eastAsia="Arial" w:hAnsi="Arial"/>
          <w:sz w:val="21"/>
          <w:szCs w:val="21"/>
          <w:color w:val="auto"/>
        </w:rPr>
        <w:t>] (the “Assignor”) and [</w:t>
      </w:r>
      <w:r>
        <w:rPr>
          <w:rFonts w:ascii="Arial" w:cs="Arial" w:eastAsia="Arial" w:hAnsi="Arial"/>
          <w:sz w:val="21"/>
          <w:szCs w:val="21"/>
          <w:i w:val="1"/>
          <w:iCs w:val="1"/>
          <w:color w:val="auto"/>
        </w:rPr>
        <w:t>Insert name of Assignee</w:t>
      </w:r>
      <w:r>
        <w:rPr>
          <w:rFonts w:ascii="Arial" w:cs="Arial" w:eastAsia="Arial" w:hAnsi="Arial"/>
          <w:sz w:val="21"/>
          <w:szCs w:val="21"/>
          <w:color w:val="auto"/>
        </w:rPr>
        <w:t>] (the “Assignee”). Capitalized terms used but not defined herein shall have the meanings given to them in the Credit Agreement identified below (as amended, the “Credit Agreement”), receipt of a copy of which is hereby acknowledged by the Assignee. The Terms and Conditions set forth in Annex 1 attached hereto are hereby agreed to and incorporated herein by reference and made a part of this Assignment and Assumption as if set forth herein in full.</w:t>
      </w:r>
    </w:p>
    <w:p>
      <w:pPr>
        <w:spacing w:after="0" w:line="22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For an agreed consideration, the Assignor hereby irrevocably sells and assigns to the Assignee, and the Assignee hereby irrevocably purchases and assumes from the Assignor, subject to and in accordance with the Terms and Conditions and the Credit Agreement, as of the Effective Date inserted by the Administrative Agent as contemplated below, the interest in and to all of the Assignor’s rights and obligations in its capacity as a Lender under the Credit Agreement and any other documents or instruments delivered pursuant thereto that represents the amount and percentage interest identified below of all of the Assignor’s outstanding rights and obligations under the respective facilities identified below (including without limitation any letters of credit, guaranties and swing line loans included in such facilities and, to the extent permitted to be assigned under applicable law, all claims (including without limitation contract claims, tort claims, malpractice claims, statutory claims and all other claims at law or in equity), suits, causes of action and any other right of the Assignor against any Person whether known or unknown arising under or in connection with the Credit Agreement, any other documents or instruments delivered pursuant thereto or the loan transactions governed thereby) (the “Assigned Interest”). Such sale and assignment is without recourse to the Assignor and, except as expressly provided in this Assignment and Assumption, without representation or warranty by the Assignor.</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1.</w:t>
            </w:r>
          </w:p>
        </w:tc>
        <w:tc>
          <w:tcPr>
            <w:tcW w:w="1500" w:type="dxa"/>
            <w:vAlign w:val="bottom"/>
          </w:tcPr>
          <w:p>
            <w:pPr>
              <w:ind w:left="120"/>
              <w:spacing w:after="0"/>
              <w:rPr>
                <w:sz w:val="20"/>
                <w:szCs w:val="20"/>
                <w:color w:val="auto"/>
              </w:rPr>
            </w:pPr>
            <w:r>
              <w:rPr>
                <w:rFonts w:ascii="Arial" w:cs="Arial" w:eastAsia="Arial" w:hAnsi="Arial"/>
                <w:sz w:val="18"/>
                <w:szCs w:val="18"/>
                <w:color w:val="auto"/>
              </w:rPr>
              <w:t>Assignor:</w:t>
            </w: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[_________________________________]</w:t>
            </w:r>
          </w:p>
        </w:tc>
      </w:tr>
      <w:tr>
        <w:trPr>
          <w:trHeight w:val="466"/>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2.</w:t>
            </w:r>
          </w:p>
        </w:tc>
        <w:tc>
          <w:tcPr>
            <w:tcW w:w="1500" w:type="dxa"/>
            <w:vAlign w:val="bottom"/>
          </w:tcPr>
          <w:p>
            <w:pPr>
              <w:ind w:left="120"/>
              <w:spacing w:after="0"/>
              <w:rPr>
                <w:sz w:val="20"/>
                <w:szCs w:val="20"/>
                <w:color w:val="auto"/>
              </w:rPr>
            </w:pPr>
            <w:r>
              <w:rPr>
                <w:rFonts w:ascii="Arial" w:cs="Arial" w:eastAsia="Arial" w:hAnsi="Arial"/>
                <w:sz w:val="18"/>
                <w:szCs w:val="18"/>
                <w:color w:val="auto"/>
              </w:rPr>
              <w:t>Assignee:</w:t>
            </w: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[_________________________________]</w:t>
            </w:r>
          </w:p>
        </w:tc>
      </w:tr>
      <w:tr>
        <w:trPr>
          <w:trHeight w:val="723"/>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3.</w:t>
            </w:r>
          </w:p>
        </w:tc>
        <w:tc>
          <w:tcPr>
            <w:tcW w:w="1500" w:type="dxa"/>
            <w:vAlign w:val="bottom"/>
          </w:tcPr>
          <w:p>
            <w:pPr>
              <w:ind w:left="120"/>
              <w:spacing w:after="0"/>
              <w:rPr>
                <w:sz w:val="20"/>
                <w:szCs w:val="20"/>
                <w:color w:val="auto"/>
              </w:rPr>
            </w:pPr>
            <w:r>
              <w:rPr>
                <w:rFonts w:ascii="Arial" w:cs="Arial" w:eastAsia="Arial" w:hAnsi="Arial"/>
                <w:sz w:val="18"/>
                <w:szCs w:val="18"/>
                <w:color w:val="auto"/>
              </w:rPr>
              <w:t>Borrower:</w:t>
            </w:r>
          </w:p>
        </w:tc>
        <w:tc>
          <w:tcPr>
            <w:tcW w:w="3080" w:type="dxa"/>
            <w:vAlign w:val="bottom"/>
          </w:tcPr>
          <w:p>
            <w:pPr>
              <w:spacing w:after="0"/>
              <w:rPr>
                <w:sz w:val="20"/>
                <w:szCs w:val="20"/>
                <w:color w:val="auto"/>
              </w:rPr>
            </w:pPr>
            <w:r>
              <w:rPr>
                <w:rFonts w:ascii="Arial" w:cs="Arial" w:eastAsia="Arial" w:hAnsi="Arial"/>
                <w:sz w:val="18"/>
                <w:szCs w:val="18"/>
                <w:color w:val="auto"/>
              </w:rPr>
              <w:t>Universal Electronics Inc.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EXH. C-1</w:t>
      </w:r>
    </w:p>
    <w:p>
      <w:pPr>
        <w:sectPr>
          <w:pgSz w:w="11900" w:h="16838" w:orient="portrait"/>
          <w:cols w:equalWidth="0" w:num="1">
            <w:col w:w="11300"/>
          </w:cols>
          <w:pgMar w:left="360" w:top="436" w:right="239" w:bottom="1440" w:gutter="0" w:footer="0" w:header="0"/>
        </w:sectPr>
      </w:pPr>
    </w:p>
    <w:bookmarkStart w:id="221" w:name="page222"/>
    <w:bookmarkEnd w:id="221"/>
    <w:p>
      <w:pPr>
        <w:ind w:left="660" w:hanging="570"/>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Administrative Agent:  U.S. Bank National Association, as the agent under the Credit Agreement.</w:t>
      </w:r>
    </w:p>
    <w:p>
      <w:pPr>
        <w:spacing w:after="0" w:line="333"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340" w:type="dxa"/>
            <w:vAlign w:val="bottom"/>
          </w:tcPr>
          <w:p>
            <w:pPr>
              <w:jc w:val="right"/>
              <w:ind w:right="135"/>
              <w:spacing w:after="0"/>
              <w:rPr>
                <w:sz w:val="20"/>
                <w:szCs w:val="20"/>
                <w:color w:val="auto"/>
              </w:rPr>
            </w:pPr>
            <w:r>
              <w:rPr>
                <w:rFonts w:ascii="Arial" w:cs="Arial" w:eastAsia="Arial" w:hAnsi="Arial"/>
                <w:sz w:val="17"/>
                <w:szCs w:val="17"/>
                <w:color w:val="auto"/>
                <w:w w:val="70"/>
              </w:rPr>
              <w:t>5.</w:t>
            </w:r>
          </w:p>
        </w:tc>
        <w:tc>
          <w:tcPr>
            <w:tcW w:w="1780" w:type="dxa"/>
            <w:vAlign w:val="bottom"/>
          </w:tcPr>
          <w:p>
            <w:pPr>
              <w:ind w:left="220"/>
              <w:spacing w:after="0"/>
              <w:rPr>
                <w:sz w:val="20"/>
                <w:szCs w:val="20"/>
                <w:color w:val="auto"/>
              </w:rPr>
            </w:pPr>
            <w:r>
              <w:rPr>
                <w:rFonts w:ascii="Arial" w:cs="Arial" w:eastAsia="Arial" w:hAnsi="Arial"/>
                <w:sz w:val="18"/>
                <w:szCs w:val="18"/>
                <w:color w:val="auto"/>
              </w:rPr>
              <w:t>Credit Agreement:</w:t>
            </w:r>
          </w:p>
        </w:tc>
        <w:tc>
          <w:tcPr>
            <w:tcW w:w="8520" w:type="dxa"/>
            <w:vAlign w:val="bottom"/>
          </w:tcPr>
          <w:p>
            <w:pPr>
              <w:ind w:left="220"/>
              <w:spacing w:after="0"/>
              <w:rPr>
                <w:sz w:val="20"/>
                <w:szCs w:val="20"/>
                <w:color w:val="auto"/>
              </w:rPr>
            </w:pPr>
            <w:r>
              <w:rPr>
                <w:rFonts w:ascii="Arial" w:cs="Arial" w:eastAsia="Arial" w:hAnsi="Arial"/>
                <w:sz w:val="18"/>
                <w:szCs w:val="18"/>
                <w:color w:val="auto"/>
                <w:w w:val="92"/>
              </w:rPr>
              <w:t>The Second Amended and Restated Credit Agreement dated as of October ____, 2017 by and among Universal</w:t>
            </w:r>
          </w:p>
        </w:tc>
      </w:tr>
      <w:tr>
        <w:trPr>
          <w:trHeight w:val="216"/>
        </w:trPr>
        <w:tc>
          <w:tcPr>
            <w:tcW w:w="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520" w:type="dxa"/>
            <w:vAlign w:val="bottom"/>
          </w:tcPr>
          <w:p>
            <w:pPr>
              <w:ind w:left="220"/>
              <w:spacing w:after="0"/>
              <w:rPr>
                <w:sz w:val="20"/>
                <w:szCs w:val="20"/>
                <w:color w:val="auto"/>
              </w:rPr>
            </w:pPr>
            <w:r>
              <w:rPr>
                <w:rFonts w:ascii="Arial" w:cs="Arial" w:eastAsia="Arial" w:hAnsi="Arial"/>
                <w:sz w:val="18"/>
                <w:szCs w:val="18"/>
                <w:color w:val="auto"/>
                <w:w w:val="91"/>
              </w:rPr>
              <w:t>Electronics Inc., the Lenders party thereto, U.S. Bank National Association, as Administrative Agent, and the other</w:t>
            </w:r>
          </w:p>
        </w:tc>
      </w:tr>
      <w:tr>
        <w:trPr>
          <w:trHeight w:val="230"/>
        </w:trPr>
        <w:tc>
          <w:tcPr>
            <w:tcW w:w="3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520" w:type="dxa"/>
            <w:vAlign w:val="bottom"/>
          </w:tcPr>
          <w:p>
            <w:pPr>
              <w:ind w:left="220"/>
              <w:spacing w:after="0"/>
              <w:rPr>
                <w:sz w:val="20"/>
                <w:szCs w:val="20"/>
                <w:color w:val="auto"/>
              </w:rPr>
            </w:pPr>
            <w:r>
              <w:rPr>
                <w:rFonts w:ascii="Arial" w:cs="Arial" w:eastAsia="Arial" w:hAnsi="Arial"/>
                <w:sz w:val="18"/>
                <w:szCs w:val="18"/>
                <w:color w:val="auto"/>
              </w:rPr>
              <w:t>agents party thereto.</w:t>
            </w:r>
          </w:p>
        </w:tc>
      </w:tr>
    </w:tbl>
    <w:p>
      <w:pPr>
        <w:spacing w:after="0" w:line="175" w:lineRule="exact"/>
        <w:rPr>
          <w:sz w:val="20"/>
          <w:szCs w:val="20"/>
          <w:color w:val="auto"/>
        </w:rPr>
      </w:pPr>
    </w:p>
    <w:p>
      <w:pPr>
        <w:ind w:left="640" w:hanging="563"/>
        <w:spacing w:after="0"/>
        <w:tabs>
          <w:tab w:leader="none" w:pos="6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Assigned Interest:</w:t>
      </w:r>
    </w:p>
    <w:p>
      <w:pPr>
        <w:spacing w:after="0" w:line="63"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20" w:type="dxa"/>
            <w:vAlign w:val="bottom"/>
          </w:tcPr>
          <w:p>
            <w:pPr>
              <w:ind w:left="460"/>
              <w:spacing w:after="0"/>
              <w:rPr>
                <w:sz w:val="20"/>
                <w:szCs w:val="20"/>
                <w:color w:val="auto"/>
              </w:rPr>
            </w:pPr>
            <w:r>
              <w:rPr>
                <w:rFonts w:ascii="Arial" w:cs="Arial" w:eastAsia="Arial" w:hAnsi="Arial"/>
                <w:sz w:val="18"/>
                <w:szCs w:val="18"/>
                <w:color w:val="auto"/>
              </w:rPr>
              <w:t>Aggregate Amount of Revolving</w:t>
            </w:r>
          </w:p>
        </w:tc>
        <w:tc>
          <w:tcPr>
            <w:tcW w:w="2760" w:type="dxa"/>
            <w:vAlign w:val="bottom"/>
          </w:tcPr>
          <w:p>
            <w:pPr>
              <w:ind w:left="160"/>
              <w:spacing w:after="0"/>
              <w:rPr>
                <w:sz w:val="20"/>
                <w:szCs w:val="20"/>
                <w:color w:val="auto"/>
              </w:rPr>
            </w:pPr>
            <w:r>
              <w:rPr>
                <w:rFonts w:ascii="Arial" w:cs="Arial" w:eastAsia="Arial" w:hAnsi="Arial"/>
                <w:sz w:val="18"/>
                <w:szCs w:val="18"/>
                <w:color w:val="auto"/>
              </w:rPr>
              <w:t>Amount of Revolving</w:t>
            </w:r>
          </w:p>
        </w:tc>
        <w:tc>
          <w:tcPr>
            <w:tcW w:w="2900" w:type="dxa"/>
            <w:vAlign w:val="bottom"/>
          </w:tcPr>
          <w:p>
            <w:pPr>
              <w:ind w:left="400"/>
              <w:spacing w:after="0"/>
              <w:rPr>
                <w:sz w:val="20"/>
                <w:szCs w:val="20"/>
                <w:color w:val="auto"/>
              </w:rPr>
            </w:pPr>
            <w:r>
              <w:rPr>
                <w:rFonts w:ascii="Arial" w:cs="Arial" w:eastAsia="Arial" w:hAnsi="Arial"/>
                <w:sz w:val="18"/>
                <w:szCs w:val="18"/>
                <w:color w:val="auto"/>
                <w:w w:val="90"/>
              </w:rPr>
              <w:t>Percentage Assigned of Revolving</w:t>
            </w:r>
          </w:p>
        </w:tc>
      </w:tr>
      <w:tr>
        <w:trPr>
          <w:trHeight w:val="270"/>
        </w:trPr>
        <w:tc>
          <w:tcPr>
            <w:tcW w:w="3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220" w:type="dxa"/>
            <w:vAlign w:val="bottom"/>
          </w:tcPr>
          <w:p>
            <w:pPr>
              <w:ind w:left="460"/>
              <w:spacing w:after="0" w:line="270" w:lineRule="exact"/>
              <w:rPr>
                <w:sz w:val="20"/>
                <w:szCs w:val="20"/>
                <w:color w:val="auto"/>
              </w:rPr>
            </w:pPr>
            <w:r>
              <w:rPr>
                <w:rFonts w:ascii="Arial" w:cs="Arial" w:eastAsia="Arial" w:hAnsi="Arial"/>
                <w:sz w:val="18"/>
                <w:szCs w:val="18"/>
                <w:color w:val="auto"/>
                <w:w w:val="96"/>
              </w:rPr>
              <w:t>Commitment/Loans for all Lenders</w:t>
            </w:r>
            <w:r>
              <w:rPr>
                <w:rFonts w:ascii="Arial" w:cs="Arial" w:eastAsia="Arial" w:hAnsi="Arial"/>
                <w:sz w:val="25"/>
                <w:szCs w:val="25"/>
                <w:color w:val="auto"/>
                <w:w w:val="96"/>
                <w:vertAlign w:val="superscript"/>
              </w:rPr>
              <w:t>1</w:t>
            </w:r>
          </w:p>
        </w:tc>
        <w:tc>
          <w:tcPr>
            <w:tcW w:w="2760" w:type="dxa"/>
            <w:vAlign w:val="bottom"/>
          </w:tcPr>
          <w:p>
            <w:pPr>
              <w:ind w:left="160"/>
              <w:spacing w:after="0" w:line="270" w:lineRule="exact"/>
              <w:rPr>
                <w:sz w:val="20"/>
                <w:szCs w:val="20"/>
                <w:color w:val="auto"/>
              </w:rPr>
            </w:pPr>
            <w:r>
              <w:rPr>
                <w:rFonts w:ascii="Arial" w:cs="Arial" w:eastAsia="Arial" w:hAnsi="Arial"/>
                <w:sz w:val="18"/>
                <w:szCs w:val="18"/>
                <w:color w:val="auto"/>
              </w:rPr>
              <w:t>Commitment/Loans Assigned</w:t>
            </w:r>
            <w:r>
              <w:rPr>
                <w:rFonts w:ascii="Arial" w:cs="Arial" w:eastAsia="Arial" w:hAnsi="Arial"/>
                <w:sz w:val="25"/>
                <w:szCs w:val="25"/>
                <w:color w:val="auto"/>
                <w:vertAlign w:val="superscript"/>
              </w:rPr>
              <w:t>2</w:t>
            </w:r>
          </w:p>
        </w:tc>
        <w:tc>
          <w:tcPr>
            <w:tcW w:w="2900" w:type="dxa"/>
            <w:vAlign w:val="bottom"/>
          </w:tcPr>
          <w:p>
            <w:pPr>
              <w:ind w:left="400"/>
              <w:spacing w:after="0" w:line="270" w:lineRule="exact"/>
              <w:rPr>
                <w:sz w:val="20"/>
                <w:szCs w:val="20"/>
                <w:color w:val="auto"/>
              </w:rPr>
            </w:pPr>
            <w:r>
              <w:rPr>
                <w:rFonts w:ascii="Arial" w:cs="Arial" w:eastAsia="Arial" w:hAnsi="Arial"/>
                <w:sz w:val="18"/>
                <w:szCs w:val="18"/>
                <w:color w:val="auto"/>
              </w:rPr>
              <w:t>Commitment/Loans</w:t>
            </w:r>
            <w:r>
              <w:rPr>
                <w:rFonts w:ascii="Arial" w:cs="Arial" w:eastAsia="Arial" w:hAnsi="Arial"/>
                <w:sz w:val="25"/>
                <w:szCs w:val="25"/>
                <w:color w:val="auto"/>
                <w:vertAlign w:val="superscript"/>
              </w:rPr>
              <w:t>3</w:t>
            </w:r>
          </w:p>
        </w:tc>
      </w:tr>
      <w:tr>
        <w:trPr>
          <w:trHeight w:val="230"/>
        </w:trPr>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220" w:type="dxa"/>
            <w:vAlign w:val="bottom"/>
          </w:tcPr>
          <w:p>
            <w:pPr>
              <w:ind w:left="460"/>
              <w:spacing w:after="0"/>
              <w:rPr>
                <w:sz w:val="20"/>
                <w:szCs w:val="20"/>
                <w:color w:val="auto"/>
              </w:rPr>
            </w:pPr>
            <w:r>
              <w:rPr>
                <w:rFonts w:ascii="Arial" w:cs="Arial" w:eastAsia="Arial" w:hAnsi="Arial"/>
                <w:sz w:val="18"/>
                <w:szCs w:val="18"/>
                <w:color w:val="auto"/>
              </w:rPr>
              <w:t>$[___________________]</w:t>
            </w:r>
          </w:p>
        </w:tc>
        <w:tc>
          <w:tcPr>
            <w:tcW w:w="2760" w:type="dxa"/>
            <w:vAlign w:val="bottom"/>
          </w:tcPr>
          <w:p>
            <w:pPr>
              <w:ind w:left="160"/>
              <w:spacing w:after="0"/>
              <w:rPr>
                <w:sz w:val="20"/>
                <w:szCs w:val="20"/>
                <w:color w:val="auto"/>
              </w:rPr>
            </w:pPr>
            <w:r>
              <w:rPr>
                <w:rFonts w:ascii="Arial" w:cs="Arial" w:eastAsia="Arial" w:hAnsi="Arial"/>
                <w:sz w:val="18"/>
                <w:szCs w:val="18"/>
                <w:color w:val="auto"/>
              </w:rPr>
              <w:t>$[___________________]</w:t>
            </w:r>
          </w:p>
        </w:tc>
        <w:tc>
          <w:tcPr>
            <w:tcW w:w="2900" w:type="dxa"/>
            <w:vAlign w:val="bottom"/>
          </w:tcPr>
          <w:p>
            <w:pPr>
              <w:ind w:left="400"/>
              <w:spacing w:after="0"/>
              <w:rPr>
                <w:sz w:val="20"/>
                <w:szCs w:val="20"/>
                <w:color w:val="auto"/>
              </w:rPr>
            </w:pPr>
            <w:r>
              <w:rPr>
                <w:rFonts w:ascii="Arial" w:cs="Arial" w:eastAsia="Arial" w:hAnsi="Arial"/>
                <w:sz w:val="18"/>
                <w:szCs w:val="18"/>
                <w:color w:val="auto"/>
              </w:rPr>
              <w:t>[________]%</w:t>
            </w:r>
          </w:p>
        </w:tc>
      </w:tr>
      <w:tr>
        <w:trPr>
          <w:trHeight w:val="270"/>
        </w:trPr>
        <w:tc>
          <w:tcPr>
            <w:tcW w:w="3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220" w:type="dxa"/>
            <w:vAlign w:val="bottom"/>
          </w:tcPr>
          <w:p>
            <w:pPr>
              <w:ind w:left="460"/>
              <w:spacing w:after="0"/>
              <w:rPr>
                <w:sz w:val="20"/>
                <w:szCs w:val="20"/>
                <w:color w:val="auto"/>
              </w:rPr>
            </w:pPr>
            <w:r>
              <w:rPr>
                <w:rFonts w:ascii="Arial" w:cs="Arial" w:eastAsia="Arial" w:hAnsi="Arial"/>
                <w:sz w:val="18"/>
                <w:szCs w:val="18"/>
                <w:color w:val="auto"/>
              </w:rPr>
              <w:t>$[___________________]</w:t>
            </w:r>
          </w:p>
        </w:tc>
        <w:tc>
          <w:tcPr>
            <w:tcW w:w="2760" w:type="dxa"/>
            <w:vAlign w:val="bottom"/>
          </w:tcPr>
          <w:p>
            <w:pPr>
              <w:ind w:left="160"/>
              <w:spacing w:after="0"/>
              <w:rPr>
                <w:sz w:val="20"/>
                <w:szCs w:val="20"/>
                <w:color w:val="auto"/>
              </w:rPr>
            </w:pPr>
            <w:r>
              <w:rPr>
                <w:rFonts w:ascii="Arial" w:cs="Arial" w:eastAsia="Arial" w:hAnsi="Arial"/>
                <w:sz w:val="18"/>
                <w:szCs w:val="18"/>
                <w:color w:val="auto"/>
              </w:rPr>
              <w:t>$[___________________]</w:t>
            </w:r>
          </w:p>
        </w:tc>
        <w:tc>
          <w:tcPr>
            <w:tcW w:w="2900" w:type="dxa"/>
            <w:vAlign w:val="bottom"/>
          </w:tcPr>
          <w:p>
            <w:pPr>
              <w:ind w:left="400"/>
              <w:spacing w:after="0"/>
              <w:rPr>
                <w:sz w:val="20"/>
                <w:szCs w:val="20"/>
                <w:color w:val="auto"/>
              </w:rPr>
            </w:pPr>
            <w:r>
              <w:rPr>
                <w:rFonts w:ascii="Arial" w:cs="Arial" w:eastAsia="Arial" w:hAnsi="Arial"/>
                <w:sz w:val="18"/>
                <w:szCs w:val="18"/>
                <w:color w:val="auto"/>
              </w:rPr>
              <w:t>[________]%</w:t>
            </w:r>
          </w:p>
        </w:tc>
      </w:tr>
      <w:tr>
        <w:trPr>
          <w:trHeight w:val="270"/>
        </w:trPr>
        <w:tc>
          <w:tcPr>
            <w:tcW w:w="3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220" w:type="dxa"/>
            <w:vAlign w:val="bottom"/>
          </w:tcPr>
          <w:p>
            <w:pPr>
              <w:ind w:left="460"/>
              <w:spacing w:after="0"/>
              <w:rPr>
                <w:sz w:val="20"/>
                <w:szCs w:val="20"/>
                <w:color w:val="auto"/>
              </w:rPr>
            </w:pPr>
            <w:r>
              <w:rPr>
                <w:rFonts w:ascii="Arial" w:cs="Arial" w:eastAsia="Arial" w:hAnsi="Arial"/>
                <w:sz w:val="18"/>
                <w:szCs w:val="18"/>
                <w:color w:val="auto"/>
              </w:rPr>
              <w:t>$[___________________]</w:t>
            </w:r>
          </w:p>
        </w:tc>
        <w:tc>
          <w:tcPr>
            <w:tcW w:w="2760" w:type="dxa"/>
            <w:vAlign w:val="bottom"/>
          </w:tcPr>
          <w:p>
            <w:pPr>
              <w:ind w:left="160"/>
              <w:spacing w:after="0"/>
              <w:rPr>
                <w:sz w:val="20"/>
                <w:szCs w:val="20"/>
                <w:color w:val="auto"/>
              </w:rPr>
            </w:pPr>
            <w:r>
              <w:rPr>
                <w:rFonts w:ascii="Arial" w:cs="Arial" w:eastAsia="Arial" w:hAnsi="Arial"/>
                <w:sz w:val="18"/>
                <w:szCs w:val="18"/>
                <w:color w:val="auto"/>
              </w:rPr>
              <w:t>$[___________________]</w:t>
            </w:r>
          </w:p>
        </w:tc>
        <w:tc>
          <w:tcPr>
            <w:tcW w:w="2900" w:type="dxa"/>
            <w:vAlign w:val="bottom"/>
          </w:tcPr>
          <w:p>
            <w:pPr>
              <w:ind w:left="400"/>
              <w:spacing w:after="0"/>
              <w:rPr>
                <w:sz w:val="20"/>
                <w:szCs w:val="20"/>
                <w:color w:val="auto"/>
              </w:rPr>
            </w:pPr>
            <w:r>
              <w:rPr>
                <w:rFonts w:ascii="Arial" w:cs="Arial" w:eastAsia="Arial" w:hAnsi="Arial"/>
                <w:sz w:val="18"/>
                <w:szCs w:val="18"/>
                <w:color w:val="auto"/>
              </w:rPr>
              <w:t>[________]%</w:t>
            </w:r>
          </w:p>
        </w:tc>
      </w:tr>
      <w:tr>
        <w:trPr>
          <w:trHeight w:val="500"/>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7.</w:t>
            </w:r>
          </w:p>
        </w:tc>
        <w:tc>
          <w:tcPr>
            <w:tcW w:w="1540" w:type="dxa"/>
            <w:vAlign w:val="bottom"/>
          </w:tcPr>
          <w:p>
            <w:pPr>
              <w:ind w:left="220"/>
              <w:spacing w:after="0"/>
              <w:rPr>
                <w:sz w:val="20"/>
                <w:szCs w:val="20"/>
                <w:color w:val="auto"/>
              </w:rPr>
            </w:pPr>
            <w:r>
              <w:rPr>
                <w:rFonts w:ascii="Arial" w:cs="Arial" w:eastAsia="Arial" w:hAnsi="Arial"/>
                <w:sz w:val="18"/>
                <w:szCs w:val="18"/>
                <w:color w:val="auto"/>
              </w:rPr>
              <w:t>Trade Date:</w:t>
            </w:r>
          </w:p>
        </w:tc>
        <w:tc>
          <w:tcPr>
            <w:tcW w:w="5980" w:type="dxa"/>
            <w:vAlign w:val="bottom"/>
            <w:gridSpan w:val="2"/>
          </w:tcPr>
          <w:p>
            <w:pPr>
              <w:ind w:left="460"/>
              <w:spacing w:after="0"/>
              <w:rPr>
                <w:sz w:val="20"/>
                <w:szCs w:val="20"/>
                <w:color w:val="auto"/>
              </w:rPr>
            </w:pPr>
            <w:r>
              <w:rPr>
                <w:rFonts w:ascii="Arial" w:cs="Arial" w:eastAsia="Arial" w:hAnsi="Arial"/>
                <w:sz w:val="18"/>
                <w:szCs w:val="18"/>
                <w:color w:val="auto"/>
              </w:rPr>
              <w:t>[_________________________________]</w:t>
            </w:r>
          </w:p>
        </w:tc>
        <w:tc>
          <w:tcPr>
            <w:tcW w:w="2900" w:type="dxa"/>
            <w:vAlign w:val="bottom"/>
          </w:tcPr>
          <w:p>
            <w:pPr>
              <w:spacing w:after="0"/>
              <w:rPr>
                <w:sz w:val="24"/>
                <w:szCs w:val="24"/>
                <w:color w:val="auto"/>
              </w:rPr>
            </w:pPr>
          </w:p>
        </w:tc>
      </w:tr>
    </w:tbl>
    <w:p>
      <w:pPr>
        <w:spacing w:after="0" w:line="1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Effective Date: [ ], 20[ ] [TO BE INSERTED BY ADMINISTRATIVE AGENT AND WHICH SHALL BE THE EFFECTIVE DATE OF RECORDATION OF TRANSFER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917575</wp:posOffset>
            </wp:positionH>
            <wp:positionV relativeFrom="paragraph">
              <wp:posOffset>-208915</wp:posOffset>
            </wp:positionV>
            <wp:extent cx="137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The terms set forth in this Assignment and Assumption are hereby agreed to:</w:t>
      </w:r>
    </w:p>
    <w:p>
      <w:pPr>
        <w:spacing w:after="0" w:line="200" w:lineRule="exact"/>
        <w:rPr>
          <w:sz w:val="20"/>
          <w:szCs w:val="20"/>
          <w:color w:val="auto"/>
        </w:rPr>
      </w:pPr>
    </w:p>
    <w:p>
      <w:pPr>
        <w:spacing w:after="0" w:line="290"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ASSIGNOR</w:t>
      </w:r>
    </w:p>
    <w:p>
      <w:pPr>
        <w:spacing w:after="0" w:line="22"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[NAME OF ASSIGNOR]</w:t>
      </w:r>
    </w:p>
    <w:p>
      <w:pPr>
        <w:spacing w:after="0" w:line="296" w:lineRule="exact"/>
        <w:rPr>
          <w:sz w:val="20"/>
          <w:szCs w:val="20"/>
          <w:color w:val="auto"/>
        </w:rPr>
      </w:pPr>
    </w:p>
    <w:p>
      <w:pPr>
        <w:ind w:left="3280"/>
        <w:spacing w:after="0"/>
        <w:tabs>
          <w:tab w:leader="none" w:pos="3900" w:val="left"/>
        </w:tabs>
        <w:rPr>
          <w:sz w:val="20"/>
          <w:szCs w:val="20"/>
          <w:color w:val="auto"/>
        </w:rPr>
      </w:pPr>
      <w:r>
        <w:rPr>
          <w:rFonts w:ascii="Arial" w:cs="Arial" w:eastAsia="Arial" w:hAnsi="Arial"/>
          <w:sz w:val="22"/>
          <w:szCs w:val="22"/>
          <w:color w:val="auto"/>
        </w:rPr>
        <w:t>By:_</w:t>
      </w:r>
      <w:r>
        <w:rPr>
          <w:sz w:val="20"/>
          <w:szCs w:val="20"/>
          <w:color w:val="auto"/>
        </w:rPr>
        <w:tab/>
      </w:r>
      <w:r>
        <w:rPr>
          <w:rFonts w:ascii="Arial" w:cs="Arial" w:eastAsia="Arial" w:hAnsi="Arial"/>
          <w:sz w:val="21"/>
          <w:szCs w:val="21"/>
          <w:color w:val="auto"/>
        </w:rPr>
        <w:t>Title:</w:t>
      </w:r>
    </w:p>
    <w:p>
      <w:pPr>
        <w:spacing w:after="0" w:line="314"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ASSIGNEE</w:t>
      </w:r>
    </w:p>
    <w:p>
      <w:pPr>
        <w:spacing w:after="0" w:line="22"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[NAME OF ASSIGNEE]</w:t>
      </w:r>
    </w:p>
    <w:p>
      <w:pPr>
        <w:spacing w:after="0" w:line="296" w:lineRule="exact"/>
        <w:rPr>
          <w:sz w:val="20"/>
          <w:szCs w:val="20"/>
          <w:color w:val="auto"/>
        </w:rPr>
      </w:pPr>
    </w:p>
    <w:p>
      <w:pPr>
        <w:ind w:left="3280"/>
        <w:spacing w:after="0"/>
        <w:tabs>
          <w:tab w:leader="none" w:pos="3900" w:val="left"/>
        </w:tabs>
        <w:rPr>
          <w:sz w:val="20"/>
          <w:szCs w:val="20"/>
          <w:color w:val="auto"/>
        </w:rPr>
      </w:pPr>
      <w:r>
        <w:rPr>
          <w:rFonts w:ascii="Arial" w:cs="Arial" w:eastAsia="Arial" w:hAnsi="Arial"/>
          <w:sz w:val="22"/>
          <w:szCs w:val="22"/>
          <w:color w:val="auto"/>
        </w:rPr>
        <w:t>By:_</w:t>
      </w:r>
      <w:r>
        <w:rPr>
          <w:sz w:val="20"/>
          <w:szCs w:val="20"/>
          <w:color w:val="auto"/>
        </w:rPr>
        <w:tab/>
      </w: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hanging="651"/>
        <w:spacing w:after="0"/>
        <w:tabs>
          <w:tab w:leader="none" w:pos="6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Amount to be adjusted by the counterparties to take into account any payments or prepayments made between the Trade Date and the Effective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36" w:lineRule="exact"/>
        <w:rPr>
          <w:rFonts w:ascii="Arial" w:cs="Arial" w:eastAsia="Arial" w:hAnsi="Arial"/>
          <w:sz w:val="16"/>
          <w:szCs w:val="16"/>
          <w:color w:val="auto"/>
        </w:rPr>
      </w:pPr>
    </w:p>
    <w:p>
      <w:pPr>
        <w:ind w:right="200"/>
        <w:spacing w:after="0" w:line="274" w:lineRule="auto"/>
        <w:rPr>
          <w:rFonts w:ascii="Arial" w:cs="Arial" w:eastAsia="Arial" w:hAnsi="Arial"/>
          <w:sz w:val="16"/>
          <w:szCs w:val="16"/>
          <w:color w:val="auto"/>
        </w:rPr>
      </w:pPr>
      <w:r>
        <w:rPr>
          <w:rFonts w:ascii="Arial" w:cs="Arial" w:eastAsia="Arial" w:hAnsi="Arial"/>
          <w:sz w:val="18"/>
          <w:szCs w:val="18"/>
          <w:color w:val="auto"/>
        </w:rPr>
        <w:t>2 Amount to be adjusted by the counterparties to take into account any payments or prepayments made between the Trade Date and the Effective Date.</w:t>
      </w:r>
    </w:p>
    <w:p>
      <w:pPr>
        <w:spacing w:after="0"/>
        <w:rPr>
          <w:rFonts w:ascii="Arial" w:cs="Arial" w:eastAsia="Arial" w:hAnsi="Arial"/>
          <w:sz w:val="16"/>
          <w:szCs w:val="16"/>
          <w:color w:val="auto"/>
        </w:rPr>
      </w:pPr>
      <w:r>
        <w:rPr>
          <w:rFonts w:ascii="Arial" w:cs="Arial" w:eastAsia="Arial" w:hAnsi="Arial"/>
          <w:sz w:val="18"/>
          <w:szCs w:val="18"/>
          <w:color w:val="auto"/>
        </w:rPr>
        <w:t>3Set forth, to at least 9 decimals, as a percentage of the Commitment/Loans of all Lenders thereunder.</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 C-2</w:t>
      </w:r>
    </w:p>
    <w:p>
      <w:pPr>
        <w:sectPr>
          <w:pgSz w:w="11900" w:h="16838" w:orient="portrait"/>
          <w:cols w:equalWidth="0" w:num="1">
            <w:col w:w="11160"/>
          </w:cols>
          <w:pgMar w:left="320" w:top="530" w:right="419" w:bottom="1440" w:gutter="0" w:footer="0" w:header="0"/>
        </w:sectPr>
      </w:pPr>
    </w:p>
    <w:bookmarkStart w:id="222" w:name="page223"/>
    <w:bookmarkEnd w:id="222"/>
    <w:p>
      <w:pPr>
        <w:spacing w:after="0"/>
        <w:rPr>
          <w:sz w:val="20"/>
          <w:szCs w:val="20"/>
          <w:color w:val="auto"/>
        </w:rPr>
      </w:pPr>
      <w:r>
        <w:rPr>
          <w:rFonts w:ascii="Arial" w:cs="Arial" w:eastAsia="Arial" w:hAnsi="Arial"/>
          <w:sz w:val="22"/>
          <w:szCs w:val="22"/>
          <w:color w:val="auto"/>
        </w:rPr>
        <w:t>Consented to and Accepted:</w:t>
      </w:r>
    </w:p>
    <w:p>
      <w:pPr>
        <w:spacing w:after="0" w:line="314"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U.S.</w:t>
      </w:r>
      <w:r>
        <w:rPr>
          <w:sz w:val="20"/>
          <w:szCs w:val="20"/>
          <w:color w:val="auto"/>
        </w:rPr>
        <w:tab/>
      </w:r>
      <w:r>
        <w:rPr>
          <w:rFonts w:ascii="Arial" w:cs="Arial" w:eastAsia="Arial" w:hAnsi="Arial"/>
          <w:sz w:val="21"/>
          <w:szCs w:val="21"/>
          <w:color w:val="auto"/>
        </w:rPr>
        <w:t>BANK NATIONAL ASSOCIATION, as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Administrative Agent</w:t>
      </w:r>
    </w:p>
    <w:p>
      <w:pPr>
        <w:spacing w:after="0" w:line="310"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By:_</w:t>
      </w:r>
      <w:r>
        <w:rPr>
          <w:sz w:val="20"/>
          <w:szCs w:val="20"/>
          <w:color w:val="auto"/>
        </w:rPr>
        <w:tab/>
      </w: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-17780</wp:posOffset>
            </wp:positionV>
            <wp:extent cx="1714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5">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4099"/>
        <w:spacing w:after="0"/>
        <w:rPr>
          <w:sz w:val="20"/>
          <w:szCs w:val="20"/>
          <w:color w:val="auto"/>
        </w:rPr>
      </w:pPr>
      <w:r>
        <w:rPr>
          <w:rFonts w:ascii="Arial" w:cs="Arial" w:eastAsia="Arial" w:hAnsi="Arial"/>
          <w:sz w:val="20"/>
          <w:szCs w:val="20"/>
          <w:color w:val="auto"/>
        </w:rPr>
        <w:t>EXH. C-3</w:t>
      </w:r>
    </w:p>
    <w:p>
      <w:pPr>
        <w:sectPr>
          <w:pgSz w:w="11900" w:h="16838" w:orient="portrait"/>
          <w:cols w:equalWidth="0" w:num="1">
            <w:col w:w="10139"/>
          </w:cols>
          <w:pgMar w:left="320" w:top="564" w:right="1440" w:bottom="1440" w:gutter="0" w:footer="0" w:header="0"/>
        </w:sectPr>
      </w:pPr>
    </w:p>
    <w:bookmarkStart w:id="223" w:name="page224"/>
    <w:bookmarkEnd w:id="223"/>
    <w:p>
      <w:pPr>
        <w:ind w:left="5124"/>
        <w:spacing w:after="0"/>
        <w:rPr>
          <w:sz w:val="20"/>
          <w:szCs w:val="20"/>
          <w:color w:val="auto"/>
        </w:rPr>
      </w:pPr>
      <w:r>
        <w:rPr>
          <w:rFonts w:ascii="Arial" w:cs="Arial" w:eastAsia="Arial" w:hAnsi="Arial"/>
          <w:sz w:val="22"/>
          <w:szCs w:val="22"/>
          <w:b w:val="1"/>
          <w:bCs w:val="1"/>
          <w:u w:val="single" w:color="auto"/>
          <w:color w:val="auto"/>
        </w:rPr>
        <w:t>ANNEX 1</w:t>
      </w:r>
    </w:p>
    <w:p>
      <w:pPr>
        <w:spacing w:after="0" w:line="28" w:lineRule="exact"/>
        <w:rPr>
          <w:sz w:val="20"/>
          <w:szCs w:val="20"/>
          <w:color w:val="auto"/>
        </w:rPr>
      </w:pPr>
    </w:p>
    <w:p>
      <w:pPr>
        <w:ind w:left="3504"/>
        <w:spacing w:after="0"/>
        <w:rPr>
          <w:sz w:val="20"/>
          <w:szCs w:val="20"/>
          <w:color w:val="auto"/>
        </w:rPr>
      </w:pPr>
      <w:r>
        <w:rPr>
          <w:rFonts w:ascii="Arial" w:cs="Arial" w:eastAsia="Arial" w:hAnsi="Arial"/>
          <w:sz w:val="22"/>
          <w:szCs w:val="22"/>
          <w:b w:val="1"/>
          <w:bCs w:val="1"/>
          <w:color w:val="auto"/>
        </w:rPr>
        <w:t>TERMS AND CONDITIONS FOR ASSIGNMENT AND ASSUMPTION</w:t>
      </w:r>
    </w:p>
    <w:p>
      <w:pPr>
        <w:spacing w:after="0" w:line="215" w:lineRule="exact"/>
        <w:rPr>
          <w:sz w:val="20"/>
          <w:szCs w:val="20"/>
          <w:color w:val="auto"/>
        </w:rPr>
      </w:pPr>
    </w:p>
    <w:p>
      <w:pPr>
        <w:ind w:left="1624" w:hanging="341"/>
        <w:spacing w:after="0"/>
        <w:tabs>
          <w:tab w:leader="none" w:pos="1624"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w:t>
      </w:r>
    </w:p>
    <w:p>
      <w:pPr>
        <w:spacing w:after="0" w:line="220" w:lineRule="exact"/>
        <w:rPr>
          <w:sz w:val="20"/>
          <w:szCs w:val="20"/>
          <w:color w:val="auto"/>
        </w:rPr>
      </w:pPr>
    </w:p>
    <w:p>
      <w:pPr>
        <w:jc w:val="both"/>
        <w:ind w:left="4" w:firstLine="1297"/>
        <w:spacing w:after="0" w:line="257"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Assignor</w:t>
      </w:r>
      <w:r>
        <w:rPr>
          <w:rFonts w:ascii="Arial" w:cs="Arial" w:eastAsia="Arial" w:hAnsi="Arial"/>
          <w:sz w:val="21"/>
          <w:szCs w:val="21"/>
          <w:color w:val="auto"/>
        </w:rPr>
        <w:t>. The Assignor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Neither the Assignor nor any of its officers, directors, employees, agents or attorneys shall be responsible for (i) any statements, warranties or representations made in or in connection with the Credit Agreement or any other Loan Document, (ii) the execution, legality, validity, enforceability, genuineness, sufficiency, perfection, priority, collectibility, or value of the Loan Documents or any collateral thereunder,</w:t>
      </w:r>
    </w:p>
    <w:p>
      <w:pPr>
        <w:spacing w:after="0" w:line="4" w:lineRule="exact"/>
        <w:rPr>
          <w:sz w:val="20"/>
          <w:szCs w:val="20"/>
          <w:color w:val="auto"/>
        </w:rPr>
      </w:pPr>
    </w:p>
    <w:p>
      <w:pPr>
        <w:jc w:val="both"/>
        <w:ind w:left="4" w:hanging="4"/>
        <w:spacing w:after="0" w:line="244" w:lineRule="auto"/>
        <w:tabs>
          <w:tab w:leader="none" w:pos="72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the financial condition of the Borrower, any of its Subsidiaries or Affiliates or any other Person obligated in respect of any Loan Document, (iv) the performance or observance by the Borrower, any of its Subsidiaries or Affiliates or any other Person of any of their respective obligations under any Loan Documents, (v) inspecting any of the Property, books or records of the Borrower, or any Guarantor, or (vi) any mistake, error of judgment, or action taken or omitted to be taken in connection with the Loans or the Loan Documents.</w:t>
      </w:r>
    </w:p>
    <w:p>
      <w:pPr>
        <w:spacing w:after="0" w:line="236" w:lineRule="exact"/>
        <w:rPr>
          <w:sz w:val="20"/>
          <w:szCs w:val="20"/>
          <w:color w:val="auto"/>
        </w:rPr>
      </w:pPr>
    </w:p>
    <w:p>
      <w:pPr>
        <w:jc w:val="both"/>
        <w:ind w:left="4" w:firstLine="1297"/>
        <w:spacing w:after="0" w:line="285"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Assignee</w:t>
      </w:r>
      <w:r>
        <w:rPr>
          <w:rFonts w:ascii="Arial" w:cs="Arial" w:eastAsia="Arial" w:hAnsi="Arial"/>
          <w:sz w:val="19"/>
          <w:szCs w:val="19"/>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from and after the Effective Date, it shall be bound by the provisions of the Credit Agreement as a Lender thereunder and, to the extent of the Assigned Interest, shall have the obligations of a Lender thereunder, (iii) agrees that its payment instructions and notice instructions are as set forth in Schedule 1 to this Assignment and Assumption, (iv) confirms that none of the funds, monies, assets or other consideration being used to make the purchase and assumption hereunder are “plan assets” as defined under ERISA and that its rights, benefits and interests in and under the Loan Documents will not be “plan assets” under ERISA, (v) agrees to indemnify and hold the Assignor harmless against all losses, costs and expenses (including, without limitation, reasonable attorneys’ fees) and liabilities incurred by the Assignor in connection with or arising in any manner from the Assignee’s non- performance of the obligations assumed under this Assignment and Assumption, (vi) it has received a copy of the Credit Agreement, together with copies of financial statements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(vii) attached as Schedule 1 to this Assignment and Assumption is any documentation required to be delivered by the Assignee with respect to its tax status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w:t>
      </w:r>
    </w:p>
    <w:p>
      <w:pPr>
        <w:spacing w:after="0" w:line="169"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4"/>
          </w:cols>
          <w:pgMar w:left="356" w:top="437" w:right="239" w:bottom="1440" w:gutter="0" w:footer="0" w:header="0"/>
        </w:sectPr>
      </w:pPr>
    </w:p>
    <w:bookmarkStart w:id="224" w:name="page225"/>
    <w:bookmarkEnd w:id="224"/>
    <w:p>
      <w:pPr>
        <w:spacing w:after="0"/>
        <w:rPr>
          <w:sz w:val="20"/>
          <w:szCs w:val="20"/>
          <w:color w:val="auto"/>
        </w:rPr>
      </w:pPr>
      <w:r>
        <w:rPr>
          <w:rFonts w:ascii="Arial" w:cs="Arial" w:eastAsia="Arial" w:hAnsi="Arial"/>
          <w:sz w:val="19"/>
          <w:szCs w:val="19"/>
          <w:color w:val="auto"/>
        </w:rPr>
        <w:t>their terms all of the obligations which by the terms of the Loan Documents are required to be performed by it as a Lender.</w:t>
      </w:r>
    </w:p>
    <w:p>
      <w:pPr>
        <w:spacing w:after="0" w:line="295" w:lineRule="exact"/>
        <w:rPr>
          <w:sz w:val="20"/>
          <w:szCs w:val="20"/>
          <w:color w:val="auto"/>
        </w:rPr>
      </w:pPr>
    </w:p>
    <w:p>
      <w:pPr>
        <w:jc w:val="both"/>
        <w:ind w:firstLine="1306"/>
        <w:spacing w:after="0" w:line="251" w:lineRule="auto"/>
        <w:tabs>
          <w:tab w:leader="none" w:pos="1693"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Payments</w:t>
      </w:r>
      <w:r>
        <w:rPr>
          <w:rFonts w:ascii="Arial" w:cs="Arial" w:eastAsia="Arial" w:hAnsi="Arial"/>
          <w:sz w:val="22"/>
          <w:szCs w:val="22"/>
          <w:color w:val="auto"/>
        </w:rPr>
        <w:t>. The Assignee shall pay the Assignor, on the Effective Date, the amount agreed to by the Assignor and the Assignee. From and after the Effective Date, the Administrative Agent shall make all payments in respect of the Assigned Interest (including payments of principal, interest, Reimbursement Obligations, fees and other amounts) to the Assignor for amounts which have accrued to but excluding the Effective Date and to the Assignee for amounts which have accrued from and after the Effective Date.</w:t>
      </w:r>
    </w:p>
    <w:p>
      <w:pPr>
        <w:spacing w:after="0" w:line="230" w:lineRule="exact"/>
        <w:rPr>
          <w:rFonts w:ascii="Arial" w:cs="Arial" w:eastAsia="Arial" w:hAnsi="Arial"/>
          <w:sz w:val="22"/>
          <w:szCs w:val="22"/>
          <w:color w:val="auto"/>
        </w:rPr>
      </w:pPr>
    </w:p>
    <w:p>
      <w:pPr>
        <w:jc w:val="both"/>
        <w:ind w:firstLine="1306"/>
        <w:spacing w:after="0" w:line="250" w:lineRule="auto"/>
        <w:tabs>
          <w:tab w:leader="none" w:pos="1706"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General Provisions</w:t>
      </w:r>
      <w:r>
        <w:rPr>
          <w:rFonts w:ascii="Arial" w:cs="Arial" w:eastAsia="Arial" w:hAnsi="Arial"/>
          <w:sz w:val="22"/>
          <w:szCs w:val="22"/>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California.</w:t>
      </w:r>
    </w:p>
    <w:p>
      <w:pPr>
        <w:spacing w:after="0" w:line="200" w:lineRule="exact"/>
        <w:rPr>
          <w:sz w:val="20"/>
          <w:szCs w:val="20"/>
          <w:color w:val="auto"/>
        </w:rPr>
      </w:pP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320" w:top="442" w:right="239" w:bottom="1440" w:gutter="0" w:footer="0" w:header="0"/>
        </w:sectPr>
      </w:pPr>
    </w:p>
    <w:bookmarkStart w:id="225" w:name="page226"/>
    <w:bookmarkEnd w:id="225"/>
    <w:p>
      <w:pPr>
        <w:ind w:left="6760"/>
        <w:spacing w:after="0"/>
        <w:rPr>
          <w:sz w:val="20"/>
          <w:szCs w:val="20"/>
          <w:color w:val="auto"/>
        </w:rPr>
      </w:pPr>
      <w:r>
        <w:rPr>
          <w:rFonts w:ascii="Arial" w:cs="Arial" w:eastAsia="Arial" w:hAnsi="Arial"/>
          <w:sz w:val="22"/>
          <w:szCs w:val="22"/>
          <w:b w:val="1"/>
          <w:bCs w:val="1"/>
          <w:u w:val="single" w:color="auto"/>
          <w:color w:val="auto"/>
        </w:rPr>
        <w:t>EXHIBIT D-1</w:t>
      </w:r>
    </w:p>
    <w:p>
      <w:pPr>
        <w:spacing w:after="0" w:line="314"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FORM OF BORROWING NOTICE</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TO: U.S. Bank National Association, as administrative agent (the “Administrative Agent”) under that certain Second Amended and Restated Credit Agreement (as amended, restated, supplemented or otherwise modified from time to time, the “Credit Agreement”), dated as of October , 2017 by and among Universal Electronics Inc. (the “Borrower”), the financial institutions party thereto, as lenders (the “Lenders”), and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1887220</wp:posOffset>
            </wp:positionH>
            <wp:positionV relativeFrom="paragraph">
              <wp:posOffset>-200660</wp:posOffset>
            </wp:positionV>
            <wp:extent cx="1714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6">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Capitalized terms used herein shall have the meanings ascribed to such terms in the Credit Agreement.</w:t>
      </w:r>
    </w:p>
    <w:p>
      <w:pPr>
        <w:spacing w:after="0" w:line="272" w:lineRule="exact"/>
        <w:rPr>
          <w:sz w:val="20"/>
          <w:szCs w:val="20"/>
          <w:color w:val="auto"/>
        </w:rPr>
      </w:pPr>
    </w:p>
    <w:p>
      <w:pPr>
        <w:ind w:firstLine="1297"/>
        <w:spacing w:after="0" w:line="287" w:lineRule="auto"/>
        <w:rPr>
          <w:sz w:val="20"/>
          <w:szCs w:val="20"/>
          <w:color w:val="auto"/>
        </w:rPr>
      </w:pPr>
      <w:r>
        <w:rPr>
          <w:rFonts w:ascii="Arial" w:cs="Arial" w:eastAsia="Arial" w:hAnsi="Arial"/>
          <w:sz w:val="21"/>
          <w:szCs w:val="21"/>
          <w:color w:val="auto"/>
        </w:rPr>
        <w:t>The undersigned Borrower hereby gives to the Administrative Agent a request for borrowing pursuant to Section 2.8 of the Credit Agreement, and the Borrower hereby requests to borrow on [ ], 20[ ] (the “Borrowing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-60960</wp:posOffset>
            </wp:positionV>
            <wp:extent cx="1371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2" w:lineRule="exact"/>
        <w:rPr>
          <w:sz w:val="20"/>
          <w:szCs w:val="20"/>
          <w:color w:val="auto"/>
        </w:rPr>
      </w:pPr>
    </w:p>
    <w:p>
      <w:pPr>
        <w:ind w:left="640" w:right="3780" w:firstLine="4"/>
        <w:spacing w:after="0" w:line="263" w:lineRule="auto"/>
        <w:tabs>
          <w:tab w:leader="none" w:pos="1393" w:val="left"/>
        </w:tabs>
        <w:numPr>
          <w:ilvl w:val="0"/>
          <w:numId w:val="145"/>
        </w:numPr>
        <w:rPr>
          <w:rFonts w:ascii="Arial" w:cs="Arial" w:eastAsia="Arial" w:hAnsi="Arial"/>
          <w:sz w:val="22"/>
          <w:szCs w:val="22"/>
          <w:color w:val="auto"/>
        </w:rPr>
      </w:pPr>
      <w:r>
        <w:rPr>
          <w:rFonts w:ascii="Arial" w:cs="Arial" w:eastAsia="Arial" w:hAnsi="Arial"/>
          <w:sz w:val="22"/>
          <w:szCs w:val="22"/>
          <w:color w:val="auto"/>
        </w:rPr>
        <w:t>from the Lenders, on a pro rata basis, an aggregate principal amount of $[ ] in Revolving Loans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wp:posOffset>
            </wp:positionH>
            <wp:positionV relativeFrom="paragraph">
              <wp:posOffset>-46355</wp:posOffset>
            </wp:positionV>
            <wp:extent cx="137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5" w:lineRule="exact"/>
        <w:rPr>
          <w:sz w:val="20"/>
          <w:szCs w:val="20"/>
          <w:color w:val="auto"/>
        </w:rPr>
      </w:pPr>
    </w:p>
    <w:p>
      <w:pPr>
        <w:ind w:left="1920" w:hanging="627"/>
        <w:spacing w:after="0"/>
        <w:tabs>
          <w:tab w:leader="none" w:pos="192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a Base Rate Advance (in Dollars)</w:t>
      </w:r>
    </w:p>
    <w:p>
      <w:pPr>
        <w:spacing w:after="0" w:line="83" w:lineRule="exact"/>
        <w:rPr>
          <w:sz w:val="20"/>
          <w:szCs w:val="20"/>
          <w:color w:val="auto"/>
        </w:rPr>
      </w:pPr>
    </w:p>
    <w:tbl>
      <w:tblPr>
        <w:tblLayout w:type="fixed"/>
        <w:tblInd w:w="700" w:type="dxa"/>
        <w:tblCellMar>
          <w:top w:w="0" w:type="dxa"/>
          <w:left w:w="0" w:type="dxa"/>
          <w:bottom w:w="0" w:type="dxa"/>
          <w:right w:w="0" w:type="dxa"/>
        </w:tblCellMar>
      </w:tblPr>
      <w:tr>
        <w:trPr>
          <w:trHeight w:val="253"/>
        </w:trPr>
        <w:tc>
          <w:tcPr>
            <w:tcW w:w="420" w:type="dxa"/>
            <w:vAlign w:val="bottom"/>
          </w:tcPr>
          <w:p>
            <w:pPr>
              <w:spacing w:after="0"/>
              <w:rPr>
                <w:sz w:val="21"/>
                <w:szCs w:val="21"/>
                <w:color w:val="auto"/>
              </w:rPr>
            </w:pPr>
          </w:p>
        </w:tc>
        <w:tc>
          <w:tcPr>
            <w:tcW w:w="560" w:type="dxa"/>
            <w:vAlign w:val="bottom"/>
          </w:tcPr>
          <w:p>
            <w:pPr>
              <w:jc w:val="right"/>
              <w:ind w:right="112"/>
              <w:spacing w:after="0"/>
              <w:rPr>
                <w:sz w:val="20"/>
                <w:szCs w:val="20"/>
                <w:color w:val="auto"/>
              </w:rPr>
            </w:pPr>
            <w:r>
              <w:rPr>
                <w:rFonts w:ascii="Arial" w:cs="Arial" w:eastAsia="Arial" w:hAnsi="Arial"/>
                <w:sz w:val="22"/>
                <w:szCs w:val="22"/>
                <w:color w:val="auto"/>
              </w:rPr>
              <w:t>2.</w:t>
            </w:r>
          </w:p>
        </w:tc>
        <w:tc>
          <w:tcPr>
            <w:tcW w:w="5380" w:type="dxa"/>
            <w:vAlign w:val="bottom"/>
          </w:tcPr>
          <w:p>
            <w:pPr>
              <w:jc w:val="right"/>
              <w:spacing w:after="0"/>
              <w:rPr>
                <w:sz w:val="20"/>
                <w:szCs w:val="20"/>
                <w:color w:val="auto"/>
              </w:rPr>
            </w:pPr>
            <w:r>
              <w:rPr>
                <w:rFonts w:ascii="Arial" w:cs="Arial" w:eastAsia="Arial" w:hAnsi="Arial"/>
                <w:sz w:val="22"/>
                <w:szCs w:val="22"/>
                <w:color w:val="auto"/>
                <w:w w:val="94"/>
              </w:rPr>
              <w:t>a Eurocurrency Advance with the following characteristics:</w:t>
            </w:r>
          </w:p>
        </w:tc>
        <w:tc>
          <w:tcPr>
            <w:tcW w:w="2800" w:type="dxa"/>
            <w:vAlign w:val="bottom"/>
            <w:gridSpan w:val="4"/>
          </w:tcPr>
          <w:p>
            <w:pPr>
              <w:ind w:left="60"/>
              <w:spacing w:after="0"/>
              <w:rPr>
                <w:sz w:val="20"/>
                <w:szCs w:val="20"/>
                <w:color w:val="auto"/>
              </w:rPr>
            </w:pPr>
            <w:r>
              <w:rPr>
                <w:rFonts w:ascii="Arial" w:cs="Arial" w:eastAsia="Arial" w:hAnsi="Arial"/>
                <w:sz w:val="22"/>
                <w:szCs w:val="22"/>
                <w:color w:val="auto"/>
                <w:w w:val="93"/>
              </w:rPr>
              <w:t>Interest Period of [  ] month(s)</w:t>
            </w:r>
          </w:p>
        </w:tc>
      </w:tr>
      <w:tr>
        <w:trPr>
          <w:trHeight w:val="20"/>
        </w:trPr>
        <w:tc>
          <w:tcPr>
            <w:tcW w:w="420" w:type="dxa"/>
            <w:vAlign w:val="bottom"/>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45"/>
        </w:trPr>
        <w:tc>
          <w:tcPr>
            <w:tcW w:w="420" w:type="dxa"/>
            <w:vAlign w:val="bottom"/>
          </w:tcPr>
          <w:p>
            <w:pPr>
              <w:spacing w:after="0"/>
              <w:rPr>
                <w:sz w:val="20"/>
                <w:szCs w:val="20"/>
                <w:color w:val="auto"/>
              </w:rPr>
            </w:pPr>
            <w:r>
              <w:rPr>
                <w:rFonts w:ascii="Arial" w:cs="Arial" w:eastAsia="Arial" w:hAnsi="Arial"/>
                <w:sz w:val="22"/>
                <w:szCs w:val="22"/>
                <w:color w:val="auto"/>
              </w:rPr>
              <w:t>(b)</w:t>
            </w:r>
          </w:p>
        </w:tc>
        <w:tc>
          <w:tcPr>
            <w:tcW w:w="5940" w:type="dxa"/>
            <w:vAlign w:val="bottom"/>
            <w:gridSpan w:val="2"/>
          </w:tcPr>
          <w:p>
            <w:pPr>
              <w:jc w:val="right"/>
              <w:spacing w:after="0"/>
              <w:rPr>
                <w:sz w:val="20"/>
                <w:szCs w:val="20"/>
                <w:color w:val="auto"/>
              </w:rPr>
            </w:pPr>
            <w:r>
              <w:rPr>
                <w:rFonts w:ascii="Arial" w:cs="Arial" w:eastAsia="Arial" w:hAnsi="Arial"/>
                <w:sz w:val="22"/>
                <w:szCs w:val="22"/>
                <w:color w:val="auto"/>
                <w:w w:val="94"/>
              </w:rPr>
              <w:t>from the Swing Line Lender, a Swing Line Loan (in Dollars) of $[</w:t>
            </w:r>
          </w:p>
        </w:tc>
        <w:tc>
          <w:tcPr>
            <w:tcW w:w="220" w:type="dxa"/>
            <w:vAlign w:val="bottom"/>
            <w:tcBorders>
              <w:bottom w:val="single" w:sz="8" w:color="auto"/>
            </w:tcBorders>
          </w:tcPr>
          <w:p>
            <w:pPr>
              <w:spacing w:after="0"/>
              <w:rPr>
                <w:sz w:val="24"/>
                <w:szCs w:val="24"/>
                <w:color w:val="auto"/>
              </w:rPr>
            </w:pPr>
          </w:p>
        </w:tc>
        <w:tc>
          <w:tcPr>
            <w:tcW w:w="2580" w:type="dxa"/>
            <w:vAlign w:val="bottom"/>
            <w:gridSpan w:val="3"/>
          </w:tcPr>
          <w:p>
            <w:pPr>
              <w:spacing w:after="0"/>
              <w:rPr>
                <w:sz w:val="20"/>
                <w:szCs w:val="20"/>
                <w:color w:val="auto"/>
              </w:rPr>
            </w:pPr>
            <w:r>
              <w:rPr>
                <w:rFonts w:ascii="Arial" w:cs="Arial" w:eastAsia="Arial" w:hAnsi="Arial"/>
                <w:sz w:val="22"/>
                <w:szCs w:val="22"/>
                <w:color w:val="auto"/>
              </w:rPr>
              <w:t>] bearing interest at:</w:t>
            </w:r>
          </w:p>
        </w:tc>
      </w:tr>
    </w:tbl>
    <w:p>
      <w:pPr>
        <w:spacing w:after="0" w:line="276" w:lineRule="exact"/>
        <w:rPr>
          <w:sz w:val="20"/>
          <w:szCs w:val="20"/>
          <w:color w:val="auto"/>
        </w:rPr>
      </w:pPr>
    </w:p>
    <w:p>
      <w:pPr>
        <w:ind w:left="1920" w:hanging="627"/>
        <w:spacing w:after="0"/>
        <w:tabs>
          <w:tab w:leader="none" w:pos="192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Base Rate</w:t>
      </w:r>
    </w:p>
    <w:p>
      <w:pPr>
        <w:spacing w:after="0" w:line="260" w:lineRule="exact"/>
        <w:rPr>
          <w:sz w:val="20"/>
          <w:szCs w:val="20"/>
          <w:color w:val="auto"/>
        </w:rPr>
      </w:pPr>
    </w:p>
    <w:p>
      <w:pPr>
        <w:ind w:left="1300"/>
        <w:spacing w:after="0"/>
        <w:tabs>
          <w:tab w:leader="none" w:pos="1900" w:val="left"/>
          <w:tab w:leader="none" w:pos="484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22"/>
          <w:szCs w:val="22"/>
          <w:color w:val="auto"/>
        </w:rPr>
        <w:t>Mutually agreed interest rate of</w:t>
      </w:r>
      <w:r>
        <w:rPr>
          <w:sz w:val="20"/>
          <w:szCs w:val="20"/>
          <w:color w:val="auto"/>
        </w:rPr>
        <w:tab/>
      </w:r>
      <w:r>
        <w:rPr>
          <w:rFonts w:ascii="Arial" w:cs="Arial" w:eastAsia="Arial" w:hAnsi="Arial"/>
          <w:sz w:val="19"/>
          <w:szCs w:val="19"/>
          <w:color w:val="auto"/>
        </w:rPr>
        <w:t>%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-17780</wp:posOffset>
            </wp:positionV>
            <wp:extent cx="1371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The undersigned hereby certifies to the Administrative Agent and the Lenders that (i) the representations and warranties contained in Article V of the Credit Agreement are (a) with respect to any representations or warranties that contain a materiality qualifier, true and correct in all respects as of the date hereof, except to the extent any such representation or warranty is stated to relate solely to an earlier date, in which case such representation or warranty shall have been true and correct in all respects on and as of such earlier date and (b) with respect to any representations or warranties that do not contain a materiality qualifier, true and correct in all material respects as of the date hereof, except to the extent any such representation or warranty is stated to relate solely to an earlier date, in which case such representation or warranty shall have been true and correct in all material respects on and as of such earlier date; (ii) at the time of and immediately after giving effect to such Advance, no Default or Event of Default shall have occurred and be continuing; and (iii) all other relevant conditions set forth in Section 4.2 of the Credit Agreement have been satisfied.</w:t>
      </w:r>
    </w:p>
    <w:p>
      <w:pPr>
        <w:spacing w:after="0" w:line="191"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EXH. D-1-1</w:t>
      </w:r>
    </w:p>
    <w:p>
      <w:pPr>
        <w:sectPr>
          <w:pgSz w:w="11900" w:h="16838" w:orient="portrait"/>
          <w:cols w:equalWidth="0" w:num="1">
            <w:col w:w="11300"/>
          </w:cols>
          <w:pgMar w:left="360" w:top="436" w:right="239" w:bottom="1440" w:gutter="0" w:footer="0" w:header="0"/>
        </w:sectPr>
      </w:pPr>
    </w:p>
    <w:bookmarkStart w:id="226" w:name="page227"/>
    <w:bookmarkEnd w:id="226"/>
    <w:p>
      <w:pPr>
        <w:ind w:firstLine="1297"/>
        <w:spacing w:after="0" w:line="263" w:lineRule="auto"/>
        <w:rPr>
          <w:sz w:val="20"/>
          <w:szCs w:val="20"/>
          <w:color w:val="auto"/>
        </w:rPr>
      </w:pPr>
      <w:r>
        <w:rPr>
          <w:rFonts w:ascii="Arial" w:cs="Arial" w:eastAsia="Arial" w:hAnsi="Arial"/>
          <w:sz w:val="22"/>
          <w:szCs w:val="22"/>
          <w:color w:val="auto"/>
        </w:rPr>
        <w:t>IN WITNESS WHEREOF, the undersigned has caused this Borrowing Notice to be executed by its authorized officer as of the date set forth below.</w:t>
      </w:r>
    </w:p>
    <w:p>
      <w:pPr>
        <w:spacing w:after="0" w:line="215"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Dated: [</w:t>
      </w:r>
      <w:r>
        <w:rPr>
          <w:sz w:val="20"/>
          <w:szCs w:val="20"/>
          <w:color w:val="auto"/>
        </w:rPr>
        <w:tab/>
      </w:r>
      <w:r>
        <w:rPr>
          <w:rFonts w:ascii="Arial" w:cs="Arial" w:eastAsia="Arial" w:hAnsi="Arial"/>
          <w:sz w:val="21"/>
          <w:szCs w:val="21"/>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-17780</wp:posOffset>
            </wp:positionV>
            <wp:extent cx="1371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0"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UNIVERSAL ELECTRONICS INC.</w:t>
      </w:r>
    </w:p>
    <w:p>
      <w:pPr>
        <w:spacing w:after="0" w:line="200" w:lineRule="exact"/>
        <w:rPr>
          <w:sz w:val="20"/>
          <w:szCs w:val="20"/>
          <w:color w:val="auto"/>
        </w:rPr>
      </w:pPr>
    </w:p>
    <w:p>
      <w:pPr>
        <w:spacing w:after="0" w:line="290" w:lineRule="exact"/>
        <w:rPr>
          <w:sz w:val="20"/>
          <w:szCs w:val="20"/>
          <w:color w:val="auto"/>
        </w:rPr>
      </w:pPr>
    </w:p>
    <w:p>
      <w:pPr>
        <w:jc w:val="center"/>
        <w:ind w:right="-439"/>
        <w:spacing w:after="0"/>
        <w:rPr>
          <w:sz w:val="20"/>
          <w:szCs w:val="20"/>
          <w:color w:val="auto"/>
        </w:rPr>
      </w:pPr>
      <w:r>
        <w:rPr>
          <w:rFonts w:ascii="Arial" w:cs="Arial" w:eastAsia="Arial" w:hAnsi="Arial"/>
          <w:sz w:val="22"/>
          <w:szCs w:val="22"/>
          <w:color w:val="auto"/>
        </w:rPr>
        <w:t>By: _Name:</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19"/>
        <w:spacing w:after="0"/>
        <w:rPr>
          <w:sz w:val="20"/>
          <w:szCs w:val="20"/>
          <w:color w:val="auto"/>
        </w:rPr>
      </w:pPr>
      <w:r>
        <w:rPr>
          <w:rFonts w:ascii="Arial" w:cs="Arial" w:eastAsia="Arial" w:hAnsi="Arial"/>
          <w:sz w:val="20"/>
          <w:szCs w:val="20"/>
          <w:color w:val="auto"/>
        </w:rPr>
        <w:t>EXH. D-2-1</w:t>
      </w:r>
    </w:p>
    <w:p>
      <w:pPr>
        <w:sectPr>
          <w:pgSz w:w="11900" w:h="16838" w:orient="portrait"/>
          <w:cols w:equalWidth="0" w:num="1">
            <w:col w:w="10860"/>
          </w:cols>
          <w:pgMar w:left="320" w:top="442" w:right="719" w:bottom="1440" w:gutter="0" w:footer="0" w:header="0"/>
        </w:sectPr>
      </w:pPr>
    </w:p>
    <w:bookmarkStart w:id="227" w:name="page228"/>
    <w:bookmarkEnd w:id="227"/>
    <w:p>
      <w:pPr>
        <w:ind w:left="6880"/>
        <w:spacing w:after="0"/>
        <w:rPr>
          <w:sz w:val="20"/>
          <w:szCs w:val="20"/>
          <w:color w:val="auto"/>
        </w:rPr>
      </w:pPr>
      <w:r>
        <w:rPr>
          <w:rFonts w:ascii="Arial" w:cs="Arial" w:eastAsia="Arial" w:hAnsi="Arial"/>
          <w:sz w:val="22"/>
          <w:szCs w:val="22"/>
          <w:b w:val="1"/>
          <w:bCs w:val="1"/>
          <w:u w:val="single" w:color="auto"/>
          <w:color w:val="auto"/>
        </w:rPr>
        <w:t>EXHIBIT D-2</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FORM OF CONVERSION/CONTINUATION NOTICE</w:t>
      </w:r>
      <w:r>
        <w:rPr>
          <w:rFonts w:ascii="Arial" w:cs="Arial" w:eastAsia="Arial" w:hAnsi="Arial"/>
          <w:sz w:val="17"/>
          <w:szCs w:val="17"/>
          <w:b w:val="1"/>
          <w:bCs w:val="1"/>
          <w:color w:val="auto"/>
          <w:vertAlign w:val="superscript"/>
        </w:rPr>
        <w:t>4</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20"/>
        <w:spacing w:after="0" w:line="250" w:lineRule="auto"/>
        <w:rPr>
          <w:sz w:val="20"/>
          <w:szCs w:val="20"/>
          <w:color w:val="auto"/>
        </w:rPr>
      </w:pPr>
      <w:r>
        <w:rPr>
          <w:rFonts w:ascii="Arial" w:cs="Arial" w:eastAsia="Arial" w:hAnsi="Arial"/>
          <w:sz w:val="22"/>
          <w:szCs w:val="22"/>
          <w:color w:val="auto"/>
        </w:rPr>
        <w:t>TO: U.S. Bank National Association, as administrative agent (the “Administrative Agent”) under that certain Second Amended and Restated Credit Agreement (as amended, restated, supplemented or otherwise modified from time to time, the “Credit Agreement”), dated as of October , 2017 by and among Universal Electronics Inc. (the “Borrower”), the financial institutions party thereto, as lenders (the “Lenders”), and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1963420</wp:posOffset>
            </wp:positionH>
            <wp:positionV relativeFrom="paragraph">
              <wp:posOffset>-200660</wp:posOffset>
            </wp:positionV>
            <wp:extent cx="1714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1">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9" w:lineRule="exact"/>
        <w:rPr>
          <w:sz w:val="20"/>
          <w:szCs w:val="20"/>
          <w:color w:val="auto"/>
        </w:rPr>
      </w:pPr>
    </w:p>
    <w:p>
      <w:pPr>
        <w:ind w:left="1420"/>
        <w:spacing w:after="0"/>
        <w:rPr>
          <w:sz w:val="20"/>
          <w:szCs w:val="20"/>
          <w:color w:val="auto"/>
        </w:rPr>
      </w:pPr>
      <w:r>
        <w:rPr>
          <w:rFonts w:ascii="Arial" w:cs="Arial" w:eastAsia="Arial" w:hAnsi="Arial"/>
          <w:sz w:val="21"/>
          <w:szCs w:val="21"/>
          <w:color w:val="auto"/>
        </w:rPr>
        <w:t>Capitalized terms used herein shall have the meanings ascribed to such terms in the Credit Agreement.</w:t>
      </w:r>
    </w:p>
    <w:p>
      <w:pPr>
        <w:spacing w:after="0" w:line="272" w:lineRule="exact"/>
        <w:rPr>
          <w:sz w:val="20"/>
          <w:szCs w:val="20"/>
          <w:color w:val="auto"/>
        </w:rPr>
      </w:pPr>
    </w:p>
    <w:tbl>
      <w:tblPr>
        <w:tblLayout w:type="fixed"/>
        <w:tblInd w:w="120" w:type="dxa"/>
        <w:tblCellMar>
          <w:top w:w="0" w:type="dxa"/>
          <w:left w:w="0" w:type="dxa"/>
          <w:bottom w:w="0" w:type="dxa"/>
          <w:right w:w="0" w:type="dxa"/>
        </w:tblCellMar>
      </w:tblPr>
      <w:tr>
        <w:trPr>
          <w:trHeight w:val="257"/>
        </w:trPr>
        <w:tc>
          <w:tcPr>
            <w:tcW w:w="9200" w:type="dxa"/>
            <w:vAlign w:val="bottom"/>
            <w:gridSpan w:val="5"/>
          </w:tcPr>
          <w:p>
            <w:pPr>
              <w:jc w:val="right"/>
              <w:ind w:right="20"/>
              <w:spacing w:after="0"/>
              <w:rPr>
                <w:sz w:val="20"/>
                <w:szCs w:val="20"/>
                <w:color w:val="auto"/>
              </w:rPr>
            </w:pPr>
            <w:r>
              <w:rPr>
                <w:rFonts w:ascii="Arial" w:cs="Arial" w:eastAsia="Arial" w:hAnsi="Arial"/>
                <w:sz w:val="22"/>
                <w:szCs w:val="22"/>
                <w:color w:val="auto"/>
              </w:rPr>
              <w:t>Pursuant to Section 2.9 of the Credit Agreement, the undersigned Borrower hereby</w:t>
            </w:r>
          </w:p>
        </w:tc>
        <w:tc>
          <w:tcPr>
            <w:tcW w:w="2100" w:type="dxa"/>
            <w:vAlign w:val="bottom"/>
          </w:tcPr>
          <w:p>
            <w:pPr>
              <w:ind w:left="100"/>
              <w:spacing w:after="0"/>
              <w:rPr>
                <w:sz w:val="20"/>
                <w:szCs w:val="20"/>
                <w:color w:val="auto"/>
              </w:rPr>
            </w:pPr>
            <w:r>
              <w:rPr>
                <w:rFonts w:ascii="Arial" w:cs="Arial" w:eastAsia="Arial" w:hAnsi="Arial"/>
                <w:sz w:val="22"/>
                <w:szCs w:val="22"/>
                <w:color w:val="auto"/>
                <w:w w:val="94"/>
              </w:rPr>
              <w:t>requests to [continue]</w:t>
            </w:r>
          </w:p>
        </w:tc>
      </w:tr>
      <w:tr>
        <w:trPr>
          <w:trHeight w:val="224"/>
        </w:trPr>
        <w:tc>
          <w:tcPr>
            <w:tcW w:w="9200" w:type="dxa"/>
            <w:vAlign w:val="bottom"/>
            <w:gridSpan w:val="5"/>
          </w:tcPr>
          <w:p>
            <w:pPr>
              <w:jc w:val="right"/>
              <w:ind w:right="20"/>
              <w:spacing w:after="0" w:line="224" w:lineRule="exact"/>
              <w:rPr>
                <w:sz w:val="20"/>
                <w:szCs w:val="20"/>
                <w:color w:val="auto"/>
              </w:rPr>
            </w:pPr>
            <w:r>
              <w:rPr>
                <w:rFonts w:ascii="Arial" w:cs="Arial" w:eastAsia="Arial" w:hAnsi="Arial"/>
                <w:sz w:val="22"/>
                <w:szCs w:val="22"/>
                <w:color w:val="auto"/>
                <w:w w:val="92"/>
              </w:rPr>
              <w:t>[convert]the interest rate on a portion of its Loan in the outstanding principal amount of $[  ] on [  ], 20[</w:t>
            </w:r>
          </w:p>
        </w:tc>
        <w:tc>
          <w:tcPr>
            <w:tcW w:w="2100" w:type="dxa"/>
            <w:vAlign w:val="bottom"/>
          </w:tcPr>
          <w:p>
            <w:pPr>
              <w:ind w:left="20"/>
              <w:spacing w:after="0" w:line="224" w:lineRule="exact"/>
              <w:rPr>
                <w:sz w:val="20"/>
                <w:szCs w:val="20"/>
                <w:color w:val="auto"/>
              </w:rPr>
            </w:pPr>
            <w:r>
              <w:rPr>
                <w:rFonts w:ascii="Arial" w:cs="Arial" w:eastAsia="Arial" w:hAnsi="Arial"/>
                <w:sz w:val="22"/>
                <w:szCs w:val="22"/>
                <w:color w:val="auto"/>
              </w:rPr>
              <w:t>] as follows:</w:t>
            </w:r>
          </w:p>
        </w:tc>
      </w:tr>
      <w:tr>
        <w:trPr>
          <w:trHeight w:val="20"/>
        </w:trPr>
        <w:tc>
          <w:tcPr>
            <w:tcW w:w="7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760" w:right="320" w:firstLine="648"/>
        <w:spacing w:after="0" w:line="263" w:lineRule="auto"/>
        <w:rPr>
          <w:sz w:val="20"/>
          <w:szCs w:val="20"/>
          <w:color w:val="auto"/>
        </w:rPr>
      </w:pPr>
      <w:r>
        <w:rPr>
          <w:rFonts w:ascii="Arial" w:cs="Arial" w:eastAsia="Arial" w:hAnsi="Arial"/>
          <w:sz w:val="22"/>
          <w:szCs w:val="22"/>
          <w:color w:val="auto"/>
        </w:rPr>
        <w:t>to convert such Eurocurrency Advance to a Base Rate Advance of the same type as of the last day of the current Interest Period for such Eurocurrency Advance.</w:t>
      </w:r>
    </w:p>
    <w:p>
      <w:pPr>
        <w:spacing w:after="0" w:line="161" w:lineRule="exact"/>
        <w:rPr>
          <w:sz w:val="20"/>
          <w:szCs w:val="20"/>
          <w:color w:val="auto"/>
        </w:rPr>
      </w:pPr>
    </w:p>
    <w:p>
      <w:pPr>
        <w:ind w:left="760" w:right="380" w:firstLine="648"/>
        <w:spacing w:after="0" w:line="263" w:lineRule="auto"/>
        <w:rPr>
          <w:sz w:val="20"/>
          <w:szCs w:val="20"/>
          <w:color w:val="auto"/>
        </w:rPr>
      </w:pPr>
      <w:r>
        <w:rPr>
          <w:rFonts w:ascii="Arial" w:cs="Arial" w:eastAsia="Arial" w:hAnsi="Arial"/>
          <w:sz w:val="22"/>
          <w:szCs w:val="22"/>
          <w:color w:val="auto"/>
        </w:rPr>
        <w:t>to convert such Base Rate Advance to a Eurocurrency Advance of the same type with an Interest Period of [ ]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6829425</wp:posOffset>
            </wp:positionH>
            <wp:positionV relativeFrom="paragraph">
              <wp:posOffset>-208915</wp:posOffset>
            </wp:positionV>
            <wp:extent cx="1371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41" w:lineRule="exact"/>
        <w:rPr>
          <w:sz w:val="20"/>
          <w:szCs w:val="20"/>
          <w:color w:val="auto"/>
        </w:rPr>
      </w:pPr>
    </w:p>
    <w:p>
      <w:pPr>
        <w:ind w:left="760" w:firstLine="702"/>
        <w:spacing w:after="0" w:line="263" w:lineRule="auto"/>
        <w:rPr>
          <w:sz w:val="20"/>
          <w:szCs w:val="20"/>
          <w:color w:val="auto"/>
        </w:rPr>
      </w:pPr>
      <w:r>
        <w:rPr>
          <w:rFonts w:ascii="Arial" w:cs="Arial" w:eastAsia="Arial" w:hAnsi="Arial"/>
          <w:sz w:val="22"/>
          <w:szCs w:val="22"/>
          <w:color w:val="auto"/>
        </w:rPr>
        <w:t>to continue such Eurocurrency Advance on the last day of its current Interest Period as a Eurocurrency Advance of the same type with an Interest Period of [ ]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2748915</wp:posOffset>
            </wp:positionH>
            <wp:positionV relativeFrom="paragraph">
              <wp:posOffset>-46355</wp:posOffset>
            </wp:positionV>
            <wp:extent cx="1371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5" w:lineRule="exact"/>
        <w:rPr>
          <w:sz w:val="20"/>
          <w:szCs w:val="20"/>
          <w:color w:val="auto"/>
        </w:rPr>
      </w:pPr>
    </w:p>
    <w:p>
      <w:pPr>
        <w:jc w:val="both"/>
        <w:ind w:left="120" w:firstLine="648"/>
        <w:spacing w:after="0" w:line="288" w:lineRule="auto"/>
        <w:rPr>
          <w:sz w:val="20"/>
          <w:szCs w:val="20"/>
          <w:color w:val="auto"/>
        </w:rPr>
      </w:pPr>
      <w:r>
        <w:rPr>
          <w:rFonts w:ascii="Arial" w:cs="Arial" w:eastAsia="Arial" w:hAnsi="Arial"/>
          <w:sz w:val="19"/>
          <w:szCs w:val="19"/>
          <w:color w:val="auto"/>
        </w:rPr>
        <w:t>The undersigned hereby certifies to the Administrative Agent and the Lenders that (i) the representations and warranties contained in Article V of the Credit Agreement are (a) with respect to any representations or warranties that contain a materiality qualifier, true and correct in all respects as of the date hereof, except to the extent any such representation or warranty is stated to relate solely to an earlier date, in which case such representation or warranty shall have been true and correct in all respects on and as of such earlier date and (b) with respect to any representations or warranties that do not contain a materiality qualifier, true and correct in all material respects as of the date hereof, except to the extent any such representation or warranty is stated to relate solely to an earlier date, in which case such representation or warranty shall have been true and correct in all material respects on and as of such earlier date; (ii) the Borrower is in full compliance with all of the terms and conditions hereof, and no Default or Event of Default shall have occurred and be continuing or would occur as a result of the [continuation] [conversion] contemplated hereby; and (iii) all other relevant conditions set forth in Section 4.2 of the Credit Agreement have been satisfied.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 xml:space="preserve">4 </w:t>
      </w:r>
      <w:r>
        <w:rPr>
          <w:rFonts w:ascii="Arial" w:cs="Arial" w:eastAsia="Arial" w:hAnsi="Arial"/>
          <w:sz w:val="18"/>
          <w:szCs w:val="18"/>
          <w:color w:val="auto"/>
        </w:rPr>
        <w:t>Such Conversion/Continuation Notice to be delivered not later than 10:00 a.m. (Pacific Standard Time) at least two</w:t>
      </w:r>
    </w:p>
    <w:p>
      <w:pPr>
        <w:spacing w:after="0" w:line="23" w:lineRule="exact"/>
        <w:rPr>
          <w:sz w:val="20"/>
          <w:szCs w:val="20"/>
          <w:color w:val="auto"/>
        </w:rPr>
      </w:pPr>
    </w:p>
    <w:p>
      <w:pPr>
        <w:ind w:left="5320" w:right="5200" w:hanging="5204"/>
        <w:spacing w:after="0" w:line="539" w:lineRule="auto"/>
        <w:tabs>
          <w:tab w:leader="none" w:pos="368" w:val="left"/>
        </w:tabs>
        <w:numPr>
          <w:ilvl w:val="0"/>
          <w:numId w:val="148"/>
        </w:numPr>
        <w:rPr>
          <w:rFonts w:ascii="Arial" w:cs="Arial" w:eastAsia="Arial" w:hAnsi="Arial"/>
          <w:sz w:val="17"/>
          <w:szCs w:val="17"/>
          <w:color w:val="auto"/>
        </w:rPr>
      </w:pPr>
      <w:r>
        <w:rPr>
          <w:rFonts w:ascii="Arial" w:cs="Arial" w:eastAsia="Arial" w:hAnsi="Arial"/>
          <w:sz w:val="17"/>
          <w:szCs w:val="17"/>
          <w:color w:val="auto"/>
        </w:rPr>
        <w:t>Business Days prior to the date of the requested conversion or continuation. EXH. D-2-1</w:t>
      </w:r>
    </w:p>
    <w:p>
      <w:pPr>
        <w:sectPr>
          <w:pgSz w:w="11900" w:h="16838" w:orient="portrait"/>
          <w:cols w:equalWidth="0" w:num="1">
            <w:col w:w="11420"/>
          </w:cols>
          <w:pgMar w:left="240" w:top="423" w:right="239" w:bottom="1440" w:gutter="0" w:footer="0" w:header="0"/>
        </w:sectPr>
      </w:pPr>
    </w:p>
    <w:bookmarkStart w:id="228" w:name="page229"/>
    <w:bookmarkEnd w:id="228"/>
    <w:p>
      <w:pPr>
        <w:ind w:firstLine="1297"/>
        <w:spacing w:after="0" w:line="263" w:lineRule="auto"/>
        <w:rPr>
          <w:sz w:val="20"/>
          <w:szCs w:val="20"/>
          <w:color w:val="auto"/>
        </w:rPr>
      </w:pPr>
      <w:r>
        <w:rPr>
          <w:rFonts w:ascii="Arial" w:cs="Arial" w:eastAsia="Arial" w:hAnsi="Arial"/>
          <w:sz w:val="22"/>
          <w:szCs w:val="22"/>
          <w:color w:val="auto"/>
        </w:rPr>
        <w:t>IN WITNESS WHEREOF, the undersigned has caused this Conversion/Continuation Notice to be executed on its behalf by its authorized officer as of the date set forth below.</w:t>
      </w:r>
    </w:p>
    <w:p>
      <w:pPr>
        <w:spacing w:after="0" w:line="215"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Dated: [</w:t>
      </w:r>
      <w:r>
        <w:rPr>
          <w:sz w:val="20"/>
          <w:szCs w:val="20"/>
          <w:color w:val="auto"/>
        </w:rPr>
        <w:tab/>
      </w:r>
      <w:r>
        <w:rPr>
          <w:rFonts w:ascii="Arial" w:cs="Arial" w:eastAsia="Arial" w:hAnsi="Arial"/>
          <w:sz w:val="21"/>
          <w:szCs w:val="21"/>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-17780</wp:posOffset>
            </wp:positionV>
            <wp:extent cx="1371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0"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UNIVERSAL ELECTRONICS INC.</w:t>
      </w:r>
    </w:p>
    <w:p>
      <w:pPr>
        <w:spacing w:after="0" w:line="200" w:lineRule="exact"/>
        <w:rPr>
          <w:sz w:val="20"/>
          <w:szCs w:val="20"/>
          <w:color w:val="auto"/>
        </w:rPr>
      </w:pPr>
    </w:p>
    <w:p>
      <w:pPr>
        <w:spacing w:after="0" w:line="290"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-17780</wp:posOffset>
            </wp:positionV>
            <wp:extent cx="1714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5">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EXH. D-2-2</w:t>
      </w:r>
    </w:p>
    <w:p>
      <w:pPr>
        <w:sectPr>
          <w:pgSz w:w="11900" w:h="16838" w:orient="portrait"/>
          <w:cols w:equalWidth="0" w:num="1">
            <w:col w:w="11340"/>
          </w:cols>
          <w:pgMar w:left="320" w:top="442" w:right="239" w:bottom="1440" w:gutter="0" w:footer="0" w:header="0"/>
        </w:sectPr>
      </w:pPr>
    </w:p>
    <w:bookmarkStart w:id="229" w:name="page230"/>
    <w:bookmarkEnd w:id="229"/>
    <w:p>
      <w:pPr>
        <w:ind w:left="5900"/>
        <w:spacing w:after="0"/>
        <w:rPr>
          <w:sz w:val="20"/>
          <w:szCs w:val="20"/>
          <w:color w:val="auto"/>
        </w:rPr>
      </w:pPr>
      <w:r>
        <w:rPr>
          <w:rFonts w:ascii="Arial" w:cs="Arial" w:eastAsia="Arial" w:hAnsi="Arial"/>
          <w:sz w:val="22"/>
          <w:szCs w:val="22"/>
          <w:b w:val="1"/>
          <w:bCs w:val="1"/>
          <w:u w:val="single" w:color="auto"/>
          <w:color w:val="auto"/>
        </w:rPr>
        <w:t>EXHIBIT E FORM OF NOTE</w:t>
      </w:r>
    </w:p>
    <w:p>
      <w:pPr>
        <w:spacing w:after="0" w:line="145" w:lineRule="exact"/>
        <w:rPr>
          <w:sz w:val="20"/>
          <w:szCs w:val="20"/>
          <w:color w:val="auto"/>
        </w:rPr>
      </w:pPr>
    </w:p>
    <w:p>
      <w:pPr>
        <w:ind w:left="10420"/>
        <w:spacing w:after="0"/>
        <w:tabs>
          <w:tab w:leader="none" w:pos="106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6661150</wp:posOffset>
            </wp:positionH>
            <wp:positionV relativeFrom="paragraph">
              <wp:posOffset>-17780</wp:posOffset>
            </wp:positionV>
            <wp:extent cx="1371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Universal Electronics Inc., a Delaware corporation (the “Borrower”), promises to pay to the order of [ ] (the “Lender”) the aggregate unpaid principal amount of all Loans made by the Lender to the Borrower pursuant to Section 2.1 of the Agreement (as hereinafter defined), in immediately available funds at the applicable office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6104890</wp:posOffset>
            </wp:positionH>
            <wp:positionV relativeFrom="paragraph">
              <wp:posOffset>-356870</wp:posOffset>
            </wp:positionV>
            <wp:extent cx="1631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7">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jc w:val="both"/>
        <w:spacing w:after="0" w:line="245" w:lineRule="auto"/>
        <w:rPr>
          <w:sz w:val="20"/>
          <w:szCs w:val="20"/>
          <w:color w:val="auto"/>
        </w:rPr>
      </w:pPr>
      <w:r>
        <w:rPr>
          <w:rFonts w:ascii="Arial" w:cs="Arial" w:eastAsia="Arial" w:hAnsi="Arial"/>
          <w:sz w:val="22"/>
          <w:szCs w:val="22"/>
          <w:color w:val="auto"/>
        </w:rPr>
        <w:t>U.S. Bank National Association, as Administrative Agent, together with interest on the unpaid principal amount hereof at the rates and on the dates set forth in the Agreement. The Borrower shall pay the principal of and accrued and unpaid interest on the Loans in full on the Facility Termination Date.</w:t>
      </w:r>
    </w:p>
    <w:p>
      <w:pPr>
        <w:spacing w:after="0" w:line="234"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Lender shall, and is hereby authorized to, record on the schedule attached hereto, or to otherwise record in accordance with its usual practice, the date and amount of each Loan and the date and amount of each principal payment hereunder.</w:t>
      </w:r>
    </w:p>
    <w:p>
      <w:pPr>
        <w:spacing w:after="0" w:line="14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This Note is one of the Notes issued pursuant to, and is entitled to the benefits of, the Second Amended and Restated Credit Agreement dated as of October , 2017 (which, as it may be amended or modified and in effect from time to time, is herein called the “Agreement”), among the Borrower, the lenders party thereto, including the Lender, the LC Issuer and U.S. Bank National Association, as Administrative Agent, to which Agreement reference is hereby made for a statement of the terms and conditions governing this Note, including the terms and conditions under which this Note may be prepaid or its maturity date accelerated. This Note is secured pursuant to the Collateral Documents, all as more specifically described in the Agreement, and reference is made thereto for a statement of the terms and provisions thereof. Capitalized terms used herein and not otherwise defined herein are used with the meanings attributed to them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-1035050</wp:posOffset>
            </wp:positionV>
            <wp:extent cx="1371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the event of default hereunder, the undersigned agree to pay all costs and expenses of collection, including reasonable attorneys’ fees. The undersigned waive demand, presentment, notice of nonpayment, protest, notice of protest and notice of dishonor.</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VALIDITY, CONSTRUCTION AND ENFORCEABILITY OF THIS NOTE SHALL BE GOVERNED BY THE INTERNAL LAWS OF THE STATE OF CALIFORNIA WITHOUT GIVING EFFECT TO THE CONFLICT OF LAWS PRINCIPLES THEREOF, BUT GIVING EFFECT TO FEDERAL LAWS OF THE UNITED STATES APPLICABLE TO NATIONAL BANKS.</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UNIVERSAL ELECTRONICS INC.</w:t>
      </w:r>
    </w:p>
    <w:p>
      <w:pPr>
        <w:spacing w:after="0" w:line="22" w:lineRule="exact"/>
        <w:rPr>
          <w:sz w:val="20"/>
          <w:szCs w:val="20"/>
          <w:color w:val="auto"/>
        </w:rPr>
      </w:pPr>
    </w:p>
    <w:p>
      <w:pPr>
        <w:ind w:left="4300"/>
        <w:spacing w:after="0"/>
        <w:tabs>
          <w:tab w:leader="none" w:pos="4900" w:val="left"/>
          <w:tab w:leader="none" w:pos="6280" w:val="left"/>
        </w:tabs>
        <w:rPr>
          <w:sz w:val="20"/>
          <w:szCs w:val="20"/>
          <w:color w:val="auto"/>
        </w:rPr>
      </w:pPr>
      <w:r>
        <w:rPr>
          <w:rFonts w:ascii="Arial" w:cs="Arial" w:eastAsia="Arial" w:hAnsi="Arial"/>
          <w:sz w:val="22"/>
          <w:szCs w:val="22"/>
          <w:color w:val="auto"/>
        </w:rPr>
        <w:t>By:</w:t>
        <w:tab/>
        <w:t>Print Name:</w:t>
      </w:r>
      <w:r>
        <w:rPr>
          <w:sz w:val="20"/>
          <w:szCs w:val="20"/>
          <w:color w:val="auto"/>
        </w:rPr>
        <w:tab/>
      </w: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-29210</wp:posOffset>
            </wp:positionV>
            <wp:extent cx="137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-29210</wp:posOffset>
            </wp:positionV>
            <wp:extent cx="137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4328160</wp:posOffset>
            </wp:positionH>
            <wp:positionV relativeFrom="paragraph">
              <wp:posOffset>-29210</wp:posOffset>
            </wp:positionV>
            <wp:extent cx="1371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13"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EXH. E-1</w:t>
      </w:r>
    </w:p>
    <w:p>
      <w:pPr>
        <w:sectPr>
          <w:pgSz w:w="11900" w:h="16838" w:orient="portrait"/>
          <w:cols w:equalWidth="0" w:num="1">
            <w:col w:w="11300"/>
          </w:cols>
          <w:pgMar w:left="360" w:top="558" w:right="239" w:bottom="1440" w:gutter="0" w:footer="0" w:header="0"/>
        </w:sectPr>
      </w:pPr>
    </w:p>
    <w:bookmarkStart w:id="230" w:name="page231"/>
    <w:bookmarkEnd w:id="230"/>
    <w:tbl>
      <w:tblPr>
        <w:tblLayout w:type="fixed"/>
        <w:tblInd w:w="0" w:type="dxa"/>
        <w:tblCellMar>
          <w:top w:w="0" w:type="dxa"/>
          <w:left w:w="0" w:type="dxa"/>
          <w:bottom w:w="0" w:type="dxa"/>
          <w:right w:w="0" w:type="dxa"/>
        </w:tblCellMar>
      </w:tblPr>
      <w:tr>
        <w:trPr>
          <w:trHeight w:val="257"/>
        </w:trPr>
        <w:tc>
          <w:tcPr>
            <w:tcW w:w="1900" w:type="dxa"/>
            <w:vAlign w:val="bottom"/>
          </w:tcPr>
          <w:p>
            <w:pPr>
              <w:spacing w:after="0"/>
              <w:rPr>
                <w:sz w:val="22"/>
                <w:szCs w:val="22"/>
                <w:color w:val="auto"/>
              </w:rPr>
            </w:pPr>
          </w:p>
        </w:tc>
        <w:tc>
          <w:tcPr>
            <w:tcW w:w="7660" w:type="dxa"/>
            <w:vAlign w:val="bottom"/>
            <w:gridSpan w:val="6"/>
          </w:tcPr>
          <w:p>
            <w:pPr>
              <w:jc w:val="right"/>
              <w:ind w:right="140"/>
              <w:spacing w:after="0"/>
              <w:rPr>
                <w:sz w:val="20"/>
                <w:szCs w:val="20"/>
                <w:color w:val="auto"/>
              </w:rPr>
            </w:pPr>
            <w:r>
              <w:rPr>
                <w:rFonts w:ascii="Arial" w:cs="Arial" w:eastAsia="Arial" w:hAnsi="Arial"/>
                <w:sz w:val="22"/>
                <w:szCs w:val="22"/>
                <w:color w:val="auto"/>
              </w:rPr>
              <w:t>SCHEDULE OF LOANS AND PAYMENTS OF PRINCIPAL TO</w:t>
            </w:r>
          </w:p>
        </w:tc>
        <w:tc>
          <w:tcPr>
            <w:tcW w:w="1860" w:type="dxa"/>
            <w:vAlign w:val="bottom"/>
          </w:tcPr>
          <w:p>
            <w:pPr>
              <w:spacing w:after="0"/>
              <w:rPr>
                <w:sz w:val="22"/>
                <w:szCs w:val="22"/>
                <w:color w:val="auto"/>
              </w:rPr>
            </w:pPr>
          </w:p>
        </w:tc>
      </w:tr>
      <w:tr>
        <w:trPr>
          <w:trHeight w:val="224"/>
        </w:trPr>
        <w:tc>
          <w:tcPr>
            <w:tcW w:w="1900" w:type="dxa"/>
            <w:vAlign w:val="bottom"/>
          </w:tcPr>
          <w:p>
            <w:pPr>
              <w:spacing w:after="0"/>
              <w:rPr>
                <w:sz w:val="19"/>
                <w:szCs w:val="19"/>
                <w:color w:val="auto"/>
              </w:rPr>
            </w:pPr>
          </w:p>
        </w:tc>
        <w:tc>
          <w:tcPr>
            <w:tcW w:w="4660" w:type="dxa"/>
            <w:vAlign w:val="bottom"/>
          </w:tcPr>
          <w:p>
            <w:pPr>
              <w:ind w:left="3620"/>
              <w:spacing w:after="0" w:line="224" w:lineRule="exact"/>
              <w:rPr>
                <w:sz w:val="20"/>
                <w:szCs w:val="20"/>
                <w:color w:val="auto"/>
              </w:rPr>
            </w:pPr>
            <w:r>
              <w:rPr>
                <w:rFonts w:ascii="Arial" w:cs="Arial" w:eastAsia="Arial" w:hAnsi="Arial"/>
                <w:sz w:val="22"/>
                <w:szCs w:val="22"/>
                <w:color w:val="auto"/>
                <w:w w:val="92"/>
              </w:rPr>
              <w:t>NOTE OF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gridSpan w:val="3"/>
          </w:tcPr>
          <w:p>
            <w:pPr>
              <w:jc w:val="right"/>
              <w:ind w:right="740"/>
              <w:spacing w:after="0" w:line="224" w:lineRule="exact"/>
              <w:rPr>
                <w:sz w:val="20"/>
                <w:szCs w:val="20"/>
                <w:color w:val="auto"/>
              </w:rPr>
            </w:pPr>
            <w:r>
              <w:rPr>
                <w:rFonts w:ascii="Arial" w:cs="Arial" w:eastAsia="Arial" w:hAnsi="Arial"/>
                <w:sz w:val="22"/>
                <w:szCs w:val="22"/>
                <w:color w:val="auto"/>
                <w:w w:val="98"/>
              </w:rPr>
              <w:t>], DATED [  ], 2017</w:t>
            </w:r>
          </w:p>
        </w:tc>
        <w:tc>
          <w:tcPr>
            <w:tcW w:w="1860" w:type="dxa"/>
            <w:vAlign w:val="bottom"/>
          </w:tcPr>
          <w:p>
            <w:pPr>
              <w:spacing w:after="0"/>
              <w:rPr>
                <w:sz w:val="19"/>
                <w:szCs w:val="19"/>
                <w:color w:val="auto"/>
              </w:rPr>
            </w:pPr>
          </w:p>
        </w:tc>
      </w:tr>
      <w:tr>
        <w:trPr>
          <w:trHeight w:val="20"/>
        </w:trPr>
        <w:tc>
          <w:tcPr>
            <w:tcW w:w="19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763"/>
        </w:trPr>
        <w:tc>
          <w:tcPr>
            <w:tcW w:w="1900" w:type="dxa"/>
            <w:vAlign w:val="bottom"/>
          </w:tcPr>
          <w:p>
            <w:pPr>
              <w:ind w:left="980"/>
              <w:spacing w:after="0"/>
              <w:rPr>
                <w:sz w:val="20"/>
                <w:szCs w:val="20"/>
                <w:color w:val="auto"/>
              </w:rPr>
            </w:pPr>
            <w:r>
              <w:rPr>
                <w:rFonts w:ascii="Arial" w:cs="Arial" w:eastAsia="Arial" w:hAnsi="Arial"/>
                <w:sz w:val="18"/>
                <w:szCs w:val="18"/>
                <w:color w:val="auto"/>
              </w:rPr>
              <w:t>Date</w:t>
            </w:r>
          </w:p>
        </w:tc>
        <w:tc>
          <w:tcPr>
            <w:tcW w:w="4920" w:type="dxa"/>
            <w:vAlign w:val="bottom"/>
            <w:gridSpan w:val="2"/>
          </w:tcPr>
          <w:p>
            <w:pPr>
              <w:ind w:left="580"/>
              <w:spacing w:after="0"/>
              <w:rPr>
                <w:sz w:val="20"/>
                <w:szCs w:val="20"/>
                <w:color w:val="auto"/>
              </w:rPr>
            </w:pPr>
            <w:r>
              <w:rPr>
                <w:rFonts w:ascii="Arial" w:cs="Arial" w:eastAsia="Arial" w:hAnsi="Arial"/>
                <w:sz w:val="18"/>
                <w:szCs w:val="18"/>
                <w:color w:val="auto"/>
                <w:w w:val="93"/>
              </w:rPr>
              <w:t>Principal Amount of LoanMaturity of Interest Period</w:t>
            </w:r>
          </w:p>
        </w:tc>
        <w:tc>
          <w:tcPr>
            <w:tcW w:w="160" w:type="dxa"/>
            <w:vAlign w:val="bottom"/>
          </w:tcPr>
          <w:p>
            <w:pPr>
              <w:spacing w:after="0"/>
              <w:rPr>
                <w:sz w:val="24"/>
                <w:szCs w:val="24"/>
                <w:color w:val="auto"/>
              </w:rPr>
            </w:pPr>
          </w:p>
        </w:tc>
        <w:tc>
          <w:tcPr>
            <w:tcW w:w="2580" w:type="dxa"/>
            <w:vAlign w:val="bottom"/>
            <w:gridSpan w:val="3"/>
          </w:tcPr>
          <w:p>
            <w:pPr>
              <w:jc w:val="right"/>
              <w:ind w:right="740"/>
              <w:spacing w:after="0"/>
              <w:rPr>
                <w:sz w:val="20"/>
                <w:szCs w:val="20"/>
                <w:color w:val="auto"/>
              </w:rPr>
            </w:pPr>
            <w:r>
              <w:rPr>
                <w:rFonts w:ascii="Arial" w:cs="Arial" w:eastAsia="Arial" w:hAnsi="Arial"/>
                <w:sz w:val="18"/>
                <w:szCs w:val="18"/>
                <w:color w:val="auto"/>
              </w:rPr>
              <w:t>Principal Amount Paid</w:t>
            </w:r>
          </w:p>
        </w:tc>
        <w:tc>
          <w:tcPr>
            <w:tcW w:w="1860" w:type="dxa"/>
            <w:vAlign w:val="bottom"/>
          </w:tcPr>
          <w:p>
            <w:pPr>
              <w:ind w:left="140"/>
              <w:spacing w:after="0"/>
              <w:rPr>
                <w:sz w:val="20"/>
                <w:szCs w:val="20"/>
                <w:color w:val="auto"/>
              </w:rPr>
            </w:pPr>
            <w:r>
              <w:rPr>
                <w:rFonts w:ascii="Arial" w:cs="Arial" w:eastAsia="Arial" w:hAnsi="Arial"/>
                <w:sz w:val="18"/>
                <w:szCs w:val="18"/>
                <w:color w:val="auto"/>
              </w:rPr>
              <w:t>Unpaid Balance</w:t>
            </w:r>
          </w:p>
        </w:tc>
      </w:tr>
      <w:tr>
        <w:trPr>
          <w:trHeight w:val="27"/>
        </w:trPr>
        <w:tc>
          <w:tcPr>
            <w:tcW w:w="190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E-2</w:t>
      </w:r>
    </w:p>
    <w:p>
      <w:pPr>
        <w:sectPr>
          <w:pgSz w:w="11900" w:h="16838" w:orient="portrait"/>
          <w:cols w:equalWidth="0" w:num="1">
            <w:col w:w="11420"/>
          </w:cols>
          <w:pgMar w:left="240" w:top="442" w:right="239" w:bottom="1440" w:gutter="0" w:footer="0" w:header="0"/>
        </w:sectPr>
      </w:pPr>
    </w:p>
    <w:bookmarkStart w:id="231" w:name="page232"/>
    <w:bookmarkEnd w:id="231"/>
    <w:tbl>
      <w:tblPr>
        <w:tblLayout w:type="fixed"/>
        <w:tblInd w:w="4" w:type="dxa"/>
        <w:tblCellMar>
          <w:top w:w="0" w:type="dxa"/>
          <w:left w:w="0" w:type="dxa"/>
          <w:bottom w:w="0" w:type="dxa"/>
          <w:right w:w="0" w:type="dxa"/>
        </w:tblCellMar>
      </w:tblPr>
      <w:tr>
        <w:trPr>
          <w:trHeight w:val="253"/>
        </w:trPr>
        <w:tc>
          <w:tcPr>
            <w:tcW w:w="380" w:type="dxa"/>
            <w:vAlign w:val="bottom"/>
          </w:tcPr>
          <w:p>
            <w:pPr>
              <w:spacing w:after="0"/>
              <w:rPr>
                <w:sz w:val="21"/>
                <w:szCs w:val="21"/>
                <w:color w:val="auto"/>
              </w:rPr>
            </w:pPr>
          </w:p>
        </w:tc>
        <w:tc>
          <w:tcPr>
            <w:tcW w:w="5960" w:type="dxa"/>
            <w:vAlign w:val="bottom"/>
          </w:tcPr>
          <w:p>
            <w:pPr>
              <w:spacing w:after="0"/>
              <w:rPr>
                <w:sz w:val="21"/>
                <w:szCs w:val="21"/>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b w:val="1"/>
                <w:bCs w:val="1"/>
                <w:color w:val="auto"/>
              </w:rPr>
              <w:t>EXHIBIT F</w:t>
            </w:r>
          </w:p>
        </w:tc>
        <w:tc>
          <w:tcPr>
            <w:tcW w:w="3840" w:type="dxa"/>
            <w:vAlign w:val="bottom"/>
          </w:tcPr>
          <w:p>
            <w:pPr>
              <w:spacing w:after="0"/>
              <w:rPr>
                <w:sz w:val="21"/>
                <w:szCs w:val="21"/>
                <w:color w:val="auto"/>
              </w:rPr>
            </w:pPr>
          </w:p>
        </w:tc>
      </w:tr>
      <w:tr>
        <w:trPr>
          <w:trHeight w:val="598"/>
        </w:trPr>
        <w:tc>
          <w:tcPr>
            <w:tcW w:w="380" w:type="dxa"/>
            <w:vAlign w:val="bottom"/>
          </w:tcPr>
          <w:p>
            <w:pPr>
              <w:spacing w:after="0"/>
              <w:rPr>
                <w:sz w:val="24"/>
                <w:szCs w:val="24"/>
                <w:color w:val="auto"/>
              </w:rPr>
            </w:pPr>
          </w:p>
        </w:tc>
        <w:tc>
          <w:tcPr>
            <w:tcW w:w="10920" w:type="dxa"/>
            <w:vAlign w:val="bottom"/>
            <w:gridSpan w:val="5"/>
          </w:tcPr>
          <w:p>
            <w:pPr>
              <w:jc w:val="center"/>
              <w:ind w:left="2012"/>
              <w:spacing w:after="0"/>
              <w:rPr>
                <w:sz w:val="20"/>
                <w:szCs w:val="20"/>
                <w:color w:val="auto"/>
              </w:rPr>
            </w:pPr>
            <w:r>
              <w:rPr>
                <w:rFonts w:ascii="Arial" w:cs="Arial" w:eastAsia="Arial" w:hAnsi="Arial"/>
                <w:sz w:val="22"/>
                <w:szCs w:val="22"/>
                <w:b w:val="1"/>
                <w:bCs w:val="1"/>
                <w:color w:val="auto"/>
                <w:w w:val="99"/>
              </w:rPr>
              <w:t>LIST OF CLOSING DOCUMENTS</w:t>
            </w:r>
          </w:p>
        </w:tc>
      </w:tr>
      <w:tr>
        <w:trPr>
          <w:trHeight w:val="554"/>
        </w:trPr>
        <w:tc>
          <w:tcPr>
            <w:tcW w:w="380" w:type="dxa"/>
            <w:vAlign w:val="bottom"/>
          </w:tcPr>
          <w:p>
            <w:pPr>
              <w:spacing w:after="0"/>
              <w:rPr>
                <w:sz w:val="24"/>
                <w:szCs w:val="24"/>
                <w:color w:val="auto"/>
              </w:rPr>
            </w:pPr>
          </w:p>
        </w:tc>
        <w:tc>
          <w:tcPr>
            <w:tcW w:w="10920" w:type="dxa"/>
            <w:vAlign w:val="bottom"/>
            <w:gridSpan w:val="5"/>
          </w:tcPr>
          <w:p>
            <w:pPr>
              <w:ind w:left="1020"/>
              <w:spacing w:after="0"/>
              <w:rPr>
                <w:sz w:val="20"/>
                <w:szCs w:val="20"/>
                <w:color w:val="auto"/>
              </w:rPr>
            </w:pPr>
            <w:r>
              <w:rPr>
                <w:rFonts w:ascii="Arial" w:cs="Arial" w:eastAsia="Arial" w:hAnsi="Arial"/>
                <w:sz w:val="22"/>
                <w:szCs w:val="22"/>
                <w:b w:val="1"/>
                <w:bCs w:val="1"/>
                <w:color w:val="auto"/>
              </w:rPr>
              <w:t>SECOND AMENDED AND RESTATED CREDIT AGREEMENT UNIVERSAL ELECTRONICS INC.</w:t>
            </w:r>
          </w:p>
        </w:tc>
      </w:tr>
      <w:tr>
        <w:trPr>
          <w:trHeight w:val="341"/>
        </w:trPr>
        <w:tc>
          <w:tcPr>
            <w:tcW w:w="380" w:type="dxa"/>
            <w:vAlign w:val="bottom"/>
          </w:tcPr>
          <w:p>
            <w:pPr>
              <w:jc w:val="right"/>
              <w:ind w:right="112"/>
              <w:spacing w:after="0"/>
              <w:rPr>
                <w:sz w:val="20"/>
                <w:szCs w:val="20"/>
                <w:color w:val="auto"/>
              </w:rPr>
            </w:pPr>
            <w:r>
              <w:rPr>
                <w:rFonts w:ascii="Arial" w:cs="Arial" w:eastAsia="Arial" w:hAnsi="Arial"/>
                <w:sz w:val="22"/>
                <w:szCs w:val="22"/>
                <w:color w:val="auto"/>
                <w:w w:val="76"/>
              </w:rPr>
              <w:t>1.</w:t>
            </w:r>
          </w:p>
        </w:tc>
        <w:tc>
          <w:tcPr>
            <w:tcW w:w="10920" w:type="dxa"/>
            <w:vAlign w:val="bottom"/>
            <w:gridSpan w:val="5"/>
          </w:tcPr>
          <w:p>
            <w:pPr>
              <w:ind w:left="240"/>
              <w:spacing w:after="0"/>
              <w:rPr>
                <w:sz w:val="20"/>
                <w:szCs w:val="20"/>
                <w:color w:val="auto"/>
              </w:rPr>
            </w:pPr>
            <w:r>
              <w:rPr>
                <w:rFonts w:ascii="Arial" w:cs="Arial" w:eastAsia="Arial" w:hAnsi="Arial"/>
                <w:sz w:val="22"/>
                <w:szCs w:val="22"/>
                <w:color w:val="auto"/>
                <w:w w:val="92"/>
              </w:rPr>
              <w:t>Second Amendment and Restated Credit Agreement dated as of October   , 2017, by and among Universal Electronics</w:t>
            </w:r>
          </w:p>
        </w:tc>
      </w:tr>
      <w:tr>
        <w:trPr>
          <w:trHeight w:val="20"/>
        </w:trPr>
        <w:tc>
          <w:tcPr>
            <w:tcW w:w="380" w:type="dxa"/>
            <w:vAlign w:val="bottom"/>
          </w:tcPr>
          <w:p>
            <w:pPr>
              <w:spacing w:after="0" w:line="20" w:lineRule="exact"/>
              <w:rPr>
                <w:sz w:val="1"/>
                <w:szCs w:val="1"/>
                <w:color w:val="auto"/>
              </w:rPr>
            </w:pPr>
          </w:p>
        </w:tc>
        <w:tc>
          <w:tcPr>
            <w:tcW w:w="670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r>
      <w:tr>
        <w:trPr>
          <w:trHeight w:val="269"/>
        </w:trPr>
        <w:tc>
          <w:tcPr>
            <w:tcW w:w="380" w:type="dxa"/>
            <w:vAlign w:val="bottom"/>
          </w:tcPr>
          <w:p>
            <w:pPr>
              <w:spacing w:after="0"/>
              <w:rPr>
                <w:sz w:val="23"/>
                <w:szCs w:val="23"/>
                <w:color w:val="auto"/>
              </w:rPr>
            </w:pPr>
          </w:p>
        </w:tc>
        <w:tc>
          <w:tcPr>
            <w:tcW w:w="10920" w:type="dxa"/>
            <w:vAlign w:val="bottom"/>
            <w:gridSpan w:val="5"/>
          </w:tcPr>
          <w:p>
            <w:pPr>
              <w:ind w:left="260"/>
              <w:spacing w:after="0"/>
              <w:rPr>
                <w:sz w:val="20"/>
                <w:szCs w:val="20"/>
                <w:color w:val="auto"/>
              </w:rPr>
            </w:pPr>
            <w:r>
              <w:rPr>
                <w:rFonts w:ascii="Arial" w:cs="Arial" w:eastAsia="Arial" w:hAnsi="Arial"/>
                <w:sz w:val="22"/>
                <w:szCs w:val="22"/>
                <w:color w:val="auto"/>
                <w:w w:val="98"/>
              </w:rPr>
              <w:t>Inc., a Delaware corporation (the “Borrower”), the Lenders party thereto and U.S. Bank National Association, as</w:t>
            </w:r>
          </w:p>
        </w:tc>
      </w:tr>
      <w:tr>
        <w:trPr>
          <w:trHeight w:val="257"/>
        </w:trPr>
        <w:tc>
          <w:tcPr>
            <w:tcW w:w="380" w:type="dxa"/>
            <w:vAlign w:val="bottom"/>
          </w:tcPr>
          <w:p>
            <w:pPr>
              <w:spacing w:after="0"/>
              <w:rPr>
                <w:sz w:val="22"/>
                <w:szCs w:val="22"/>
                <w:color w:val="auto"/>
              </w:rPr>
            </w:pPr>
          </w:p>
        </w:tc>
        <w:tc>
          <w:tcPr>
            <w:tcW w:w="10920" w:type="dxa"/>
            <w:vAlign w:val="bottom"/>
            <w:gridSpan w:val="5"/>
          </w:tcPr>
          <w:p>
            <w:pPr>
              <w:ind w:left="260"/>
              <w:spacing w:after="0"/>
              <w:rPr>
                <w:sz w:val="20"/>
                <w:szCs w:val="20"/>
                <w:color w:val="auto"/>
              </w:rPr>
            </w:pPr>
            <w:r>
              <w:rPr>
                <w:rFonts w:ascii="Arial" w:cs="Arial" w:eastAsia="Arial" w:hAnsi="Arial"/>
                <w:sz w:val="22"/>
                <w:szCs w:val="22"/>
                <w:color w:val="auto"/>
                <w:w w:val="92"/>
              </w:rPr>
              <w:t>administrative agent (in such capacity, the “Administrative Agent”), evidencing a revolving credit facility to the Borrower</w:t>
            </w:r>
          </w:p>
        </w:tc>
      </w:tr>
      <w:tr>
        <w:trPr>
          <w:trHeight w:val="257"/>
        </w:trPr>
        <w:tc>
          <w:tcPr>
            <w:tcW w:w="380" w:type="dxa"/>
            <w:vAlign w:val="bottom"/>
          </w:tcPr>
          <w:p>
            <w:pPr>
              <w:spacing w:after="0"/>
              <w:rPr>
                <w:sz w:val="22"/>
                <w:szCs w:val="22"/>
                <w:color w:val="auto"/>
              </w:rPr>
            </w:pPr>
          </w:p>
        </w:tc>
        <w:tc>
          <w:tcPr>
            <w:tcW w:w="10920" w:type="dxa"/>
            <w:vAlign w:val="bottom"/>
            <w:gridSpan w:val="5"/>
          </w:tcPr>
          <w:p>
            <w:pPr>
              <w:ind w:left="260"/>
              <w:spacing w:after="0"/>
              <w:rPr>
                <w:sz w:val="20"/>
                <w:szCs w:val="20"/>
                <w:color w:val="auto"/>
              </w:rPr>
            </w:pPr>
            <w:r>
              <w:rPr>
                <w:rFonts w:ascii="Arial" w:cs="Arial" w:eastAsia="Arial" w:hAnsi="Arial"/>
                <w:sz w:val="22"/>
                <w:szCs w:val="22"/>
                <w:color w:val="auto"/>
              </w:rPr>
              <w:t>from the Lenders in an initial aggregate principal amount of up to</w:t>
            </w:r>
          </w:p>
        </w:tc>
      </w:tr>
      <w:tr>
        <w:trPr>
          <w:trHeight w:val="275"/>
        </w:trPr>
        <w:tc>
          <w:tcPr>
            <w:tcW w:w="380" w:type="dxa"/>
            <w:vAlign w:val="bottom"/>
          </w:tcPr>
          <w:p>
            <w:pPr>
              <w:spacing w:after="0"/>
              <w:rPr>
                <w:sz w:val="23"/>
                <w:szCs w:val="23"/>
                <w:color w:val="auto"/>
              </w:rPr>
            </w:pPr>
          </w:p>
        </w:tc>
        <w:tc>
          <w:tcPr>
            <w:tcW w:w="5960" w:type="dxa"/>
            <w:vAlign w:val="bottom"/>
          </w:tcPr>
          <w:p>
            <w:pPr>
              <w:ind w:left="260"/>
              <w:spacing w:after="0"/>
              <w:rPr>
                <w:sz w:val="20"/>
                <w:szCs w:val="20"/>
                <w:color w:val="auto"/>
              </w:rPr>
            </w:pPr>
            <w:r>
              <w:rPr>
                <w:rFonts w:ascii="Arial" w:cs="Arial" w:eastAsia="Arial" w:hAnsi="Arial"/>
                <w:sz w:val="22"/>
                <w:szCs w:val="22"/>
                <w:color w:val="auto"/>
              </w:rPr>
              <w:t>$170,000,000.</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40" w:type="dxa"/>
            <w:vAlign w:val="bottom"/>
          </w:tcPr>
          <w:p>
            <w:pPr>
              <w:spacing w:after="0"/>
              <w:rPr>
                <w:sz w:val="23"/>
                <w:szCs w:val="23"/>
                <w:color w:val="auto"/>
              </w:rPr>
            </w:pPr>
          </w:p>
        </w:tc>
      </w:tr>
    </w:tbl>
    <w:p>
      <w:pPr>
        <w:spacing w:after="0" w:line="293" w:lineRule="exact"/>
        <w:rPr>
          <w:sz w:val="20"/>
          <w:szCs w:val="20"/>
          <w:color w:val="auto"/>
        </w:rPr>
      </w:pPr>
    </w:p>
    <w:p>
      <w:pPr>
        <w:ind w:left="644" w:right="20" w:hanging="644"/>
        <w:spacing w:after="0" w:line="263" w:lineRule="auto"/>
        <w:tabs>
          <w:tab w:leader="none" w:pos="626" w:val="left"/>
        </w:tabs>
        <w:numPr>
          <w:ilvl w:val="0"/>
          <w:numId w:val="149"/>
        </w:numPr>
        <w:rPr>
          <w:rFonts w:ascii="Arial" w:cs="Arial" w:eastAsia="Arial" w:hAnsi="Arial"/>
          <w:sz w:val="22"/>
          <w:szCs w:val="22"/>
          <w:color w:val="auto"/>
        </w:rPr>
      </w:pPr>
      <w:r>
        <w:rPr>
          <w:rFonts w:ascii="Arial" w:cs="Arial" w:eastAsia="Arial" w:hAnsi="Arial"/>
          <w:sz w:val="22"/>
          <w:szCs w:val="22"/>
          <w:color w:val="auto"/>
        </w:rPr>
        <w:t>Notes executed by the Borrower in favor of each of the Lenders, if any, which has requested a note pursuant to Section 2.13(d) of the Credit Agreement.</w:t>
      </w:r>
    </w:p>
    <w:p>
      <w:pPr>
        <w:spacing w:after="0" w:line="269" w:lineRule="exact"/>
        <w:rPr>
          <w:rFonts w:ascii="Arial" w:cs="Arial" w:eastAsia="Arial" w:hAnsi="Arial"/>
          <w:sz w:val="22"/>
          <w:szCs w:val="22"/>
          <w:color w:val="auto"/>
        </w:rPr>
      </w:pPr>
    </w:p>
    <w:p>
      <w:pPr>
        <w:ind w:left="624" w:hanging="624"/>
        <w:spacing w:after="0"/>
        <w:tabs>
          <w:tab w:leader="none" w:pos="624" w:val="left"/>
        </w:tabs>
        <w:numPr>
          <w:ilvl w:val="0"/>
          <w:numId w:val="149"/>
        </w:numPr>
        <w:rPr>
          <w:rFonts w:ascii="Arial" w:cs="Arial" w:eastAsia="Arial" w:hAnsi="Arial"/>
          <w:sz w:val="22"/>
          <w:szCs w:val="22"/>
          <w:color w:val="auto"/>
        </w:rPr>
      </w:pPr>
      <w:r>
        <w:rPr>
          <w:rFonts w:ascii="Arial" w:cs="Arial" w:eastAsia="Arial" w:hAnsi="Arial"/>
          <w:sz w:val="22"/>
          <w:szCs w:val="22"/>
          <w:color w:val="auto"/>
        </w:rPr>
        <w:t>Amendment to Security Agreement executed by the Borrower and the Administrative Agent.</w:t>
      </w:r>
    </w:p>
    <w:p>
      <w:pPr>
        <w:spacing w:after="0" w:line="314" w:lineRule="exact"/>
        <w:rPr>
          <w:rFonts w:ascii="Arial" w:cs="Arial" w:eastAsia="Arial" w:hAnsi="Arial"/>
          <w:sz w:val="22"/>
          <w:szCs w:val="22"/>
          <w:color w:val="auto"/>
        </w:rPr>
      </w:pPr>
    </w:p>
    <w:p>
      <w:pPr>
        <w:ind w:left="644" w:hanging="644"/>
        <w:spacing w:after="0"/>
        <w:tabs>
          <w:tab w:leader="none" w:pos="644" w:val="left"/>
        </w:tabs>
        <w:numPr>
          <w:ilvl w:val="0"/>
          <w:numId w:val="149"/>
        </w:numPr>
        <w:rPr>
          <w:rFonts w:ascii="Arial" w:cs="Arial" w:eastAsia="Arial" w:hAnsi="Arial"/>
          <w:sz w:val="22"/>
          <w:szCs w:val="22"/>
          <w:color w:val="auto"/>
        </w:rPr>
      </w:pPr>
      <w:r>
        <w:rPr>
          <w:rFonts w:ascii="Arial" w:cs="Arial" w:eastAsia="Arial" w:hAnsi="Arial"/>
          <w:sz w:val="22"/>
          <w:szCs w:val="22"/>
          <w:color w:val="auto"/>
        </w:rPr>
        <w:t>Amendment to Pledge Agreement executed by the Borrower and the Administrative Agent.</w:t>
      </w:r>
    </w:p>
    <w:p>
      <w:pPr>
        <w:spacing w:after="0" w:line="314" w:lineRule="exact"/>
        <w:rPr>
          <w:rFonts w:ascii="Arial" w:cs="Arial" w:eastAsia="Arial" w:hAnsi="Arial"/>
          <w:sz w:val="22"/>
          <w:szCs w:val="22"/>
          <w:color w:val="auto"/>
        </w:rPr>
      </w:pPr>
    </w:p>
    <w:p>
      <w:pPr>
        <w:jc w:val="both"/>
        <w:ind w:left="644" w:hanging="644"/>
        <w:spacing w:after="0" w:line="302" w:lineRule="auto"/>
        <w:tabs>
          <w:tab w:leader="none" w:pos="644" w:val="left"/>
        </w:tabs>
        <w:numPr>
          <w:ilvl w:val="0"/>
          <w:numId w:val="149"/>
        </w:numPr>
        <w:rPr>
          <w:rFonts w:ascii="Arial" w:cs="Arial" w:eastAsia="Arial" w:hAnsi="Arial"/>
          <w:sz w:val="19"/>
          <w:szCs w:val="19"/>
          <w:color w:val="auto"/>
        </w:rPr>
      </w:pPr>
      <w:r>
        <w:rPr>
          <w:rFonts w:ascii="Arial" w:cs="Arial" w:eastAsia="Arial" w:hAnsi="Arial"/>
          <w:sz w:val="19"/>
          <w:szCs w:val="19"/>
          <w:color w:val="auto"/>
        </w:rPr>
        <w:t>Certificates of Insurance listing (a) the Administrative Agent as lender loss payee for the property and casualty insurance policies and business interruption insurance policies of the Borrower and the Restricted Subsidiaries, together with a long-form lender loss payable endorsement, and (b) the Administrative Agent as an additional insured with respect to the liability insurance of the Borrower and the Restricted Subsidiaries, together with additional insured endorsements.</w:t>
      </w:r>
    </w:p>
    <w:p>
      <w:pPr>
        <w:spacing w:after="0" w:line="237" w:lineRule="exact"/>
        <w:rPr>
          <w:rFonts w:ascii="Arial" w:cs="Arial" w:eastAsia="Arial" w:hAnsi="Arial"/>
          <w:sz w:val="19"/>
          <w:szCs w:val="19"/>
          <w:color w:val="auto"/>
        </w:rPr>
      </w:pPr>
    </w:p>
    <w:p>
      <w:pPr>
        <w:ind w:left="624" w:hanging="624"/>
        <w:spacing w:after="0"/>
        <w:tabs>
          <w:tab w:leader="none" w:pos="624" w:val="left"/>
        </w:tabs>
        <w:numPr>
          <w:ilvl w:val="0"/>
          <w:numId w:val="149"/>
        </w:numPr>
        <w:rPr>
          <w:rFonts w:ascii="Arial" w:cs="Arial" w:eastAsia="Arial" w:hAnsi="Arial"/>
          <w:sz w:val="22"/>
          <w:szCs w:val="22"/>
          <w:color w:val="auto"/>
        </w:rPr>
      </w:pPr>
      <w:r>
        <w:rPr>
          <w:rFonts w:ascii="Arial" w:cs="Arial" w:eastAsia="Arial" w:hAnsi="Arial"/>
          <w:sz w:val="22"/>
          <w:szCs w:val="22"/>
          <w:color w:val="auto"/>
        </w:rPr>
        <w:t>Opinion of Corporate Counsel for the Borrower.</w:t>
      </w:r>
    </w:p>
    <w:p>
      <w:pPr>
        <w:spacing w:after="0" w:line="314" w:lineRule="exact"/>
        <w:rPr>
          <w:rFonts w:ascii="Arial" w:cs="Arial" w:eastAsia="Arial" w:hAnsi="Arial"/>
          <w:sz w:val="22"/>
          <w:szCs w:val="22"/>
          <w:color w:val="auto"/>
        </w:rPr>
      </w:pPr>
    </w:p>
    <w:p>
      <w:pPr>
        <w:jc w:val="both"/>
        <w:ind w:left="644" w:hanging="644"/>
        <w:spacing w:after="0" w:line="258" w:lineRule="auto"/>
        <w:tabs>
          <w:tab w:leader="none" w:pos="644" w:val="left"/>
        </w:tabs>
        <w:numPr>
          <w:ilvl w:val="0"/>
          <w:numId w:val="149"/>
        </w:numPr>
        <w:rPr>
          <w:rFonts w:ascii="Arial" w:cs="Arial" w:eastAsia="Arial" w:hAnsi="Arial"/>
          <w:sz w:val="21"/>
          <w:szCs w:val="21"/>
          <w:color w:val="auto"/>
        </w:rPr>
      </w:pPr>
      <w:r>
        <w:rPr>
          <w:rFonts w:ascii="Arial" w:cs="Arial" w:eastAsia="Arial" w:hAnsi="Arial"/>
          <w:sz w:val="21"/>
          <w:szCs w:val="21"/>
          <w:color w:val="auto"/>
        </w:rPr>
        <w:t>Certificate of the Secretary or an Assistant Secretary of each Loan Party certifying (i) that there have been no changes in the charter document of such Loan Party, as attached thereto and as certified as of a recent date by the Secretary of State (or analogous governmental entity) of the jurisdiction of its organization, since the date of the certification thereof by such governmental entity; (ii) the Operating Agreement or other organizational document, as attached thereto, of such Loan Party as in effect on the date of such certification; (iii) resolutions of the Board of Directors or other governing body of such Loan Party authorizing the execution, delivery and performance of each Loan Document to which it is a party; (iv) the Good Standing Certificate (or analogous documentation if applicable) for such Loan Party from the Secretary of State (or analogous governmental entity) of the jurisdiction of its organization, to the extent generally available in such jurisdiction; and (v) the names and true signatures of the incumbent officers of each Loan Party authorized to sign the Loan Documents to which it</w:t>
      </w:r>
    </w:p>
    <w:p>
      <w:pPr>
        <w:spacing w:after="0" w:line="218" w:lineRule="exact"/>
        <w:rPr>
          <w:sz w:val="20"/>
          <w:szCs w:val="20"/>
          <w:color w:val="auto"/>
        </w:rPr>
      </w:pPr>
    </w:p>
    <w:p>
      <w:pPr>
        <w:jc w:val="center"/>
        <w:ind w:right="96"/>
        <w:spacing w:after="0"/>
        <w:rPr>
          <w:sz w:val="20"/>
          <w:szCs w:val="20"/>
          <w:color w:val="auto"/>
        </w:rPr>
      </w:pPr>
      <w:r>
        <w:rPr>
          <w:rFonts w:ascii="Arial" w:cs="Arial" w:eastAsia="Arial" w:hAnsi="Arial"/>
          <w:sz w:val="20"/>
          <w:szCs w:val="20"/>
          <w:color w:val="auto"/>
        </w:rPr>
        <w:t>EXH. F-1</w:t>
      </w:r>
    </w:p>
    <w:p>
      <w:pPr>
        <w:sectPr>
          <w:pgSz w:w="11900" w:h="16838" w:orient="portrait"/>
          <w:cols w:equalWidth="0" w:num="1">
            <w:col w:w="11304"/>
          </w:cols>
          <w:pgMar w:left="356" w:top="413" w:right="239" w:bottom="1440" w:gutter="0" w:footer="0" w:header="0"/>
        </w:sectPr>
      </w:pPr>
    </w:p>
    <w:bookmarkStart w:id="232" w:name="page233"/>
    <w:bookmarkEnd w:id="232"/>
    <w:p>
      <w:pPr>
        <w:ind w:left="660" w:right="240"/>
        <w:spacing w:after="0" w:line="263" w:lineRule="auto"/>
        <w:rPr>
          <w:sz w:val="20"/>
          <w:szCs w:val="20"/>
          <w:color w:val="auto"/>
        </w:rPr>
      </w:pPr>
      <w:r>
        <w:rPr>
          <w:rFonts w:ascii="Arial" w:cs="Arial" w:eastAsia="Arial" w:hAnsi="Arial"/>
          <w:sz w:val="22"/>
          <w:szCs w:val="22"/>
          <w:color w:val="auto"/>
        </w:rPr>
        <w:t>is a party, and (in the case of each Borrower) authorized to request an Advance or the issuance of a Facility LC under the Credit Agreement.</w:t>
      </w:r>
    </w:p>
    <w:p>
      <w:pPr>
        <w:spacing w:after="0" w:line="269" w:lineRule="exact"/>
        <w:rPr>
          <w:sz w:val="20"/>
          <w:szCs w:val="20"/>
          <w:color w:val="auto"/>
        </w:rPr>
      </w:pPr>
    </w:p>
    <w:p>
      <w:pPr>
        <w:jc w:val="both"/>
        <w:ind w:left="660" w:hanging="651"/>
        <w:spacing w:after="0" w:line="297" w:lineRule="auto"/>
        <w:tabs>
          <w:tab w:leader="none" w:pos="66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A Certificate signed by an Authorized Officer of the Borrower certifying the following: on the Effective Date (1) there is no Default or Event of Default which has occurred and is continuing nor will any such Default or Event of Default exist after giving effect to the transactions with the Bank which have been requested by the Borrower; (2) the representations and warranties contained in Article V are true and correct as of the date of the certificate with the same force and effect as if made on such date; and (3) there has been no Material Adverse Effect since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EXH. F-2</w:t>
      </w:r>
    </w:p>
    <w:p>
      <w:pPr>
        <w:sectPr>
          <w:pgSz w:w="11900" w:h="16838" w:orient="portrait"/>
          <w:cols w:equalWidth="0" w:num="1">
            <w:col w:w="11340"/>
          </w:cols>
          <w:pgMar w:left="320" w:top="442" w:right="23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b w:val="1"/>
          <w:bCs w:val="1"/>
          <w:u w:val="single" w:color="auto"/>
          <w:color w:val="auto"/>
        </w:rPr>
        <w:t>Exhibit 21.1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List of Subsidiaries of the Registrant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C.G. Development Ltd.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CG Mexico Remote Controls, S.R.L. de C.V. (organized under the laws of Mexico)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Ecolink Intelligent Technology, Inc. (organized under the laws of Delaware)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Enson Assets Ltd. (organized under the laws of the British Virgin Islands)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Polyfirst Ltd.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Technology (China)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Technology (Qinzhou)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Technology (Yangzhou)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Guangzhou Universal Electronics Service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Argentina S.R.L (organized under the laws of Argentina)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France S.A.S. (organized under the laws of France)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GmbH (organized under the laws of Germany)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Iberia S.L. (organized under the laws of Spain)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UK, Ltd. (organized under the laws of the United Kingdom)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RCS Technology, LLC (organized under the laws of Delaware)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 Japan Ltd. (organized under the laws of Japan)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 Singapore Pte. Ltd. (organized under the laws of the Republic of Singapore)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Cayman Inc. (organized under the laws of the Cayman Islands)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do Brasil Controles Remotos Ltda. (organized under the laws of Brazil)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Electronics Pte. Ltd. (organized under the laws of India)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Hong Kong Pte. Ltd.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B.V. (organized under the laws of the Netherlands)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Italia S.R.L. (organized under the laws of Italy)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 Korea Ltd. (organized under the laws of South Korea)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Trading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Yangzhou Co. Ltd. (organized under the laws of the People's Republic of China)</w:t>
      </w:r>
    </w:p>
    <w:p>
      <w:pPr>
        <w:sectPr>
          <w:pgSz w:w="11900" w:h="16838" w:orient="portrait"/>
          <w:cols w:equalWidth="0" w:num="1">
            <w:col w:w="11420"/>
          </w:cols>
          <w:pgMar w:left="240" w:top="581" w:right="2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issued our reports dated March 12, 2018, with respect to the consolidated financial statements and internal control over financial reporting in the Annual Report of Universal Electronics Inc. on Form 10-K for the year ended December 31, 2017. We hereby consent to the incorporation by reference of said reports in the Registration Statements of Universal Electronics Inc. on Forms S-8 (File No. 333-47378, effective October 5, 2000; File No. 333-117782, effective July 30, 2004; File No. 333-149926, effective March 27, 2008; File No. 333-175345, effective July 5, 2011; File No. 333-194511, effective March 12, 2014; and File No. 333-198093, effective August 12, 2014).</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2018</w:t>
      </w:r>
    </w:p>
    <w:p>
      <w:pPr>
        <w:sectPr>
          <w:pgSz w:w="11900" w:h="16838" w:orient="portrait"/>
          <w:cols w:equalWidth="0" w:num="1">
            <w:col w:w="11420"/>
          </w:cols>
          <w:pgMar w:left="240" w:top="580" w:right="2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90" w:lineRule="exact"/>
        <w:rPr>
          <w:sz w:val="20"/>
          <w:szCs w:val="20"/>
          <w:color w:val="auto"/>
        </w:rPr>
      </w:pPr>
    </w:p>
    <w:p>
      <w:pPr>
        <w:ind w:left="660" w:hanging="652"/>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Universal Electronics Inc.;</w:t>
      </w:r>
    </w:p>
    <w:p>
      <w:pPr>
        <w:spacing w:after="0" w:line="9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300" w:hanging="644"/>
        <w:spacing w:after="0" w:line="334" w:lineRule="auto"/>
        <w:tabs>
          <w:tab w:leader="none" w:pos="130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1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2">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90" w:lineRule="exact"/>
        <w:rPr>
          <w:sz w:val="20"/>
          <w:szCs w:val="20"/>
          <w:color w:val="auto"/>
        </w:rPr>
      </w:pPr>
    </w:p>
    <w:p>
      <w:pPr>
        <w:ind w:left="660" w:hanging="652"/>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Universal Electronics Inc.;</w:t>
      </w:r>
    </w:p>
    <w:p>
      <w:pPr>
        <w:spacing w:after="0" w:line="9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300" w:hanging="644"/>
        <w:spacing w:after="0" w:line="334" w:lineRule="auto"/>
        <w:tabs>
          <w:tab w:leader="none" w:pos="130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3">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121" w:right="2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Paul D. Arling, as Chief Executive Officer of Universal Electronics Inc. (the “Company”), certifies, pursuant to 18 U.S.C. Section 1350, as adopted pursuant to Section 906 of the Sarbanes-Oxley Act of 2002, that:</w:t>
      </w:r>
    </w:p>
    <w:p>
      <w:pPr>
        <w:spacing w:after="0" w:line="35" w:lineRule="exact"/>
        <w:rPr>
          <w:sz w:val="20"/>
          <w:szCs w:val="20"/>
          <w:color w:val="auto"/>
        </w:rPr>
      </w:pPr>
    </w:p>
    <w:p>
      <w:pPr>
        <w:ind w:left="660" w:hanging="328"/>
        <w:spacing w:after="0" w:line="334" w:lineRule="auto"/>
        <w:tabs>
          <w:tab w:leader="none" w:pos="6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31, 2017 as filed with the Securities and Exchange Commission on the date hereof (the “Report”) fully complies with the requirements of Section 13(a) or 15(d) of the Securities Exchange Act of 1934; and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4">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12, 2018</w:t>
      </w:r>
    </w:p>
    <w:p>
      <w:pPr>
        <w:sectPr>
          <w:pgSz w:w="11900" w:h="16838" w:orient="portrait"/>
          <w:cols w:equalWidth="0" w:num="1">
            <w:col w:w="11420"/>
          </w:cols>
          <w:pgMar w:left="240" w:top="122" w:right="239"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Bryan M. Hackworth, as Chief Financial Officer of Universal Electronics Inc. (the “Company”), certifies, pursuant to 18 U.S.C. Section 1350, as adopted pursuant to Section 906 of the Sarbanes-Oxley Act of 2002, that:</w:t>
      </w:r>
    </w:p>
    <w:p>
      <w:pPr>
        <w:spacing w:after="0" w:line="35" w:lineRule="exact"/>
        <w:rPr>
          <w:sz w:val="20"/>
          <w:szCs w:val="20"/>
          <w:color w:val="auto"/>
        </w:rPr>
      </w:pPr>
    </w:p>
    <w:p>
      <w:pPr>
        <w:ind w:left="660" w:hanging="328"/>
        <w:spacing w:after="0" w:line="334" w:lineRule="auto"/>
        <w:tabs>
          <w:tab w:leader="none" w:pos="6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31, 2017 as filed with the Securities and Exchange Commission on the date hereof (the “Report”) fully complies with the requirements of Section 13(a) or 15(d) of the Securities Exchange Act of 1934; and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5">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12, 2018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
      <w:numFmt w:val="bullet"/>
      <w:start w:val="1"/>
    </w:lvl>
  </w:abstractNum>
  <w:abstractNum w:abstractNumId="3">
    <w:nsid w:val="1A32234B"/>
    <w:multiLevelType w:val="hybridMultilevel"/>
    <w:lvl w:ilvl="0">
      <w:lvlJc w:val="left"/>
      <w:lvlText w:val="•"/>
      <w:numFmt w:val="bullet"/>
      <w:start w:val="1"/>
    </w:lvl>
  </w:abstractNum>
  <w:abstractNum w:abstractNumId="4">
    <w:nsid w:val="3B0FD379"/>
    <w:multiLevelType w:val="hybridMultilevel"/>
    <w:lvl w:ilvl="0">
      <w:lvlJc w:val="left"/>
      <w:lvlText w:val="•"/>
      <w:numFmt w:val="bullet"/>
      <w:start w:val="1"/>
    </w:lvl>
  </w:abstractNum>
  <w:abstractNum w:abstractNumId="5">
    <w:nsid w:val="68EB2F63"/>
    <w:multiLevelType w:val="hybridMultilevel"/>
    <w:lvl w:ilvl="0">
      <w:lvlJc w:val="left"/>
      <w:lvlText w:val="(%1)"/>
      <w:numFmt w:val="decimal"/>
      <w:start w:val="1"/>
    </w:lvl>
  </w:abstractNum>
  <w:abstractNum w:abstractNumId="6">
    <w:nsid w:val="4962813B"/>
    <w:multiLevelType w:val="hybridMultilevel"/>
    <w:lvl w:ilvl="0">
      <w:lvlJc w:val="left"/>
      <w:lvlText w:val="(%1)"/>
      <w:numFmt w:val="decimal"/>
      <w:start w:val="1"/>
    </w:lvl>
  </w:abstractNum>
  <w:abstractNum w:abstractNumId="7">
    <w:nsid w:val="60B6DF70"/>
    <w:multiLevelType w:val="hybridMultilevel"/>
    <w:lvl w:ilvl="0">
      <w:lvlJc w:val="left"/>
      <w:lvlText w:val="•"/>
      <w:numFmt w:val="bullet"/>
      <w:start w:val="1"/>
    </w:lvl>
  </w:abstractNum>
  <w:abstractNum w:abstractNumId="8">
    <w:nsid w:val="6A5EE64"/>
    <w:multiLevelType w:val="hybridMultilevel"/>
    <w:lvl w:ilvl="0">
      <w:lvlJc w:val="left"/>
      <w:lvlText w:val="•"/>
      <w:numFmt w:val="bullet"/>
      <w:start w:val="1"/>
    </w:lvl>
  </w:abstractNum>
  <w:abstractNum w:abstractNumId="9">
    <w:nsid w:val="14330624"/>
    <w:multiLevelType w:val="hybridMultilevel"/>
    <w:lvl w:ilvl="0">
      <w:lvlJc w:val="left"/>
      <w:lvlText w:val="•"/>
      <w:numFmt w:val="bullet"/>
      <w:start w:val="1"/>
    </w:lvl>
  </w:abstractNum>
  <w:abstractNum w:abstractNumId="10">
    <w:nsid w:val="7FFFCA11"/>
    <w:multiLevelType w:val="hybridMultilevel"/>
    <w:lvl w:ilvl="0">
      <w:lvlJc w:val="left"/>
      <w:lvlText w:val="(%1)"/>
      <w:numFmt w:val="decimal"/>
      <w:start w:val="1"/>
    </w:lvl>
  </w:abstractNum>
  <w:abstractNum w:abstractNumId="11">
    <w:nsid w:val="1A27709E"/>
    <w:multiLevelType w:val="hybridMultilevel"/>
    <w:lvl w:ilvl="0">
      <w:lvlJc w:val="left"/>
      <w:lvlText w:val="(%1)"/>
      <w:numFmt w:val="decimal"/>
      <w:start w:val="1"/>
    </w:lvl>
  </w:abstractNum>
  <w:abstractNum w:abstractNumId="12">
    <w:nsid w:val="71EA1109"/>
    <w:multiLevelType w:val="hybridMultilevel"/>
    <w:lvl w:ilvl="0">
      <w:lvlJc w:val="left"/>
      <w:lvlText w:val="(%1)"/>
      <w:numFmt w:val="decimal"/>
      <w:start w:val="1"/>
    </w:lvl>
  </w:abstractNum>
  <w:abstractNum w:abstractNumId="13">
    <w:nsid w:val="100F59DC"/>
    <w:multiLevelType w:val="hybridMultilevel"/>
    <w:lvl w:ilvl="0">
      <w:lvlJc w:val="left"/>
      <w:lvlText w:val="(%1)"/>
      <w:numFmt w:val="decimal"/>
      <w:start w:val="1"/>
    </w:lvl>
  </w:abstractNum>
  <w:abstractNum w:abstractNumId="14">
    <w:nsid w:val="7FB7E0AA"/>
    <w:multiLevelType w:val="hybridMultilevel"/>
    <w:lvl w:ilvl="0">
      <w:lvlJc w:val="left"/>
      <w:lvlText w:val="•"/>
      <w:numFmt w:val="bullet"/>
      <w:start w:val="1"/>
    </w:lvl>
  </w:abstractNum>
  <w:abstractNum w:abstractNumId="15">
    <w:nsid w:val="6EB5BD4"/>
    <w:multiLevelType w:val="hybridMultilevel"/>
    <w:lvl w:ilvl="0">
      <w:lvlJc w:val="left"/>
      <w:lvlText w:val="•"/>
      <w:numFmt w:val="bullet"/>
      <w:start w:val="1"/>
    </w:lvl>
  </w:abstractNum>
  <w:abstractNum w:abstractNumId="16">
    <w:nsid w:val="6F6DD9AC"/>
    <w:multiLevelType w:val="hybridMultilevel"/>
    <w:lvl w:ilvl="0">
      <w:lvlJc w:val="left"/>
      <w:lvlText w:val="•"/>
      <w:numFmt w:val="bullet"/>
      <w:start w:val="1"/>
    </w:lvl>
  </w:abstractNum>
  <w:abstractNum w:abstractNumId="17">
    <w:nsid w:val="94211F2"/>
    <w:multiLevelType w:val="hybridMultilevel"/>
    <w:lvl w:ilvl="0">
      <w:lvlJc w:val="left"/>
      <w:lvlText w:val="•"/>
      <w:numFmt w:val="bullet"/>
      <w:start w:val="1"/>
    </w:lvl>
  </w:abstractNum>
  <w:abstractNum w:abstractNumId="18">
    <w:nsid w:val="885E1B"/>
    <w:multiLevelType w:val="hybridMultilevel"/>
    <w:lvl w:ilvl="0">
      <w:lvlJc w:val="left"/>
      <w:lvlText w:val="(%1)"/>
      <w:numFmt w:val="decimal"/>
      <w:start w:val="1"/>
    </w:lvl>
  </w:abstractNum>
  <w:abstractNum w:abstractNumId="19">
    <w:nsid w:val="76272110"/>
    <w:multiLevelType w:val="hybridMultilevel"/>
    <w:lvl w:ilvl="0">
      <w:lvlJc w:val="left"/>
      <w:lvlText w:val="%1."/>
      <w:numFmt w:val="lowerLetter"/>
      <w:start w:val="1"/>
    </w:lvl>
  </w:abstractNum>
  <w:abstractNum w:abstractNumId="20">
    <w:nsid w:val="4C04A8AF"/>
    <w:multiLevelType w:val="hybridMultilevel"/>
    <w:lvl w:ilvl="0">
      <w:lvlJc w:val="left"/>
      <w:lvlText w:val="•"/>
      <w:numFmt w:val="bullet"/>
      <w:start w:val="1"/>
    </w:lvl>
  </w:abstractNum>
  <w:abstractNum w:abstractNumId="21">
    <w:nsid w:val="1716703B"/>
    <w:multiLevelType w:val="hybridMultilevel"/>
    <w:lvl w:ilvl="0">
      <w:lvlJc w:val="left"/>
      <w:lvlText w:val="(%1)"/>
      <w:numFmt w:val="decimal"/>
      <w:start w:val="1"/>
    </w:lvl>
  </w:abstractNum>
  <w:abstractNum w:abstractNumId="22">
    <w:nsid w:val="14E17E33"/>
    <w:multiLevelType w:val="hybridMultilevel"/>
    <w:lvl w:ilvl="0">
      <w:lvlJc w:val="left"/>
      <w:lvlText w:val="(%1)"/>
      <w:numFmt w:val="decimal"/>
      <w:start w:val="1"/>
    </w:lvl>
  </w:abstractNum>
  <w:abstractNum w:abstractNumId="23">
    <w:nsid w:val="3222E7CD"/>
    <w:multiLevelType w:val="hybridMultilevel"/>
    <w:lvl w:ilvl="0">
      <w:lvlJc w:val="left"/>
      <w:lvlText w:val="(%1)"/>
      <w:numFmt w:val="decimal"/>
      <w:start w:val="1"/>
    </w:lvl>
  </w:abstractNum>
  <w:abstractNum w:abstractNumId="24">
    <w:nsid w:val="74DE0EE3"/>
    <w:multiLevelType w:val="hybridMultilevel"/>
    <w:lvl w:ilvl="0">
      <w:lvlJc w:val="left"/>
      <w:lvlText w:val="(%1)"/>
      <w:numFmt w:val="decimal"/>
      <w:start w:val="1"/>
    </w:lvl>
  </w:abstractNum>
  <w:abstractNum w:abstractNumId="25">
    <w:nsid w:val="68EBC550"/>
    <w:multiLevelType w:val="hybridMultilevel"/>
    <w:lvl w:ilvl="0">
      <w:lvlJc w:val="left"/>
      <w:lvlText w:val="(%1)"/>
      <w:numFmt w:val="decimal"/>
      <w:start w:val="1"/>
    </w:lvl>
  </w:abstractNum>
  <w:abstractNum w:abstractNumId="26">
    <w:nsid w:val="2DF6D648"/>
    <w:multiLevelType w:val="hybridMultilevel"/>
    <w:lvl w:ilvl="0">
      <w:lvlJc w:val="left"/>
      <w:lvlText w:val="(%1)"/>
      <w:numFmt w:val="decimal"/>
      <w:start w:val="4"/>
    </w:lvl>
  </w:abstractNum>
  <w:abstractNum w:abstractNumId="27">
    <w:nsid w:val="46B7D447"/>
    <w:multiLevelType w:val="hybridMultilevel"/>
    <w:lvl w:ilvl="0">
      <w:lvlJc w:val="left"/>
      <w:lvlText w:val="(%1)"/>
      <w:numFmt w:val="decimal"/>
      <w:start w:val="1"/>
    </w:lvl>
  </w:abstractNum>
  <w:abstractNum w:abstractNumId="28">
    <w:nsid w:val="4A2AC315"/>
    <w:multiLevelType w:val="hybridMultilevel"/>
    <w:lvl w:ilvl="0">
      <w:lvlJc w:val="left"/>
      <w:lvlText w:val="(%1)"/>
      <w:numFmt w:val="decimal"/>
      <w:start w:val="1"/>
    </w:lvl>
  </w:abstractNum>
  <w:abstractNum w:abstractNumId="29">
    <w:nsid w:val="39EE015C"/>
    <w:multiLevelType w:val="hybridMultilevel"/>
    <w:lvl w:ilvl="0">
      <w:lvlJc w:val="left"/>
      <w:lvlText w:val="(%1)"/>
      <w:numFmt w:val="decimal"/>
      <w:start w:val="1"/>
    </w:lvl>
  </w:abstractNum>
  <w:abstractNum w:abstractNumId="30">
    <w:nsid w:val="57FC4FBB"/>
    <w:multiLevelType w:val="hybridMultilevel"/>
    <w:lvl w:ilvl="0">
      <w:lvlJc w:val="left"/>
      <w:lvlText w:val="(%1)"/>
      <w:numFmt w:val="decimal"/>
      <w:start w:val="1"/>
    </w:lvl>
  </w:abstractNum>
  <w:abstractNum w:abstractNumId="31">
    <w:nsid w:val="CC1016F"/>
    <w:multiLevelType w:val="hybridMultilevel"/>
    <w:lvl w:ilvl="0">
      <w:lvlJc w:val="left"/>
      <w:lvlText w:val="(%1)"/>
      <w:numFmt w:val="decimal"/>
      <w:start w:val="1"/>
    </w:lvl>
  </w:abstractNum>
  <w:abstractNum w:abstractNumId="32">
    <w:nsid w:val="43F18422"/>
    <w:multiLevelType w:val="hybridMultilevel"/>
    <w:lvl w:ilvl="0">
      <w:lvlJc w:val="left"/>
      <w:lvlText w:val="(%1)"/>
      <w:numFmt w:val="decimal"/>
      <w:start w:val="1"/>
    </w:lvl>
  </w:abstractNum>
  <w:abstractNum w:abstractNumId="33">
    <w:nsid w:val="60EF0119"/>
    <w:multiLevelType w:val="hybridMultilevel"/>
    <w:lvl w:ilvl="0">
      <w:lvlJc w:val="left"/>
      <w:lvlText w:val="%1."/>
      <w:numFmt w:val="decimal"/>
      <w:start w:val="1"/>
    </w:lvl>
  </w:abstractNum>
  <w:abstractNum w:abstractNumId="34">
    <w:nsid w:val="26F324BA"/>
    <w:multiLevelType w:val="hybridMultilevel"/>
    <w:lvl w:ilvl="0">
      <w:lvlJc w:val="left"/>
      <w:lvlText w:val="%1."/>
      <w:numFmt w:val="decimal"/>
      <w:start w:val="3"/>
    </w:lvl>
  </w:abstractNum>
  <w:abstractNum w:abstractNumId="35">
    <w:nsid w:val="7F01579B"/>
    <w:multiLevelType w:val="hybridMultilevel"/>
    <w:lvl w:ilvl="0">
      <w:lvlJc w:val="left"/>
      <w:lvlText w:val="(%1)"/>
      <w:numFmt w:val="lowerLetter"/>
      <w:start w:val="1"/>
    </w:lvl>
    <w:lvl w:ilvl="1">
      <w:lvlJc w:val="left"/>
      <w:lvlText w:val="-"/>
      <w:numFmt w:val="bullet"/>
      <w:start w:val="1"/>
    </w:lvl>
  </w:abstractNum>
  <w:abstractNum w:abstractNumId="36">
    <w:nsid w:val="49DA307D"/>
    <w:multiLevelType w:val="hybridMultilevel"/>
    <w:lvl w:ilvl="0">
      <w:lvlJc w:val="left"/>
      <w:lvlText w:val="(%1)"/>
      <w:numFmt w:val="lowerLetter"/>
      <w:start w:val="3"/>
    </w:lvl>
  </w:abstractNum>
  <w:abstractNum w:abstractNumId="37">
    <w:nsid w:val="7055A5F5"/>
    <w:multiLevelType w:val="hybridMultilevel"/>
    <w:lvl w:ilvl="0">
      <w:lvlJc w:val="left"/>
      <w:lvlText w:val="(%1)"/>
      <w:numFmt w:val="lowerLetter"/>
      <w:start w:val="1"/>
    </w:lvl>
  </w:abstractNum>
  <w:abstractNum w:abstractNumId="38">
    <w:nsid w:val="5FB8370B"/>
    <w:multiLevelType w:val="hybridMultilevel"/>
    <w:lvl w:ilvl="0">
      <w:lvlJc w:val="left"/>
      <w:lvlText w:val="(%1)"/>
      <w:numFmt w:val="lowerLetter"/>
      <w:start w:val="1"/>
    </w:lvl>
  </w:abstractNum>
  <w:abstractNum w:abstractNumId="39">
    <w:nsid w:val="50801EE1"/>
    <w:multiLevelType w:val="hybridMultilevel"/>
    <w:lvl w:ilvl="0">
      <w:lvlJc w:val="left"/>
      <w:lvlText w:val="(%1)"/>
      <w:numFmt w:val="lowerLetter"/>
      <w:start w:val="1"/>
    </w:lvl>
    <w:lvl w:ilvl="1">
      <w:lvlJc w:val="left"/>
      <w:lvlText w:val="(%2)"/>
      <w:numFmt w:val="decimal"/>
      <w:start w:val="1"/>
    </w:lvl>
  </w:abstractNum>
  <w:abstractNum w:abstractNumId="40">
    <w:nsid w:val="488AC1A"/>
    <w:multiLevelType w:val="hybridMultilevel"/>
    <w:lvl w:ilvl="0">
      <w:lvlJc w:val="left"/>
      <w:lvlText w:val="%1."/>
      <w:numFmt w:val="upperLetter"/>
      <w:start w:val="1"/>
    </w:lvl>
  </w:abstractNum>
  <w:abstractNum w:abstractNumId="41">
    <w:nsid w:val="5FB8011C"/>
    <w:multiLevelType w:val="hybridMultilevel"/>
    <w:lvl w:ilvl="0">
      <w:lvlJc w:val="left"/>
      <w:lvlText w:val="(%1)"/>
      <w:numFmt w:val="lowerRoman"/>
      <w:start w:val="2"/>
    </w:lvl>
  </w:abstractNum>
  <w:abstractNum w:abstractNumId="42">
    <w:nsid w:val="6AA78F7F"/>
    <w:multiLevelType w:val="hybridMultilevel"/>
    <w:lvl w:ilvl="0">
      <w:lvlJc w:val="left"/>
      <w:lvlText w:val="(%1)"/>
      <w:numFmt w:val="lowerLetter"/>
      <w:start w:val="7"/>
    </w:lvl>
  </w:abstractNum>
  <w:abstractNum w:abstractNumId="43">
    <w:nsid w:val="7672BD23"/>
    <w:multiLevelType w:val="hybridMultilevel"/>
    <w:lvl w:ilvl="0">
      <w:lvlJc w:val="left"/>
      <w:lvlText w:val="(%1)"/>
      <w:numFmt w:val="lowerRoman"/>
      <w:start w:val="1"/>
    </w:lvl>
  </w:abstractNum>
  <w:abstractNum w:abstractNumId="44">
    <w:nsid w:val="6FC75AF8"/>
    <w:multiLevelType w:val="hybridMultilevel"/>
    <w:lvl w:ilvl="0">
      <w:lvlJc w:val="left"/>
      <w:lvlText w:val="(%1)"/>
      <w:numFmt w:val="lowerLetter"/>
      <w:start w:val="1"/>
    </w:lvl>
  </w:abstractNum>
  <w:abstractNum w:abstractNumId="45">
    <w:nsid w:val="6A5F7029"/>
    <w:multiLevelType w:val="hybridMultilevel"/>
    <w:lvl w:ilvl="0">
      <w:lvlJc w:val="left"/>
      <w:lvlText w:val="(%1)"/>
      <w:numFmt w:val="lowerLetter"/>
      <w:start w:val="3"/>
    </w:lvl>
  </w:abstractNum>
  <w:abstractNum w:abstractNumId="46">
    <w:nsid w:val="7D5E18F8"/>
    <w:multiLevelType w:val="hybridMultilevel"/>
    <w:lvl w:ilvl="0">
      <w:lvlJc w:val="left"/>
      <w:lvlText w:val="(%1)"/>
      <w:numFmt w:val="lowerLetter"/>
      <w:start w:val="5"/>
    </w:lvl>
  </w:abstractNum>
  <w:abstractNum w:abstractNumId="47">
    <w:nsid w:val="5F3534A4"/>
    <w:multiLevelType w:val="hybridMultilevel"/>
    <w:lvl w:ilvl="0">
      <w:lvlJc w:val="left"/>
      <w:lvlText w:val="(%1)"/>
      <w:numFmt w:val="lowerLetter"/>
      <w:start w:val="1"/>
    </w:lvl>
  </w:abstractNum>
  <w:abstractNum w:abstractNumId="48">
    <w:nsid w:val="73A1821B"/>
    <w:multiLevelType w:val="hybridMultilevel"/>
    <w:lvl w:ilvl="0">
      <w:lvlJc w:val="left"/>
      <w:lvlText w:val="(%1)"/>
      <w:numFmt w:val="lowerRoman"/>
      <w:start w:val="1"/>
    </w:lvl>
  </w:abstractNum>
  <w:abstractNum w:abstractNumId="49">
    <w:nsid w:val="7DE67713"/>
    <w:multiLevelType w:val="hybridMultilevel"/>
    <w:lvl w:ilvl="0">
      <w:lvlJc w:val="left"/>
      <w:lvlText w:val="(%1)"/>
      <w:numFmt w:val="lowerRoman"/>
      <w:start w:val="2"/>
    </w:lvl>
  </w:abstractNum>
  <w:abstractNum w:abstractNumId="50">
    <w:nsid w:val="555C55B5"/>
    <w:multiLevelType w:val="hybridMultilevel"/>
    <w:lvl w:ilvl="0">
      <w:lvlJc w:val="left"/>
      <w:lvlText w:val="(%1)"/>
      <w:numFmt w:val="lowerRoman"/>
      <w:start w:val="1"/>
    </w:lvl>
  </w:abstractNum>
  <w:abstractNum w:abstractNumId="51">
    <w:nsid w:val="3FA62ACA"/>
    <w:multiLevelType w:val="hybridMultilevel"/>
    <w:lvl w:ilvl="0">
      <w:lvlJc w:val="left"/>
      <w:lvlText w:val="(%1)"/>
      <w:numFmt w:val="lowerLetter"/>
      <w:start w:val="1"/>
    </w:lvl>
  </w:abstractNum>
  <w:abstractNum w:abstractNumId="52">
    <w:nsid w:val="14FCE74E"/>
    <w:multiLevelType w:val="hybridMultilevel"/>
    <w:lvl w:ilvl="0">
      <w:lvlJc w:val="left"/>
      <w:lvlText w:val="%1"/>
      <w:numFmt w:val="lowerLetter"/>
      <w:start w:val="1"/>
    </w:lvl>
    <w:lvl w:ilvl="1">
      <w:lvlJc w:val="left"/>
      <w:lvlText w:val="(%2)"/>
      <w:numFmt w:val="lowerLetter"/>
      <w:start w:val="3"/>
    </w:lvl>
  </w:abstractNum>
  <w:abstractNum w:abstractNumId="53">
    <w:nsid w:val="6A3DD3E8"/>
    <w:multiLevelType w:val="hybridMultilevel"/>
    <w:lvl w:ilvl="0">
      <w:lvlJc w:val="left"/>
      <w:lvlText w:val="(%1)"/>
      <w:numFmt w:val="lowerLetter"/>
      <w:start w:val="4"/>
    </w:lvl>
    <w:lvl w:ilvl="1">
      <w:lvlJc w:val="left"/>
      <w:lvlText w:val="%2"/>
      <w:numFmt w:val="lowerLetter"/>
      <w:start w:val="1"/>
    </w:lvl>
  </w:abstractNum>
  <w:abstractNum w:abstractNumId="54">
    <w:nsid w:val="71C91298"/>
    <w:multiLevelType w:val="hybridMultilevel"/>
    <w:lvl w:ilvl="0">
      <w:lvlJc w:val="left"/>
      <w:lvlText w:val="(%1)"/>
      <w:numFmt w:val="lowerRoman"/>
      <w:start w:val="1"/>
    </w:lvl>
  </w:abstractNum>
  <w:abstractNum w:abstractNumId="55">
    <w:nsid w:val="9DAF632"/>
    <w:multiLevelType w:val="hybridMultilevel"/>
    <w:lvl w:ilvl="0">
      <w:lvlJc w:val="left"/>
      <w:lvlText w:val="(%1)"/>
      <w:numFmt w:val="lowerRoman"/>
      <w:start w:val="1"/>
    </w:lvl>
  </w:abstractNum>
  <w:abstractNum w:abstractNumId="56">
    <w:nsid w:val="53299938"/>
    <w:multiLevelType w:val="hybridMultilevel"/>
    <w:lvl w:ilvl="0">
      <w:lvlJc w:val="left"/>
      <w:lvlText w:val="(%1)"/>
      <w:numFmt w:val="lowerLetter"/>
      <w:start w:val="1"/>
    </w:lvl>
  </w:abstractNum>
  <w:abstractNum w:abstractNumId="57">
    <w:nsid w:val="1FBFE8E0"/>
    <w:multiLevelType w:val="hybridMultilevel"/>
    <w:lvl w:ilvl="0">
      <w:lvlJc w:val="left"/>
      <w:lvlText w:val="(%1)"/>
      <w:numFmt w:val="lowerLetter"/>
      <w:start w:val="2"/>
    </w:lvl>
  </w:abstractNum>
  <w:abstractNum w:abstractNumId="58">
    <w:nsid w:val="5092CA79"/>
    <w:multiLevelType w:val="hybridMultilevel"/>
    <w:lvl w:ilvl="0">
      <w:lvlJc w:val="left"/>
      <w:lvlText w:val="%1"/>
      <w:numFmt w:val="lowerLetter"/>
      <w:start w:val="1"/>
    </w:lvl>
    <w:lvl w:ilvl="1">
      <w:lvlJc w:val="left"/>
      <w:lvlText w:val="(%2)"/>
      <w:numFmt w:val="lowerLetter"/>
      <w:start w:val="1"/>
    </w:lvl>
  </w:abstractNum>
  <w:abstractNum w:abstractNumId="59">
    <w:nsid w:val="1D545C4D"/>
    <w:multiLevelType w:val="hybridMultilevel"/>
    <w:lvl w:ilvl="0">
      <w:lvlJc w:val="left"/>
      <w:lvlText w:val="(%1)"/>
      <w:numFmt w:val="lowerLetter"/>
      <w:start w:val="1"/>
    </w:lvl>
    <w:lvl w:ilvl="1">
      <w:lvlJc w:val="left"/>
      <w:lvlText w:val="(%2)"/>
      <w:numFmt w:val="lowerLetter"/>
      <w:start w:val="4"/>
    </w:lvl>
  </w:abstractNum>
  <w:abstractNum w:abstractNumId="60">
    <w:nsid w:val="59ADEA3D"/>
    <w:multiLevelType w:val="hybridMultilevel"/>
    <w:lvl w:ilvl="0">
      <w:lvlJc w:val="left"/>
      <w:lvlText w:val="(%1)"/>
      <w:numFmt w:val="lowerLetter"/>
      <w:start w:val="1"/>
    </w:lvl>
  </w:abstractNum>
  <w:abstractNum w:abstractNumId="61">
    <w:nsid w:val="288F1A34"/>
    <w:multiLevelType w:val="hybridMultilevel"/>
    <w:lvl w:ilvl="0">
      <w:lvlJc w:val="left"/>
      <w:lvlText w:val="(%1)"/>
      <w:numFmt w:val="lowerLetter"/>
      <w:start w:val="61"/>
    </w:lvl>
    <w:lvl w:ilvl="1">
      <w:lvlJc w:val="left"/>
      <w:lvlText w:val="(%2)"/>
      <w:numFmt w:val="lowerLetter"/>
      <w:start w:val="2"/>
    </w:lvl>
  </w:abstractNum>
  <w:abstractNum w:abstractNumId="62">
    <w:nsid w:val="2A155DBC"/>
    <w:multiLevelType w:val="hybridMultilevel"/>
    <w:lvl w:ilvl="0">
      <w:lvlJc w:val="left"/>
      <w:lvlText w:val="(%1)"/>
      <w:numFmt w:val="lowerLetter"/>
      <w:start w:val="4"/>
    </w:lvl>
  </w:abstractNum>
  <w:abstractNum w:abstractNumId="63">
    <w:nsid w:val="1D9F6E5F"/>
    <w:multiLevelType w:val="hybridMultilevel"/>
    <w:lvl w:ilvl="0">
      <w:lvlJc w:val="left"/>
      <w:lvlText w:val="(%1)"/>
      <w:numFmt w:val="lowerLetter"/>
      <w:start w:val="7"/>
    </w:lvl>
  </w:abstractNum>
  <w:abstractNum w:abstractNumId="64">
    <w:nsid w:val="97E1B4E"/>
    <w:multiLevelType w:val="hybridMultilevel"/>
    <w:lvl w:ilvl="0">
      <w:lvlJc w:val="left"/>
      <w:lvlText w:val="(%1)"/>
      <w:numFmt w:val="lowerRoman"/>
      <w:start w:val="1"/>
    </w:lvl>
  </w:abstractNum>
  <w:abstractNum w:abstractNumId="65">
    <w:nsid w:val="51088277"/>
    <w:multiLevelType w:val="hybridMultilevel"/>
    <w:lvl w:ilvl="0">
      <w:lvlJc w:val="left"/>
      <w:lvlText w:val="(%1)"/>
      <w:numFmt w:val="lowerLetter"/>
      <w:start w:val="24"/>
    </w:lvl>
    <w:lvl w:ilvl="1">
      <w:lvlJc w:val="left"/>
      <w:lvlText w:val="(%2)"/>
      <w:numFmt w:val="lowerLetter"/>
      <w:start w:val="10"/>
    </w:lvl>
  </w:abstractNum>
  <w:abstractNum w:abstractNumId="66">
    <w:nsid w:val="1CA0C5FA"/>
    <w:multiLevelType w:val="hybridMultilevel"/>
    <w:lvl w:ilvl="0">
      <w:lvlJc w:val="left"/>
      <w:lvlText w:val="(%1)"/>
      <w:numFmt w:val="lowerLetter"/>
      <w:start w:val="12"/>
    </w:lvl>
  </w:abstractNum>
  <w:abstractNum w:abstractNumId="67">
    <w:nsid w:val="53584BCB"/>
    <w:multiLevelType w:val="hybridMultilevel"/>
    <w:lvl w:ilvl="0">
      <w:lvlJc w:val="left"/>
      <w:lvlText w:val="(%1)"/>
      <w:numFmt w:val="lowerRoman"/>
      <w:start w:val="1"/>
    </w:lvl>
  </w:abstractNum>
  <w:abstractNum w:abstractNumId="68">
    <w:nsid w:val="415E286C"/>
    <w:multiLevelType w:val="hybridMultilevel"/>
    <w:lvl w:ilvl="0">
      <w:lvlJc w:val="left"/>
      <w:lvlText w:val="(%1)"/>
      <w:numFmt w:val="lowerLetter"/>
      <w:start w:val="1"/>
    </w:lvl>
  </w:abstractNum>
  <w:abstractNum w:abstractNumId="69">
    <w:nsid w:val="7C58FD05"/>
    <w:multiLevelType w:val="hybridMultilevel"/>
    <w:lvl w:ilvl="0">
      <w:lvlJc w:val="left"/>
      <w:lvlText w:val="(%1)"/>
      <w:numFmt w:val="lowerRoman"/>
      <w:start w:val="1"/>
    </w:lvl>
  </w:abstractNum>
  <w:abstractNum w:abstractNumId="70">
    <w:nsid w:val="23D86AAC"/>
    <w:multiLevelType w:val="hybridMultilevel"/>
    <w:lvl w:ilvl="0">
      <w:lvlJc w:val="left"/>
      <w:lvlText w:val="(%1)"/>
      <w:numFmt w:val="lowerRoman"/>
      <w:start w:val="2"/>
    </w:lvl>
  </w:abstractNum>
  <w:abstractNum w:abstractNumId="71">
    <w:nsid w:val="45E6D486"/>
    <w:multiLevelType w:val="hybridMultilevel"/>
    <w:lvl w:ilvl="0">
      <w:lvlJc w:val="left"/>
      <w:lvlText w:val="(%1)"/>
      <w:numFmt w:val="lowerRoman"/>
      <w:start w:val="3"/>
    </w:lvl>
  </w:abstractNum>
  <w:abstractNum w:abstractNumId="72">
    <w:nsid w:val="5C10FE21"/>
    <w:multiLevelType w:val="hybridMultilevel"/>
    <w:lvl w:ilvl="0">
      <w:lvlJc w:val="left"/>
      <w:lvlText w:val="(%1)"/>
      <w:numFmt w:val="lowerLetter"/>
      <w:start w:val="2"/>
    </w:lvl>
  </w:abstractNum>
  <w:abstractNum w:abstractNumId="73">
    <w:nsid w:val="E7FFA2B"/>
    <w:multiLevelType w:val="hybridMultilevel"/>
    <w:lvl w:ilvl="0">
      <w:lvlJc w:val="left"/>
      <w:lvlText w:val="(%1)"/>
      <w:numFmt w:val="lowerLetter"/>
      <w:start w:val="3"/>
    </w:lvl>
    <w:lvl w:ilvl="1">
      <w:lvlJc w:val="left"/>
      <w:lvlText w:val="(%2)"/>
      <w:numFmt w:val="lowerRoman"/>
      <w:start w:val="1"/>
    </w:lvl>
  </w:abstractNum>
  <w:abstractNum w:abstractNumId="74">
    <w:nsid w:val="3C5991AA"/>
    <w:multiLevelType w:val="hybridMultilevel"/>
    <w:lvl w:ilvl="0">
      <w:lvlJc w:val="left"/>
      <w:lvlText w:val="(%1)"/>
      <w:numFmt w:val="lowerRoman"/>
      <w:start w:val="3"/>
    </w:lvl>
  </w:abstractNum>
  <w:abstractNum w:abstractNumId="75">
    <w:nsid w:val="4BD8591A"/>
    <w:multiLevelType w:val="hybridMultilevel"/>
    <w:lvl w:ilvl="0">
      <w:lvlJc w:val="left"/>
      <w:lvlText w:val="(%1)"/>
      <w:numFmt w:val="lowerLetter"/>
      <w:start w:val="1"/>
    </w:lvl>
  </w:abstractNum>
  <w:abstractNum w:abstractNumId="76">
    <w:nsid w:val="78DF6A55"/>
    <w:multiLevelType w:val="hybridMultilevel"/>
    <w:lvl w:ilvl="0">
      <w:lvlJc w:val="left"/>
      <w:lvlText w:val="%1"/>
      <w:numFmt w:val="decimal"/>
      <w:start w:val="1"/>
    </w:lvl>
    <w:lvl w:ilvl="1">
      <w:lvlJc w:val="left"/>
      <w:lvlText w:val="(%2)"/>
      <w:numFmt w:val="lowerLetter"/>
      <w:start w:val="1"/>
    </w:lvl>
  </w:abstractNum>
  <w:abstractNum w:abstractNumId="77">
    <w:nsid w:val="39B7AAA2"/>
    <w:multiLevelType w:val="hybridMultilevel"/>
    <w:lvl w:ilvl="0">
      <w:lvlJc w:val="left"/>
      <w:lvlText w:val="(%1)"/>
      <w:numFmt w:val="decimal"/>
      <w:start w:val="15"/>
    </w:lvl>
    <w:lvl w:ilvl="1">
      <w:lvlJc w:val="left"/>
      <w:lvlText w:val="(%2)"/>
      <w:numFmt w:val="lowerLetter"/>
      <w:start w:val="4"/>
    </w:lvl>
  </w:abstractNum>
  <w:abstractNum w:abstractNumId="78">
    <w:nsid w:val="2B0D8DBE"/>
    <w:multiLevelType w:val="hybridMultilevel"/>
    <w:lvl w:ilvl="0">
      <w:lvlJc w:val="left"/>
      <w:lvlText w:val="(%1)"/>
      <w:numFmt w:val="lowerLetter"/>
      <w:start w:val="5"/>
    </w:lvl>
    <w:lvl w:ilvl="1">
      <w:lvlJc w:val="left"/>
      <w:lvlText w:val="(%2)"/>
      <w:numFmt w:val="upperLetter"/>
    </w:lvl>
    <w:lvl w:ilvl="2">
      <w:lvlJc w:val="left"/>
      <w:lvlText w:val="(%3)"/>
      <w:numFmt w:val="lowerLetter"/>
      <w:start w:val="35"/>
    </w:lvl>
  </w:abstractNum>
  <w:abstractNum w:abstractNumId="79">
    <w:nsid w:val="6C80EC70"/>
    <w:multiLevelType w:val="hybridMultilevel"/>
    <w:lvl w:ilvl="0">
      <w:lvlJc w:val="left"/>
      <w:lvlText w:val="(%1)"/>
      <w:numFmt w:val="decimal"/>
      <w:start w:val="1"/>
    </w:lvl>
  </w:abstractNum>
  <w:abstractNum w:abstractNumId="80">
    <w:nsid w:val="379E21B5"/>
    <w:multiLevelType w:val="hybridMultilevel"/>
    <w:lvl w:ilvl="0">
      <w:lvlJc w:val="left"/>
      <w:lvlText w:val="%1"/>
      <w:numFmt w:val="upperLetter"/>
      <w:start w:val="1"/>
    </w:lvl>
    <w:lvl w:ilvl="1">
      <w:lvlJc w:val="left"/>
      <w:lvlText w:val="(%2)"/>
      <w:numFmt w:val="decimal"/>
      <w:start w:val="2"/>
    </w:lvl>
  </w:abstractNum>
  <w:abstractNum w:abstractNumId="81">
    <w:nsid w:val="69E373"/>
    <w:multiLevelType w:val="hybridMultilevel"/>
    <w:lvl w:ilvl="0">
      <w:lvlJc w:val="left"/>
      <w:lvlText w:val="(%1)"/>
      <w:numFmt w:val="upperLetter"/>
      <w:start w:val="3"/>
    </w:lvl>
    <w:lvl w:ilvl="1">
      <w:lvlJc w:val="left"/>
      <w:lvlText w:val="%2"/>
      <w:numFmt w:val="decimal"/>
      <w:start w:val="1"/>
    </w:lvl>
  </w:abstractNum>
  <w:abstractNum w:abstractNumId="82">
    <w:nsid w:val="2C27173B"/>
    <w:multiLevelType w:val="hybridMultilevel"/>
    <w:lvl w:ilvl="0">
      <w:lvlJc w:val="left"/>
      <w:lvlText w:val="(%1)"/>
      <w:numFmt w:val="lowerRoman"/>
      <w:start w:val="3"/>
    </w:lvl>
  </w:abstractNum>
  <w:abstractNum w:abstractNumId="83">
    <w:nsid w:val="4C9B0904"/>
    <w:multiLevelType w:val="hybridMultilevel"/>
    <w:lvl w:ilvl="0">
      <w:lvlJc w:val="left"/>
      <w:lvlText w:val="(%1)"/>
      <w:numFmt w:val="lowerLetter"/>
      <w:start w:val="7"/>
    </w:lvl>
    <w:lvl w:ilvl="1">
      <w:lvlJc w:val="left"/>
      <w:lvlText w:val="(%2)"/>
      <w:numFmt w:val="lowerLetter"/>
      <w:start w:val="8"/>
    </w:lvl>
  </w:abstractNum>
  <w:abstractNum w:abstractNumId="84">
    <w:nsid w:val="6AA7B75C"/>
    <w:multiLevelType w:val="hybridMultilevel"/>
    <w:lvl w:ilvl="0">
      <w:lvlJc w:val="left"/>
      <w:lvlText w:val="(%1)"/>
      <w:numFmt w:val="lowerLetter"/>
      <w:start w:val="10"/>
    </w:lvl>
  </w:abstractNum>
  <w:abstractNum w:abstractNumId="85">
    <w:nsid w:val="1DF029D3"/>
    <w:multiLevelType w:val="hybridMultilevel"/>
    <w:lvl w:ilvl="0">
      <w:lvlJc w:val="left"/>
      <w:lvlText w:val="(%1)"/>
      <w:numFmt w:val="lowerLetter"/>
      <w:start w:val="2"/>
    </w:lvl>
  </w:abstractNum>
  <w:abstractNum w:abstractNumId="86">
    <w:nsid w:val="5675FF36"/>
    <w:multiLevelType w:val="hybridMultilevel"/>
    <w:lvl w:ilvl="0">
      <w:lvlJc w:val="left"/>
      <w:lvlText w:val="(%1)"/>
      <w:numFmt w:val="lowerLetter"/>
      <w:start w:val="8"/>
    </w:lvl>
  </w:abstractNum>
  <w:abstractNum w:abstractNumId="87">
    <w:nsid w:val="3DD15094"/>
    <w:multiLevelType w:val="hybridMultilevel"/>
    <w:lvl w:ilvl="0">
      <w:lvlJc w:val="left"/>
      <w:lvlText w:val="%1"/>
      <w:numFmt w:val="lowerLetter"/>
      <w:start w:val="1"/>
    </w:lvl>
    <w:lvl w:ilvl="1">
      <w:lvlJc w:val="left"/>
      <w:lvlText w:val="(%2)"/>
      <w:numFmt w:val="lowerLetter"/>
      <w:start w:val="9"/>
    </w:lvl>
  </w:abstractNum>
  <w:abstractNum w:abstractNumId="88">
    <w:nsid w:val="3DB012B3"/>
    <w:multiLevelType w:val="hybridMultilevel"/>
    <w:lvl w:ilvl="0">
      <w:lvlJc w:val="left"/>
      <w:lvlText w:val="(%1)"/>
      <w:numFmt w:val="lowerLetter"/>
      <w:start w:val="61"/>
    </w:lvl>
    <w:lvl w:ilvl="1">
      <w:lvlJc w:val="left"/>
      <w:lvlText w:val="(%2)"/>
      <w:numFmt w:val="lowerLetter"/>
      <w:start w:val="12"/>
    </w:lvl>
  </w:abstractNum>
  <w:abstractNum w:abstractNumId="89">
    <w:nsid w:val="2708C9AF"/>
    <w:multiLevelType w:val="hybridMultilevel"/>
    <w:lvl w:ilvl="0">
      <w:lvlJc w:val="left"/>
      <w:lvlText w:val="(%1)"/>
      <w:numFmt w:val="lowerLetter"/>
      <w:start w:val="1"/>
    </w:lvl>
  </w:abstractNum>
  <w:abstractNum w:abstractNumId="90">
    <w:nsid w:val="5B25ACE2"/>
    <w:multiLevelType w:val="hybridMultilevel"/>
    <w:lvl w:ilvl="0">
      <w:lvlJc w:val="left"/>
      <w:lvlText w:val="(%1)"/>
      <w:numFmt w:val="lowerLetter"/>
      <w:start w:val="1"/>
    </w:lvl>
  </w:abstractNum>
  <w:abstractNum w:abstractNumId="91">
    <w:nsid w:val="175DFCF0"/>
    <w:multiLevelType w:val="hybridMultilevel"/>
    <w:lvl w:ilvl="0">
      <w:lvlJc w:val="left"/>
      <w:lvlText w:val="(%1)"/>
      <w:numFmt w:val="lowerLetter"/>
      <w:start w:val="2"/>
    </w:lvl>
  </w:abstractNum>
  <w:abstractNum w:abstractNumId="92">
    <w:nsid w:val="4F97E3E4"/>
    <w:multiLevelType w:val="hybridMultilevel"/>
    <w:lvl w:ilvl="0">
      <w:lvlJc w:val="left"/>
      <w:lvlText w:val="(%1)"/>
      <w:numFmt w:val="lowerLetter"/>
      <w:start w:val="1"/>
    </w:lvl>
  </w:abstractNum>
  <w:abstractNum w:abstractNumId="93">
    <w:nsid w:val="53B0A9E"/>
    <w:multiLevelType w:val="hybridMultilevel"/>
    <w:lvl w:ilvl="0">
      <w:lvlJc w:val="left"/>
      <w:lvlText w:val="(%1)"/>
      <w:numFmt w:val="lowerLetter"/>
      <w:start w:val="9"/>
    </w:lvl>
  </w:abstractNum>
  <w:abstractNum w:abstractNumId="94">
    <w:nsid w:val="34FD6B4F"/>
    <w:multiLevelType w:val="hybridMultilevel"/>
    <w:lvl w:ilvl="0">
      <w:lvlJc w:val="left"/>
      <w:lvlText w:val="(%1)"/>
      <w:numFmt w:val="lowerLetter"/>
      <w:start w:val="1"/>
    </w:lvl>
  </w:abstractNum>
  <w:abstractNum w:abstractNumId="95">
    <w:nsid w:val="5915FF32"/>
    <w:multiLevelType w:val="hybridMultilevel"/>
    <w:lvl w:ilvl="0">
      <w:lvlJc w:val="left"/>
      <w:lvlText w:val="(%1)"/>
      <w:numFmt w:val="lowerLetter"/>
      <w:start w:val="2"/>
    </w:lvl>
  </w:abstractNum>
  <w:abstractNum w:abstractNumId="96">
    <w:nsid w:val="56438D15"/>
    <w:multiLevelType w:val="hybridMultilevel"/>
    <w:lvl w:ilvl="0">
      <w:lvlJc w:val="left"/>
      <w:lvlText w:val="(%1)"/>
      <w:numFmt w:val="lowerLetter"/>
      <w:start w:val="4"/>
    </w:lvl>
  </w:abstractNum>
  <w:abstractNum w:abstractNumId="97">
    <w:nsid w:val="519E3149"/>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2"/>
    </w:lvl>
    <w:lvl w:ilvl="3">
      <w:lvlJc w:val="left"/>
      <w:lvlText w:val="(%4)"/>
      <w:numFmt w:val="lowerLetter"/>
      <w:start w:val="5"/>
    </w:lvl>
  </w:abstractNum>
  <w:abstractNum w:abstractNumId="98">
    <w:nsid w:val="2C6E4AF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
    </w:lvl>
    <w:lvl w:ilvl="3">
      <w:lvlJc w:val="left"/>
      <w:lvlText w:val="%4"/>
      <w:numFmt w:val="lowerLetter"/>
      <w:start w:val="1"/>
    </w:lvl>
  </w:abstractNum>
  <w:abstractNum w:abstractNumId="99">
    <w:nsid w:val="17A1B582"/>
    <w:multiLevelType w:val="hybridMultilevel"/>
    <w:lvl w:ilvl="0">
      <w:lvlJc w:val="left"/>
      <w:lvlText w:val="(%1)"/>
      <w:numFmt w:val="lowerLetter"/>
      <w:start w:val="1"/>
    </w:lvl>
  </w:abstractNum>
  <w:abstractNum w:abstractNumId="100">
    <w:nsid w:val="4DF72E4E"/>
    <w:multiLevelType w:val="hybridMultilevel"/>
    <w:lvl w:ilvl="0">
      <w:lvlJc w:val="left"/>
      <w:lvlText w:val="(%1)"/>
      <w:numFmt w:val="lowerLetter"/>
      <w:start w:val="4"/>
    </w:lvl>
  </w:abstractNum>
  <w:abstractNum w:abstractNumId="101">
    <w:nsid w:val="5046B5A9"/>
    <w:multiLevelType w:val="hybridMultilevel"/>
    <w:lvl w:ilvl="0">
      <w:lvlJc w:val="left"/>
      <w:lvlText w:val="(%1)"/>
      <w:numFmt w:val="lowerLetter"/>
      <w:start w:val="1"/>
    </w:lvl>
    <w:lvl w:ilvl="1">
      <w:lvlJc w:val="left"/>
      <w:lvlText w:val="(%2)"/>
      <w:numFmt w:val="lowerLetter"/>
      <w:start w:val="3"/>
    </w:lvl>
  </w:abstractNum>
  <w:abstractNum w:abstractNumId="102">
    <w:nsid w:val="5D888A08"/>
    <w:multiLevelType w:val="hybridMultilevel"/>
    <w:lvl w:ilvl="0">
      <w:lvlJc w:val="left"/>
      <w:lvlText w:val="(%1)"/>
      <w:numFmt w:val="lowerLetter"/>
      <w:start w:val="5"/>
    </w:lvl>
  </w:abstractNum>
  <w:abstractNum w:abstractNumId="103">
    <w:nsid w:val="2A082C70"/>
    <w:multiLevelType w:val="hybridMultilevel"/>
    <w:lvl w:ilvl="0">
      <w:lvlJc w:val="left"/>
      <w:lvlText w:val="(%1)"/>
      <w:numFmt w:val="lowerLetter"/>
      <w:start w:val="7"/>
    </w:lvl>
  </w:abstractNum>
  <w:abstractNum w:abstractNumId="104">
    <w:nsid w:val="5EC6AFD4"/>
    <w:multiLevelType w:val="hybridMultilevel"/>
    <w:lvl w:ilvl="0">
      <w:lvlJc w:val="left"/>
      <w:lvlText w:val="%1"/>
      <w:numFmt w:val="lowerLetter"/>
      <w:start w:val="1"/>
    </w:lvl>
    <w:lvl w:ilvl="1">
      <w:lvlJc w:val="left"/>
      <w:lvlText w:val="(%2)"/>
      <w:numFmt w:val="lowerLetter"/>
      <w:start w:val="1"/>
    </w:lvl>
  </w:abstractNum>
  <w:abstractNum w:abstractNumId="105">
    <w:nsid w:val="19E21BB2"/>
    <w:multiLevelType w:val="hybridMultilevel"/>
    <w:lvl w:ilvl="0">
      <w:lvlJc w:val="left"/>
      <w:lvlText w:val="(%1)"/>
      <w:numFmt w:val="lowerLetter"/>
      <w:start w:val="9"/>
    </w:lvl>
    <w:lvl w:ilvl="1">
      <w:lvlJc w:val="left"/>
      <w:lvlText w:val="%2"/>
      <w:numFmt w:val="lowerLetter"/>
      <w:start w:val="1"/>
    </w:lvl>
  </w:abstractNum>
  <w:abstractNum w:abstractNumId="106">
    <w:nsid w:val="75E0858A"/>
    <w:multiLevelType w:val="hybridMultilevel"/>
    <w:lvl w:ilvl="0">
      <w:lvlJc w:val="left"/>
      <w:lvlText w:val="(%1)"/>
      <w:numFmt w:val="lowerLetter"/>
      <w:start w:val="6"/>
    </w:lvl>
  </w:abstractNum>
  <w:abstractNum w:abstractNumId="107">
    <w:nsid w:val="57A61A29"/>
    <w:multiLevelType w:val="hybridMultilevel"/>
    <w:lvl w:ilvl="0">
      <w:lvlJc w:val="left"/>
      <w:lvlText w:val="%1"/>
      <w:numFmt w:val="lowerLetter"/>
      <w:start w:val="1"/>
    </w:lvl>
    <w:lvl w:ilvl="1">
      <w:lvlJc w:val="left"/>
      <w:lvlText w:val="(%2)"/>
      <w:numFmt w:val="lowerLetter"/>
      <w:start w:val="1"/>
    </w:lvl>
  </w:abstractNum>
  <w:abstractNum w:abstractNumId="108">
    <w:nsid w:val="5399C654"/>
    <w:multiLevelType w:val="hybridMultilevel"/>
    <w:lvl w:ilvl="0">
      <w:lvlJc w:val="left"/>
      <w:lvlText w:val="(%1)"/>
      <w:numFmt w:val="lowerLetter"/>
      <w:start w:val="35"/>
    </w:lvl>
    <w:lvl w:ilvl="1">
      <w:lvlJc w:val="left"/>
      <w:lvlText w:val="%2"/>
      <w:numFmt w:val="lowerLetter"/>
      <w:start w:val="1"/>
    </w:lvl>
  </w:abstractNum>
  <w:abstractNum w:abstractNumId="109">
    <w:nsid w:val="20EE1348"/>
    <w:multiLevelType w:val="hybridMultilevel"/>
    <w:lvl w:ilvl="0">
      <w:lvlJc w:val="left"/>
      <w:lvlText w:val="(%1)"/>
      <w:numFmt w:val="lowerLetter"/>
      <w:start w:val="2"/>
    </w:lvl>
  </w:abstractNum>
  <w:abstractNum w:abstractNumId="110">
    <w:nsid w:val="4427069A"/>
    <w:multiLevelType w:val="hybridMultilevel"/>
    <w:lvl w:ilvl="0">
      <w:lvlJc w:val="left"/>
      <w:lvlText w:val="(%1)"/>
      <w:numFmt w:val="lowerRoman"/>
      <w:start w:val="1"/>
    </w:lvl>
  </w:abstractNum>
  <w:abstractNum w:abstractNumId="111">
    <w:nsid w:val="B37E80A"/>
    <w:multiLevelType w:val="hybridMultilevel"/>
    <w:lvl w:ilvl="0">
      <w:lvlJc w:val="left"/>
      <w:lvlText w:val="%1"/>
      <w:numFmt w:val="lowerLetter"/>
      <w:start w:val="1"/>
    </w:lvl>
    <w:lvl w:ilvl="1">
      <w:lvlJc w:val="left"/>
      <w:lvlText w:val="(%2)"/>
      <w:numFmt w:val="lowerLetter"/>
      <w:start w:val="1"/>
    </w:lvl>
  </w:abstractNum>
  <w:abstractNum w:abstractNumId="112">
    <w:nsid w:val="2157F6BC"/>
    <w:multiLevelType w:val="hybridMultilevel"/>
    <w:lvl w:ilvl="0">
      <w:lvlJc w:val="left"/>
      <w:lvlText w:val="(%1)"/>
      <w:numFmt w:val="lowerLetter"/>
      <w:start w:val="24"/>
    </w:lvl>
    <w:lvl w:ilvl="1">
      <w:lvlJc w:val="left"/>
      <w:lvlText w:val="(%2)"/>
      <w:numFmt w:val="lowerLetter"/>
      <w:start w:val="2"/>
    </w:lvl>
  </w:abstractNum>
  <w:abstractNum w:abstractNumId="113">
    <w:nsid w:val="704E1DD5"/>
    <w:multiLevelType w:val="hybridMultilevel"/>
    <w:lvl w:ilvl="0">
      <w:lvlJc w:val="left"/>
      <w:lvlText w:val="(%1)"/>
      <w:numFmt w:val="lowerLetter"/>
      <w:start w:val="5"/>
    </w:lvl>
  </w:abstractNum>
  <w:abstractNum w:abstractNumId="114">
    <w:nsid w:val="57D2F10E"/>
    <w:multiLevelType w:val="hybridMultilevel"/>
    <w:lvl w:ilvl="0">
      <w:lvlJc w:val="left"/>
      <w:lvlText w:val="(%1)"/>
      <w:numFmt w:val="lowerLetter"/>
      <w:start w:val="1"/>
    </w:lvl>
  </w:abstractNum>
  <w:abstractNum w:abstractNumId="115">
    <w:nsid w:val="BFFAE18"/>
    <w:multiLevelType w:val="hybridMultilevel"/>
    <w:lvl w:ilvl="0">
      <w:lvlJc w:val="left"/>
      <w:lvlText w:val="(%1)"/>
      <w:numFmt w:val="lowerLetter"/>
      <w:start w:val="1"/>
    </w:lvl>
  </w:abstractNum>
  <w:abstractNum w:abstractNumId="116">
    <w:nsid w:val="E3E47A8"/>
    <w:multiLevelType w:val="hybridMultilevel"/>
    <w:lvl w:ilvl="0">
      <w:lvlJc w:val="left"/>
      <w:lvlText w:val="(%1)"/>
      <w:numFmt w:val="lowerLetter"/>
      <w:start w:val="4"/>
    </w:lvl>
  </w:abstractNum>
  <w:abstractNum w:abstractNumId="117">
    <w:nsid w:val="2E48F044"/>
    <w:multiLevelType w:val="hybridMultilevel"/>
    <w:lvl w:ilvl="0">
      <w:lvlJc w:val="left"/>
      <w:lvlText w:val="(%1)"/>
      <w:numFmt w:val="lowerLetter"/>
      <w:start w:val="1"/>
    </w:lvl>
  </w:abstractNum>
  <w:abstractNum w:abstractNumId="118">
    <w:nsid w:val="49D0FEAC"/>
    <w:multiLevelType w:val="hybridMultilevel"/>
    <w:lvl w:ilvl="0">
      <w:lvlJc w:val="left"/>
      <w:lvlText w:val="(%1)"/>
      <w:numFmt w:val="lowerRoman"/>
      <w:start w:val="6"/>
    </w:lvl>
  </w:abstractNum>
  <w:abstractNum w:abstractNumId="119">
    <w:nsid w:val="4BEE5A5B"/>
    <w:multiLevelType w:val="hybridMultilevel"/>
    <w:lvl w:ilvl="0">
      <w:lvlJc w:val="left"/>
      <w:lvlText w:val="(%1)"/>
      <w:numFmt w:val="lowerLetter"/>
      <w:start w:val="1"/>
    </w:lvl>
  </w:abstractNum>
  <w:abstractNum w:abstractNumId="120">
    <w:nsid w:val="5551B9F3"/>
    <w:multiLevelType w:val="hybridMultilevel"/>
    <w:lvl w:ilvl="0">
      <w:lvlJc w:val="left"/>
      <w:lvlText w:val="(%1)"/>
      <w:numFmt w:val="lowerRoman"/>
      <w:start w:val="1"/>
    </w:lvl>
  </w:abstractNum>
  <w:abstractNum w:abstractNumId="121">
    <w:nsid w:val="24F6AB8E"/>
    <w:multiLevelType w:val="hybridMultilevel"/>
    <w:lvl w:ilvl="0">
      <w:lvlJc w:val="left"/>
      <w:lvlText w:val="(%1)"/>
      <w:numFmt w:val="lowerRoman"/>
      <w:start w:val="3"/>
    </w:lvl>
  </w:abstractNum>
  <w:abstractNum w:abstractNumId="122">
    <w:nsid w:val="634C574C"/>
    <w:multiLevelType w:val="hybridMultilevel"/>
    <w:lvl w:ilvl="0">
      <w:lvlJc w:val="left"/>
      <w:lvlText w:val="(%1)"/>
      <w:numFmt w:val="lowerRoman"/>
      <w:start w:val="3"/>
    </w:lvl>
  </w:abstractNum>
  <w:abstractNum w:abstractNumId="123">
    <w:nsid w:val="24E99DD7"/>
    <w:multiLevelType w:val="hybridMultilevel"/>
    <w:lvl w:ilvl="0">
      <w:lvlJc w:val="left"/>
      <w:lvlText w:val="(%1)"/>
      <w:numFmt w:val="lowerLetter"/>
      <w:start w:val="1"/>
    </w:lvl>
    <w:lvl w:ilvl="1">
      <w:lvlJc w:val="left"/>
      <w:lvlText w:val="(%2)"/>
      <w:numFmt w:val="lowerLetter"/>
      <w:start w:val="2"/>
    </w:lvl>
  </w:abstractNum>
  <w:abstractNum w:abstractNumId="124">
    <w:nsid w:val="2A31B62D"/>
    <w:multiLevelType w:val="hybridMultilevel"/>
    <w:lvl w:ilvl="0">
      <w:lvlJc w:val="left"/>
      <w:lvlText w:val="(%1)"/>
      <w:numFmt w:val="lowerLetter"/>
      <w:start w:val="1"/>
    </w:lvl>
    <w:lvl w:ilvl="1">
      <w:lvlJc w:val="left"/>
      <w:lvlText w:val="(%2)"/>
      <w:numFmt w:val="lowerLetter"/>
      <w:start w:val="2"/>
    </w:lvl>
  </w:abstractNum>
  <w:abstractNum w:abstractNumId="125">
    <w:nsid w:val="1849C29B"/>
    <w:multiLevelType w:val="hybridMultilevel"/>
    <w:lvl w:ilvl="0">
      <w:lvlJc w:val="left"/>
      <w:lvlText w:val="(%1)"/>
      <w:numFmt w:val="lowerLetter"/>
      <w:start w:val="1"/>
    </w:lvl>
  </w:abstractNum>
  <w:abstractNum w:abstractNumId="126">
    <w:nsid w:val="7DFF9D09"/>
    <w:multiLevelType w:val="hybridMultilevel"/>
    <w:lvl w:ilvl="0">
      <w:lvlJc w:val="left"/>
      <w:lvlText w:val="(%1)"/>
      <w:numFmt w:val="lowerLetter"/>
      <w:start w:val="3"/>
    </w:lvl>
  </w:abstractNum>
  <w:abstractNum w:abstractNumId="127">
    <w:nsid w:val="754342"/>
    <w:multiLevelType w:val="hybridMultilevel"/>
    <w:lvl w:ilvl="0">
      <w:lvlJc w:val="left"/>
      <w:lvlText w:val="(%1)"/>
      <w:numFmt w:val="lowerLetter"/>
      <w:start w:val="1"/>
    </w:lvl>
    <w:lvl w:ilvl="1">
      <w:lvlJc w:val="left"/>
      <w:lvlText w:val="(%2)"/>
      <w:numFmt w:val="lowerRoman"/>
      <w:start w:val="1"/>
    </w:lvl>
  </w:abstractNum>
  <w:abstractNum w:abstractNumId="128">
    <w:nsid w:val="69E7F3E5"/>
    <w:multiLevelType w:val="hybridMultilevel"/>
    <w:lvl w:ilvl="0">
      <w:lvlJc w:val="left"/>
      <w:lvlText w:val="(%1)"/>
      <w:numFmt w:val="lowerLetter"/>
      <w:start w:val="2"/>
    </w:lvl>
  </w:abstractNum>
  <w:abstractNum w:abstractNumId="129">
    <w:nsid w:val="2A6DE806"/>
    <w:multiLevelType w:val="hybridMultilevel"/>
    <w:lvl w:ilvl="0">
      <w:lvlJc w:val="left"/>
      <w:lvlText w:val="(%1)"/>
      <w:numFmt w:val="lowerLetter"/>
      <w:start w:val="3"/>
    </w:lvl>
  </w:abstractNum>
  <w:abstractNum w:abstractNumId="130">
    <w:nsid w:val="1816F8C4"/>
    <w:multiLevelType w:val="hybridMultilevel"/>
    <w:lvl w:ilvl="0">
      <w:lvlJc w:val="left"/>
      <w:lvlText w:val="(%1)"/>
      <w:numFmt w:val="lowerLetter"/>
      <w:start w:val="3"/>
    </w:lvl>
  </w:abstractNum>
  <w:abstractNum w:abstractNumId="131">
    <w:nsid w:val="37DF2233"/>
    <w:multiLevelType w:val="hybridMultilevel"/>
    <w:lvl w:ilvl="0">
      <w:lvlJc w:val="left"/>
      <w:lvlText w:val="(%1)"/>
      <w:numFmt w:val="lowerLetter"/>
      <w:start w:val="1"/>
    </w:lvl>
  </w:abstractNum>
  <w:abstractNum w:abstractNumId="132">
    <w:nsid w:val="7AB49DAF"/>
    <w:multiLevelType w:val="hybridMultilevel"/>
    <w:lvl w:ilvl="0">
      <w:lvlJc w:val="left"/>
      <w:lvlText w:val="(%1)"/>
      <w:numFmt w:val="lowerLetter"/>
      <w:start w:val="2"/>
    </w:lvl>
  </w:abstractNum>
  <w:abstractNum w:abstractNumId="133">
    <w:nsid w:val="759F82CD"/>
    <w:multiLevelType w:val="hybridMultilevel"/>
    <w:lvl w:ilvl="0">
      <w:lvlJc w:val="left"/>
      <w:lvlText w:val="%1"/>
      <w:numFmt w:val="lowerLetter"/>
      <w:start w:val="1"/>
    </w:lvl>
    <w:lvl w:ilvl="1">
      <w:lvlJc w:val="left"/>
      <w:lvlText w:val="(%2)"/>
      <w:numFmt w:val="lowerLetter"/>
      <w:start w:val="3"/>
    </w:lvl>
  </w:abstractNum>
  <w:abstractNum w:abstractNumId="134">
    <w:nsid w:val="61E74EA3"/>
    <w:multiLevelType w:val="hybridMultilevel"/>
    <w:lvl w:ilvl="0">
      <w:lvlJc w:val="left"/>
      <w:lvlText w:val="(%1)"/>
      <w:numFmt w:val="lowerLetter"/>
      <w:start w:val="35"/>
    </w:lvl>
    <w:lvl w:ilvl="1">
      <w:lvlJc w:val="left"/>
      <w:lvlText w:val="(%2)"/>
      <w:numFmt w:val="lowerLetter"/>
      <w:start w:val="5"/>
    </w:lvl>
  </w:abstractNum>
  <w:abstractNum w:abstractNumId="135">
    <w:nsid w:val="597B4D84"/>
    <w:multiLevelType w:val="hybridMultilevel"/>
    <w:lvl w:ilvl="0">
      <w:lvlJc w:val="left"/>
      <w:lvlText w:val="(%1)"/>
      <w:numFmt w:val="lowerLetter"/>
      <w:start w:val="6"/>
    </w:lvl>
  </w:abstractNum>
  <w:abstractNum w:abstractNumId="136">
    <w:nsid w:val="F819E7F"/>
    <w:multiLevelType w:val="hybridMultilevel"/>
    <w:lvl w:ilvl="0">
      <w:lvlJc w:val="left"/>
      <w:lvlText w:val="*"/>
      <w:numFmt w:val="bullet"/>
      <w:start w:val="1"/>
    </w:lvl>
  </w:abstractNum>
  <w:abstractNum w:abstractNumId="137">
    <w:nsid w:val="57C7D42D"/>
    <w:multiLevelType w:val="hybridMultilevel"/>
    <w:lvl w:ilvl="0">
      <w:lvlJc w:val="left"/>
      <w:lvlText w:val="%1."/>
      <w:numFmt w:val="decimal"/>
      <w:start w:val="1"/>
    </w:lvl>
  </w:abstractNum>
  <w:abstractNum w:abstractNumId="138">
    <w:nsid w:val="312167AD"/>
    <w:multiLevelType w:val="hybridMultilevel"/>
    <w:lvl w:ilvl="0">
      <w:lvlJc w:val="left"/>
      <w:lvlText w:val="%1."/>
      <w:numFmt w:val="decimal"/>
      <w:start w:val="4"/>
    </w:lvl>
  </w:abstractNum>
  <w:abstractNum w:abstractNumId="139">
    <w:nsid w:val="631B64D4"/>
    <w:multiLevelType w:val="hybridMultilevel"/>
    <w:lvl w:ilvl="0">
      <w:lvlJc w:val="left"/>
      <w:lvlText w:val="%1."/>
      <w:numFmt w:val="decimal"/>
      <w:start w:val="6"/>
    </w:lvl>
  </w:abstractNum>
  <w:abstractNum w:abstractNumId="140">
    <w:nsid w:val="78B5E776"/>
    <w:multiLevelType w:val="hybridMultilevel"/>
    <w:lvl w:ilvl="0">
      <w:lvlJc w:val="left"/>
      <w:lvlText w:val="1"/>
      <w:numFmt w:val="bullet"/>
      <w:start w:val="1"/>
    </w:lvl>
  </w:abstractNum>
  <w:abstractNum w:abstractNumId="141">
    <w:nsid w:val="75486E47"/>
    <w:multiLevelType w:val="hybridMultilevel"/>
    <w:lvl w:ilvl="0">
      <w:lvlJc w:val="left"/>
      <w:lvlText w:val="%1."/>
      <w:numFmt w:val="decimal"/>
      <w:start w:val="1"/>
    </w:lvl>
  </w:abstractNum>
  <w:abstractNum w:abstractNumId="142">
    <w:nsid w:val="6E534CDE"/>
    <w:multiLevelType w:val="hybridMultilevel"/>
    <w:lvl w:ilvl="0">
      <w:lvlJc w:val="left"/>
      <w:lvlText w:val="(%1)"/>
      <w:numFmt w:val="lowerRoman"/>
      <w:start w:val="3"/>
    </w:lvl>
  </w:abstractNum>
  <w:abstractNum w:abstractNumId="143">
    <w:nsid w:val="1A0DDE32"/>
    <w:multiLevelType w:val="hybridMultilevel"/>
    <w:lvl w:ilvl="0">
      <w:lvlJc w:val="left"/>
      <w:lvlText w:val="%1."/>
      <w:numFmt w:val="decimal"/>
      <w:start w:val="2"/>
    </w:lvl>
  </w:abstractNum>
  <w:abstractNum w:abstractNumId="144">
    <w:nsid w:val="65968C1C"/>
    <w:multiLevelType w:val="hybridMultilevel"/>
    <w:lvl w:ilvl="0">
      <w:lvlJc w:val="left"/>
      <w:lvlText w:val="(%1)"/>
      <w:numFmt w:val="lowerLetter"/>
      <w:start w:val="1"/>
    </w:lvl>
  </w:abstractNum>
  <w:abstractNum w:abstractNumId="145">
    <w:nsid w:val="46263DEC"/>
    <w:multiLevelType w:val="hybridMultilevel"/>
    <w:lvl w:ilvl="0">
      <w:lvlJc w:val="left"/>
      <w:lvlText w:val="%1."/>
      <w:numFmt w:val="decimal"/>
      <w:start w:val="1"/>
    </w:lvl>
  </w:abstractNum>
  <w:abstractNum w:abstractNumId="146">
    <w:nsid w:val="260D8C4A"/>
    <w:multiLevelType w:val="hybridMultilevel"/>
    <w:lvl w:ilvl="0">
      <w:lvlJc w:val="left"/>
      <w:lvlText w:val="%1."/>
      <w:numFmt w:val="decimal"/>
      <w:start w:val="1"/>
    </w:lvl>
  </w:abstractNum>
  <w:abstractNum w:abstractNumId="147">
    <w:nsid w:val="73D4D3C4"/>
    <w:multiLevelType w:val="hybridMultilevel"/>
    <w:lvl w:ilvl="0">
      <w:lvlJc w:val="left"/>
      <w:lvlText w:val="(%1)"/>
      <w:numFmt w:val="decimal"/>
      <w:start w:val="2"/>
    </w:lvl>
  </w:abstractNum>
  <w:abstractNum w:abstractNumId="148">
    <w:nsid w:val="746F2E30"/>
    <w:multiLevelType w:val="hybridMultilevel"/>
    <w:lvl w:ilvl="0">
      <w:lvlJc w:val="left"/>
      <w:lvlText w:val="%1."/>
      <w:numFmt w:val="decimal"/>
      <w:start w:val="2"/>
    </w:lvl>
  </w:abstractNum>
  <w:abstractNum w:abstractNumId="149">
    <w:nsid w:val="6FDE8AF6"/>
    <w:multiLevelType w:val="hybridMultilevel"/>
    <w:lvl w:ilvl="0">
      <w:lvlJc w:val="left"/>
      <w:lvlText w:val="%1."/>
      <w:numFmt w:val="decimal"/>
      <w:start w:val="8"/>
    </w:lvl>
  </w:abstractNum>
  <w:abstractNum w:abstractNumId="150">
    <w:nsid w:val="3FC32E20"/>
    <w:multiLevelType w:val="hybridMultilevel"/>
    <w:lvl w:ilvl="0">
      <w:lvlJc w:val="left"/>
      <w:lvlText w:val="%1."/>
      <w:numFmt w:val="decimal"/>
      <w:start w:val="1"/>
    </w:lvl>
    <w:lvl w:ilvl="1">
      <w:lvlJc w:val="left"/>
      <w:lvlText w:val="%2)"/>
      <w:numFmt w:val="lowerLetter"/>
      <w:start w:val="1"/>
    </w:lvl>
  </w:abstractNum>
  <w:abstractNum w:abstractNumId="151">
    <w:nsid w:val="49C0E823"/>
    <w:multiLevelType w:val="hybridMultilevel"/>
    <w:lvl w:ilvl="0">
      <w:lvlJc w:val="left"/>
      <w:lvlText w:val="%1."/>
      <w:numFmt w:val="decimal"/>
      <w:start w:val="1"/>
    </w:lvl>
    <w:lvl w:ilvl="1">
      <w:lvlJc w:val="left"/>
      <w:lvlText w:val="%2)"/>
      <w:numFmt w:val="lowerLetter"/>
      <w:start w:val="1"/>
    </w:lvl>
  </w:abstractNum>
  <w:abstractNum w:abstractNumId="152">
    <w:nsid w:val="14D53685"/>
    <w:multiLevelType w:val="hybridMultilevel"/>
    <w:lvl w:ilvl="0">
      <w:lvlJc w:val="left"/>
      <w:lvlText w:val="(%1)"/>
      <w:numFmt w:val="decimal"/>
      <w:start w:val="1"/>
    </w:lvl>
  </w:abstractNum>
  <w:abstractNum w:abstractNumId="153">
    <w:nsid w:val="230F856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97" Type="http://schemas.openxmlformats.org/officeDocument/2006/relationships/image" Target="media/image56.png"/><Relationship Id="rId98" Type="http://schemas.openxmlformats.org/officeDocument/2006/relationships/image" Target="media/image57.png"/><Relationship Id="rId99" Type="http://schemas.openxmlformats.org/officeDocument/2006/relationships/image" Target="media/image58.png"/><Relationship Id="rId100" Type="http://schemas.openxmlformats.org/officeDocument/2006/relationships/image" Target="media/image59.png"/><Relationship Id="rId101" Type="http://schemas.openxmlformats.org/officeDocument/2006/relationships/image" Target="media/image60.png"/><Relationship Id="rId102" Type="http://schemas.openxmlformats.org/officeDocument/2006/relationships/image" Target="media/image61.png"/><Relationship Id="rId103" Type="http://schemas.openxmlformats.org/officeDocument/2006/relationships/image" Target="media/image62.png"/><Relationship Id="rId104" Type="http://schemas.openxmlformats.org/officeDocument/2006/relationships/image" Target="media/image63.png"/><Relationship Id="rId105" Type="http://schemas.openxmlformats.org/officeDocument/2006/relationships/image" Target="media/image64.png"/><Relationship Id="rId106" Type="http://schemas.openxmlformats.org/officeDocument/2006/relationships/image" Target="media/image65.png"/><Relationship Id="rId107" Type="http://schemas.openxmlformats.org/officeDocument/2006/relationships/image" Target="media/image66.png"/><Relationship Id="rId108" Type="http://schemas.openxmlformats.org/officeDocument/2006/relationships/image" Target="media/image67.png"/><Relationship Id="rId109" Type="http://schemas.openxmlformats.org/officeDocument/2006/relationships/image" Target="media/image68.png"/><Relationship Id="rId110" Type="http://schemas.openxmlformats.org/officeDocument/2006/relationships/image" Target="media/image69.png"/><Relationship Id="rId111" Type="http://schemas.openxmlformats.org/officeDocument/2006/relationships/image" Target="media/image70.png"/><Relationship Id="rId112" Type="http://schemas.openxmlformats.org/officeDocument/2006/relationships/image" Target="media/image71.png"/><Relationship Id="rId113" Type="http://schemas.openxmlformats.org/officeDocument/2006/relationships/image" Target="media/image72.png"/><Relationship Id="rId114" Type="http://schemas.openxmlformats.org/officeDocument/2006/relationships/image" Target="media/image73.png"/><Relationship Id="rId115" Type="http://schemas.openxmlformats.org/officeDocument/2006/relationships/image" Target="media/image74.png"/><Relationship Id="rId116" Type="http://schemas.openxmlformats.org/officeDocument/2006/relationships/image" Target="media/image75.png"/><Relationship Id="rId117" Type="http://schemas.openxmlformats.org/officeDocument/2006/relationships/image" Target="media/image76.png"/><Relationship Id="rId118" Type="http://schemas.openxmlformats.org/officeDocument/2006/relationships/image" Target="media/image77.png"/><Relationship Id="rId119" Type="http://schemas.openxmlformats.org/officeDocument/2006/relationships/image" Target="media/image78.png"/><Relationship Id="rId120" Type="http://schemas.openxmlformats.org/officeDocument/2006/relationships/image" Target="media/image79.png"/><Relationship Id="rId121" Type="http://schemas.openxmlformats.org/officeDocument/2006/relationships/image" Target="media/image80.png"/><Relationship Id="rId122" Type="http://schemas.openxmlformats.org/officeDocument/2006/relationships/image" Target="media/image81.png"/><Relationship Id="rId123" Type="http://schemas.openxmlformats.org/officeDocument/2006/relationships/image" Target="media/image82.png"/><Relationship Id="rId124" Type="http://schemas.openxmlformats.org/officeDocument/2006/relationships/image" Target="media/image83.png"/><Relationship Id="rId125" Type="http://schemas.openxmlformats.org/officeDocument/2006/relationships/image" Target="media/image84.png"/><Relationship Id="rId63" Type="http://schemas.openxmlformats.org/officeDocument/2006/relationships/hyperlink" Target="http://www.sec.gov/Archives/edgar/data/101984/000010198416000059/exhibit41-commonstockpurch.htm" TargetMode="External"/><Relationship Id="rId64" Type="http://schemas.openxmlformats.org/officeDocument/2006/relationships/hyperlink" Target="http://www.sec.gov/Archives/edgar/data/101984/0000950152-98-002736.txt" TargetMode="External"/><Relationship Id="rId65" Type="http://schemas.openxmlformats.org/officeDocument/2006/relationships/hyperlink" Target="http://www.sec.gov/Archives/edgar/data/101984/000095015003000463/a89495def14a.htm" TargetMode="External"/><Relationship Id="rId66" Type="http://schemas.openxmlformats.org/officeDocument/2006/relationships/hyperlink" Target="http://www.sec.gov/Archives/edgar/data/101984/000095015004000338/a97327exv10w42.txt" TargetMode="External"/><Relationship Id="rId67" Type="http://schemas.openxmlformats.org/officeDocument/2006/relationships/hyperlink" Target="http://www.sec.gov/Archives/edgar/data/101984/000095013706004928/a19632ddef14a.htm" TargetMode="External"/><Relationship Id="rId68" Type="http://schemas.openxmlformats.org/officeDocument/2006/relationships/hyperlink" Target="http://www.sec.gov/Archives/edgar/data/101984/000089256907000250/a27604exv10w26.txt" TargetMode="External"/><Relationship Id="rId69" Type="http://schemas.openxmlformats.org/officeDocument/2006/relationships/hyperlink" Target="http://www.sec.gov/Archives/edgar/data/101984/000089256907000250/a27604exv10w28.txt" TargetMode="External"/><Relationship Id="rId70" Type="http://schemas.openxmlformats.org/officeDocument/2006/relationships/hyperlink" Target="http://www.sec.gov/Archives/edgar/data/101984/000089256908000442/a39411exv4w5.htm" TargetMode="External"/><Relationship Id="rId71" Type="http://schemas.openxmlformats.org/officeDocument/2006/relationships/hyperlink" Target="http://www.sec.gov/Archives/edgar/data/101984/000095012311025838/a58948exv10w30.htm" TargetMode="External"/><Relationship Id="rId72" Type="http://schemas.openxmlformats.org/officeDocument/2006/relationships/hyperlink" Target="http://www.sec.gov/Archives/edgar/data/101984/000095012311025838/a58948exv10w31.htm" TargetMode="External"/><Relationship Id="rId73" Type="http://schemas.openxmlformats.org/officeDocument/2006/relationships/hyperlink" Target="http://www.sec.gov/Archives/edgar/data/101984/000095012310041632/a55838def14a.htm" TargetMode="External"/><Relationship Id="rId74" Type="http://schemas.openxmlformats.org/officeDocument/2006/relationships/hyperlink" Target="http://www.sec.gov/Archives/edgar/data/101984/000095012311063851/a59824exv4w6.htm" TargetMode="External"/><Relationship Id="rId75" Type="http://schemas.openxmlformats.org/officeDocument/2006/relationships/hyperlink" Target="http://www.sec.gov/Archives/edgar/data/101984/000095012311063851/a59824exv4w7.htm" TargetMode="External"/><Relationship Id="rId76" Type="http://schemas.openxmlformats.org/officeDocument/2006/relationships/hyperlink" Target="http://www.sec.gov/Archives/edgar/data/101984/000144530513000608/ueic-12312012xex1031.htm" TargetMode="External"/><Relationship Id="rId77" Type="http://schemas.openxmlformats.org/officeDocument/2006/relationships/hyperlink" Target="http://www.sec.gov/Archives/edgar/data/101984/000119312512114613/d281396dex1036.htm" TargetMode="External"/><Relationship Id="rId78" Type="http://schemas.openxmlformats.org/officeDocument/2006/relationships/hyperlink" Target="http://www.sec.gov/Archives/edgar/data/101984/000119312512240294/d355902dex101.htm" TargetMode="External"/><Relationship Id="rId79" Type="http://schemas.openxmlformats.org/officeDocument/2006/relationships/hyperlink" Target="http://www.sec.gov/Archives/edgar/data/101984/000144530513000608/ueic-12312012xex1036.htm" TargetMode="External"/><Relationship Id="rId80" Type="http://schemas.openxmlformats.org/officeDocument/2006/relationships/hyperlink" Target="http://www.sec.gov/Archives/edgar/data/101984/000010198414000014/ueic-12312013xex1034.htm" TargetMode="External"/><Relationship Id="rId81" Type="http://schemas.openxmlformats.org/officeDocument/2006/relationships/hyperlink" Target="http://www.sec.gov/Archives/edgar/data/101984/000010198414000016/forms82014-03x10.htm" TargetMode="External"/><Relationship Id="rId82" Type="http://schemas.openxmlformats.org/officeDocument/2006/relationships/hyperlink" Target="http://www.sec.gov/Archives/edgar/data/101984/000010198414000051/exhibit452014-08.htm" TargetMode="External"/><Relationship Id="rId83" Type="http://schemas.openxmlformats.org/officeDocument/2006/relationships/hyperlink" Target="http://www.sec.gov/Archives/edgar/data/101984/000010198414000051/exhibit462014-08.htm" TargetMode="External"/><Relationship Id="rId84" Type="http://schemas.openxmlformats.org/officeDocument/2006/relationships/hyperlink" Target="http://www.sec.gov/Archives/edgar/data/101984/000010198414000051/exhibit472014-08.htm" TargetMode="External"/><Relationship Id="rId85" Type="http://schemas.openxmlformats.org/officeDocument/2006/relationships/hyperlink" Target="http://www.sec.gov/Archives/edgar/data/101984/000010198415000011/a10k20141231-ex1031.htm" TargetMode="External"/><Relationship Id="rId86" Type="http://schemas.openxmlformats.org/officeDocument/2006/relationships/hyperlink" Target="http://www.sec.gov/Archives/edgar/data/101984/000010198415000052/ueic-09302015x10qxex101.htm" TargetMode="External"/><Relationship Id="rId87" Type="http://schemas.openxmlformats.org/officeDocument/2006/relationships/hyperlink" Target="http://www.sec.gov/Archives/edgar/data/101984/000010198416000062/a10k20151231-ex1033.htm" TargetMode="External"/><Relationship Id="rId88" Type="http://schemas.openxmlformats.org/officeDocument/2006/relationships/hyperlink" Target="http://www.sec.gov/Archives/edgar/data/101984/000010198416000062/a10k20151231-ex1034.htm" TargetMode="External"/><Relationship Id="rId89" Type="http://schemas.openxmlformats.org/officeDocument/2006/relationships/hyperlink" Target="http://www.sec.gov/Archives/edgar/data/101984/000010198416000059/exhibit101-registrationrig.htm" TargetMode="External"/><Relationship Id="rId90" Type="http://schemas.openxmlformats.org/officeDocument/2006/relationships/hyperlink" Target="http://www.sec.gov/Archives/edgar/data/101984/000010198416000096/uei-09302016x10qxex101.htm" TargetMode="External"/><Relationship Id="rId91" Type="http://schemas.openxmlformats.org/officeDocument/2006/relationships/hyperlink" Target="http://www.sec.gov/Archives/edgar/data/101984/000010198416000096/ueiq-09302016x10qxex102.htm" TargetMode="External"/><Relationship Id="rId92" Type="http://schemas.openxmlformats.org/officeDocument/2006/relationships/hyperlink" Target="http://www.sec.gov/Archives/edgar/data/101984/000010198417000007/a10k20161231-ex1034.htm" TargetMode="External"/><Relationship Id="rId93" Type="http://schemas.openxmlformats.org/officeDocument/2006/relationships/hyperlink" Target="http://www.sec.gov/Archives/edgar/data/101984/000010198417000007/a10k20161231-ex1035.htm" TargetMode="External"/><Relationship Id="rId94" Type="http://schemas.openxmlformats.org/officeDocument/2006/relationships/hyperlink" Target="http://www.sec.gov/Archives/edgar/data/101984/000010198417000022/uei-03312017x10qxex101.htm" TargetMode="External"/><Relationship Id="rId95" Type="http://schemas.openxmlformats.org/officeDocument/2006/relationships/hyperlink" Target="http://www.sec.gov/Archives/edgar/data/101984/000010198417000033/uei-06302017x10qxex101.htm" TargetMode="External"/><Relationship Id="rId96" Type="http://schemas.openxmlformats.org/officeDocument/2006/relationships/hyperlink" Target="http://www.sec.gov/Archives/edgar/data/101984/000095015004000338/a97327exv14w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2019-12-29T00:40:45Z</dcterms:created>
  <dcterms:modified xsi:type="dcterms:W3CDTF">2019-12-29T00:40:45Z</dcterms:modified>
</cp:coreProperties>
</file>