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0"/>
          <w:szCs w:val="20"/>
          <w:color w:val="auto"/>
        </w:rPr>
      </w:pPr>
    </w:p>
    <w:p>
      <w:pPr>
        <w:jc w:val="center"/>
        <w:ind w:right="-19"/>
        <w:spacing w:after="0" w:line="207" w:lineRule="exact"/>
        <w:tabs>
          <w:tab w:leader="none" w:pos="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40"/>
        <w:spacing w:after="0" w:line="207" w:lineRule="exact"/>
        <w:tabs>
          <w:tab w:leader="none" w:pos="5040" w:val="left"/>
          <w:tab w:leader="none" w:pos="6720" w:val="left"/>
        </w:tabs>
        <w:rPr>
          <w:sz w:val="20"/>
          <w:szCs w:val="20"/>
          <w:color w:val="auto"/>
        </w:rPr>
      </w:pPr>
      <w:r>
        <w:rPr>
          <w:rFonts w:ascii="Arial" w:cs="Arial" w:eastAsia="Arial" w:hAnsi="Arial"/>
          <w:sz w:val="18"/>
          <w:szCs w:val="18"/>
          <w:color w:val="auto"/>
        </w:rPr>
        <w:t>Large accelerated filer o</w:t>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p>
    <w:p>
      <w:pPr>
        <w:spacing w:after="0" w:line="18" w:lineRule="exact"/>
        <w:rPr>
          <w:sz w:val="20"/>
          <w:szCs w:val="20"/>
          <w:color w:val="auto"/>
        </w:rPr>
      </w:pPr>
    </w:p>
    <w:p>
      <w:pPr>
        <w:jc w:val="center"/>
        <w:ind w:right="-19"/>
        <w:spacing w:after="0" w:line="207" w:lineRule="exact"/>
        <w:tabs>
          <w:tab w:leader="none" w:pos="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14,001,629 shares of Common Stock, par value $.01 per share, of the registrant were outstanding on November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4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rPr>
              <w:t>UNIVERSAL ELECTRONICS INC.</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2"/>
          </w:tcPr>
          <w:p>
            <w:pPr>
              <w:jc w:val="center"/>
              <w:ind w:right="4540"/>
              <w:spacing w:after="0"/>
              <w:rPr>
                <w:sz w:val="20"/>
                <w:szCs w:val="20"/>
                <w:color w:val="auto"/>
              </w:rPr>
            </w:pPr>
            <w:r>
              <w:rPr>
                <w:rFonts w:ascii="Arial" w:cs="Arial" w:eastAsia="Arial" w:hAnsi="Arial"/>
                <w:sz w:val="18"/>
                <w:szCs w:val="18"/>
                <w:b w:val="1"/>
                <w:bCs w:val="1"/>
                <w:color w:val="auto"/>
              </w:rPr>
              <w:t>INDEX</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4"/>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120" w:type="dxa"/>
            <w:vAlign w:val="bottom"/>
            <w:gridSpan w:val="7"/>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4"/>
            <w:vMerge w:val="continue"/>
          </w:tcPr>
          <w:p>
            <w:pPr>
              <w:spacing w:after="0"/>
              <w:rPr>
                <w:sz w:val="14"/>
                <w:szCs w:val="14"/>
                <w:color w:val="auto"/>
              </w:rPr>
            </w:pPr>
          </w:p>
        </w:tc>
        <w:tc>
          <w:tcPr>
            <w:tcW w:w="8120" w:type="dxa"/>
            <w:vAlign w:val="bottom"/>
            <w:gridSpan w:val="7"/>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7040" w:type="dxa"/>
            <w:vAlign w:val="bottom"/>
            <w:gridSpan w:val="4"/>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4000" w:type="dxa"/>
            <w:vAlign w:val="bottom"/>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4. Controls and Procedures</w:t>
              </w:r>
            </w:hyperlink>
          </w:p>
        </w:tc>
        <w:tc>
          <w:tcPr>
            <w:tcW w:w="8680" w:type="dxa"/>
            <w:vAlign w:val="bottom"/>
            <w:gridSpan w:val="9"/>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440" w:type="dxa"/>
            <w:vAlign w:val="bottom"/>
            <w:gridSpan w:val="8"/>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1A. Risk Factors</w:t>
              </w:r>
            </w:hyperlink>
          </w:p>
        </w:tc>
        <w:tc>
          <w:tcPr>
            <w:tcW w:w="9420" w:type="dxa"/>
            <w:vAlign w:val="bottom"/>
            <w:gridSpan w:val="12"/>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6100" w:type="dxa"/>
            <w:vAlign w:val="bottom"/>
            <w:gridSpan w:val="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Signature</w:t>
              </w:r>
            </w:hyperlink>
          </w:p>
        </w:tc>
        <w:tc>
          <w:tcPr>
            <w:tcW w:w="460" w:type="dxa"/>
            <w:vAlign w:val="bottom"/>
            <w:tcBorders>
              <w:top w:val="single" w:sz="8" w:color="0000EE"/>
            </w:tcBorders>
            <w:gridSpan w:val="5"/>
          </w:tcPr>
          <w:p>
            <w:pPr>
              <w:spacing w:after="0"/>
              <w:rPr>
                <w:sz w:val="17"/>
                <w:szCs w:val="17"/>
                <w:color w:val="auto"/>
              </w:rPr>
            </w:pPr>
          </w:p>
        </w:tc>
        <w:tc>
          <w:tcPr>
            <w:tcW w:w="9860" w:type="dxa"/>
            <w:vAlign w:val="bottom"/>
            <w:gridSpan w:val="1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Exhibit Index</w:t>
              </w:r>
            </w:hyperlink>
          </w:p>
        </w:tc>
        <w:tc>
          <w:tcPr>
            <w:tcW w:w="10020" w:type="dxa"/>
            <w:vAlign w:val="bottom"/>
            <w:gridSpan w:val="16"/>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EXHIBIT 31.1</w:t>
            </w:r>
          </w:p>
        </w:tc>
        <w:tc>
          <w:tcPr>
            <w:tcW w:w="990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960" w:type="dxa"/>
            <w:vAlign w:val="bottom"/>
            <w:gridSpan w:val="20"/>
          </w:tcPr>
          <w:p>
            <w:pPr>
              <w:spacing w:after="0" w:line="196" w:lineRule="exact"/>
              <w:rPr>
                <w:sz w:val="20"/>
                <w:szCs w:val="20"/>
                <w:color w:val="auto"/>
              </w:rPr>
            </w:pPr>
            <w:r>
              <w:rPr>
                <w:rFonts w:ascii="Arial" w:cs="Arial" w:eastAsia="Arial" w:hAnsi="Arial"/>
                <w:sz w:val="18"/>
                <w:szCs w:val="18"/>
                <w:color w:val="0000EE"/>
              </w:rPr>
              <w:t>EXHIBIT 31.2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w:t>
            </w:r>
          </w:p>
        </w:tc>
        <w:tc>
          <w:tcPr>
            <w:tcW w:w="120" w:type="dxa"/>
            <w:vAlign w:val="bottom"/>
            <w:tcBorders>
              <w:top w:val="single" w:sz="8" w:color="0000EE"/>
            </w:tcBorders>
            <w:gridSpan w:val="2"/>
          </w:tcPr>
          <w:p>
            <w:pPr>
              <w:spacing w:after="0"/>
              <w:rPr>
                <w:sz w:val="17"/>
                <w:szCs w:val="17"/>
                <w:color w:val="auto"/>
              </w:rPr>
            </w:pPr>
          </w:p>
        </w:tc>
        <w:tc>
          <w:tcPr>
            <w:tcW w:w="9920" w:type="dxa"/>
            <w:vAlign w:val="bottom"/>
            <w:gridSpan w:val="1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020" w:type="dxa"/>
            <w:vAlign w:val="bottom"/>
            <w:gridSpan w:val="20"/>
          </w:tcPr>
          <w:p>
            <w:pPr>
              <w:jc w:val="center"/>
              <w:ind w:left="4310"/>
              <w:spacing w:after="0"/>
              <w:rPr>
                <w:sz w:val="20"/>
                <w:szCs w:val="20"/>
                <w:color w:val="auto"/>
              </w:rPr>
            </w:pPr>
            <w:r>
              <w:rPr>
                <w:rFonts w:ascii="Arial" w:cs="Arial" w:eastAsia="Arial" w:hAnsi="Arial"/>
                <w:sz w:val="18"/>
                <w:szCs w:val="18"/>
                <w:color w:val="auto"/>
                <w:w w:val="99"/>
              </w:rPr>
              <w:t>2</w:t>
            </w:r>
          </w:p>
        </w:tc>
        <w:tc>
          <w:tcPr>
            <w:tcW w:w="4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43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57,334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44,833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34,812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2,814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143,678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119,925</w:t>
            </w: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5,518</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5,795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172,058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23,645</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3,676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49,357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17,304,251 and 16,963,748 shares issued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September 30, 2006 and December 31, 2005,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89,666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63,082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Deferred stock-based compensation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152,607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w w:val="94"/>
              </w:rPr>
              <w:t>Less cost of common stock in treasury, 3,438,202 and 3,420,876 shares at September 30, 2006 and 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2005,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122,607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59,612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46,206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166,155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38,033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29,212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106,506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21,579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16,994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48,429</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1,809</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5,574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15,142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42,274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37,147</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4,628</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11,801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13,845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13,391</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13,763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14,415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13,918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8,088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Accrued income and other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11,057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12,749</w:t>
            </w:r>
          </w:p>
        </w:tc>
        <w:tc>
          <w:tcPr>
            <w:tcW w:w="0" w:type="dxa"/>
            <w:vAlign w:val="bottom"/>
          </w:tcPr>
          <w:p>
            <w:pPr>
              <w:spacing w:after="0"/>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Cash provided by (used for) financing activities:</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stock options exercised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Treasury stock purchases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13,693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43,641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42,472</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57,334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560"/>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60" w:type="dxa"/>
            <w:vAlign w:val="bottom"/>
            <w:gridSpan w:val="2"/>
          </w:tcPr>
          <w:p>
            <w:pPr>
              <w:ind w:left="56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All the significant intercompany accounts and transactions have been eliminated in the consolidated financial statements.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 results of operations for the three and nine months ended September 30, 2006 are not necessarily indicative of the results to be expected for the full year. These financial statements should be read in conjunction with the consolidated financial statements and related notes contained in our Annual Report on Form 10-K for our fiscal year ended December 31, 2005.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“we”, “us” and “our” refer to Universal Electronics Inc. and its subsidiaries unless the context indicates to the contrary.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Actual results may differ from these estimates and judgments. On an on-going basis, we evaluate our estimates and judgments, including those related to revenue recognition, allowance for sales returns and doubtful accounts, warranties, inventory valuation, impairment of long-lived assets, intangible assets and goodwill, contingencies, stock-based compensation expense and income taxes. These estimates may be adjusted as additional information becomes available and any adjustment could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January 1, 2006, we adopted the fair value recognition provisions of Statement of Financial Accounting Standards (“SFAS”) No. 123R, “Share Based Payment” (“SFAS 123R”) using the modified-prospective transition method. Under this transition method, compensation cost recognized in the three and nine months ended September 30,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We recognize these compensation costs net of estimated forfeitures over the service period of the award, which is generally the option vesting term of three to four years. We estimated the annual forfeiture rate for our executives &amp; board of directors and non-executive employees to be 2.41% and 5.95% as of September 30, 2006, respectively, based on historical experience. In March 2005, the Securities and Exchange Commission (the “SEC”) issued Staff Accounting Bulletin No. 107 (“SAB 107”) regarding the SEC’s interpretation of SFAS 123R and the valuation of share-based compensation for public companies. We have applied the provisions of SAB 107 to our adoption of SFAS 123R.</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2006, we accounted for options granted under our plans using the recognition and measurement provisions of Accounting Principles Board (“APB”) Opinion No. 25, “Accounting for Stock Issued to Employees”, (“APB 25”) and related interpretations, as permitted by SFAS No. 123,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Stock Based Compensation </w:t>
      </w:r>
      <w:r>
        <w:rPr>
          <w:rFonts w:ascii="Arial" w:cs="Arial" w:eastAsia="Arial" w:hAnsi="Arial"/>
          <w:sz w:val="18"/>
          <w:szCs w:val="18"/>
          <w:color w:val="auto"/>
        </w:rPr>
        <w:t>(“SFAS 123”). Under the intrinsic-value based method of APB 25, compensation cost is the excess, if any, of the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three and nine months ended September 30, 2005.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Prior to January 1, 2006, we provided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disclosure amounts in accordance with SFAS No. 148, “Accounting for Stock-Based Compensation-Transition and Disclosure”, as if the fair value method had been adopted as defined by SFAS 123. Under SFAS 123, compensation expense is computed based on the fair value of the stock options granted and is recognized over the period during which an employee is required to provide service in exchange for the award. The fair value of the options granted was determined at the date of grant using the Black-Scholes option valuation model.</w:t>
      </w:r>
    </w:p>
    <w:p>
      <w:pPr>
        <w:spacing w:after="0" w:line="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issues restricted stock awards to the outside directors for services performed. Under both APB No. 25 and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closing trade price of the Company’s shares on the grant date.</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provisions of SFAS No. 123R, which the Company adopted as of January 1, 2006, companies may no longer account for unrecognized compensation costs related to nonvested stock awards as deferred compensation. SFAS No. 123R requires that any existing balance of deferred compensation as of the adoption date be reclassified to additional paid-in capital. Because the Company adopted SFAS No. 123R on the modified prospective basis, results from prior periods have not been restated to conform to the current presentation. During the nine months ended September 30, 2006 and September 30, 2005, restricted shares totaling 15,000 and 15,000 respectively, were issued.</w:t>
      </w:r>
    </w:p>
    <w:p>
      <w:pPr>
        <w:spacing w:after="0" w:line="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three and nine months ended September 30, 2006, we recorded $0.7 million and $2.1 million, respectively, in pre-tax stock-based compensation expense. Additionally, during the three and nine months ended September 30, 2006, we recorded $0.1 million and $0.3 million, respectively, in pre-tax restricted stock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was attributable to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9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September 30, 2006</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r>
      <w:tr>
        <w:trPr>
          <w:trHeight w:val="224"/>
        </w:trPr>
        <w:tc>
          <w:tcPr>
            <w:tcW w:w="9000" w:type="dxa"/>
            <w:vAlign w:val="bottom"/>
          </w:tcPr>
          <w:p>
            <w:pPr>
              <w:spacing w:after="0"/>
              <w:rPr>
                <w:sz w:val="20"/>
                <w:szCs w:val="20"/>
                <w:color w:val="auto"/>
              </w:rPr>
            </w:pPr>
            <w:r>
              <w:rPr>
                <w:rFonts w:ascii="Arial" w:cs="Arial" w:eastAsia="Arial" w:hAnsi="Arial"/>
                <w:sz w:val="18"/>
                <w:szCs w:val="18"/>
                <w:color w:val="auto"/>
              </w:rPr>
              <w:t>Total stock-based compensation expense before income taxes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r>
    </w:tbl>
    <w:p>
      <w:pPr>
        <w:spacing w:after="0" w:line="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amount of compensation expense related to non-vested awards not yet recognized as of September 30, 2006 was $4.6 million, which is expected to be recognized over a weighted-average life of 2.17 years.</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a result of adopting SFAS 123R, the impact to the Consolidated Financial Statements for income before income taxes and net income for the three months ended September 30, 2006 was $0.7 million and $0.5 million lower, respectively, than if we had continued to account for stock-based compensation under APB 25. The impact on both basic and diluted earnings per share for the three months ended September 30, 2006 was $0.03 and $0.03 per share,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2006, the impact to the Consolidated Financial Statements for income before income taxes and net income was</w:t>
      </w:r>
    </w:p>
    <w:p>
      <w:pPr>
        <w:spacing w:after="0" w:line="4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$2.1 million and $1.4 million lower, respectively, than if we had continued to account for stock-based compensation under APB 25. The impact on both basic and diluted earnings per share for the nine months ended September 30, 2006 was $0.10 and $0.10 per share, respectively. In addition, prior to the adoption of SFAS 123R, we presented the tax benefit of stock option exercises as </w:t>
      </w:r>
      <w:r>
        <w:rPr>
          <w:rFonts w:ascii="Arial" w:cs="Arial" w:eastAsia="Arial" w:hAnsi="Arial"/>
          <w:sz w:val="16"/>
          <w:szCs w:val="16"/>
          <w:i w:val="1"/>
          <w:iCs w:val="1"/>
          <w:color w:val="auto"/>
        </w:rPr>
        <w:t>operating</w:t>
      </w:r>
      <w:r>
        <w:rPr>
          <w:rFonts w:ascii="Arial" w:cs="Arial" w:eastAsia="Arial" w:hAnsi="Arial"/>
          <w:sz w:val="16"/>
          <w:szCs w:val="16"/>
          <w:color w:val="auto"/>
        </w:rPr>
        <w:t xml:space="preserve"> cash flows. Upon the adoption of SFAS 123R, tax benefits resulting from tax deductions in excess of the compensation cost recognized for those options are classified as </w:t>
      </w:r>
      <w:r>
        <w:rPr>
          <w:rFonts w:ascii="Arial" w:cs="Arial" w:eastAsia="Arial" w:hAnsi="Arial"/>
          <w:sz w:val="16"/>
          <w:szCs w:val="16"/>
          <w:i w:val="1"/>
          <w:iCs w:val="1"/>
          <w:color w:val="auto"/>
        </w:rPr>
        <w:t>financing</w:t>
      </w:r>
      <w:r>
        <w:rPr>
          <w:rFonts w:ascii="Arial" w:cs="Arial" w:eastAsia="Arial" w:hAnsi="Arial"/>
          <w:sz w:val="16"/>
          <w:szCs w:val="16"/>
          <w:color w:val="auto"/>
        </w:rPr>
        <w:t xml:space="preserve"> cash flows. In the nine months ended September 30, 2006, approximately $201 thousand of tax benefits resulted from tax deductions in excess of the compensation cost recognized.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SFAS 123R requires that we continue to provide the pro forma disclosures required by SFAS 123 for all periods presented in which share-based payments to employees are accounted for under APB 25. The following table illustrates the effect on net income and net income per share for the three and nine months ended September 30, 2005 as if we applied the fair value recognition provisions of SFAS 123 to share-based employee compensation.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90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September 30,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7"/>
              </w:rPr>
              <w:t>Add: Stock-based employee compensation expense included in reported net income, net of related tax effects</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Less: Total stock-based employee compensation expense determined under the fair value based method for all</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awards, net of related tax effects</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Pro forma</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light of the new accounting guidance under SFAS 123R, beginning in the first quarter of 2006, we re-evaluated the assumptions used to estimate the fair value of options granted to employees in 2006. As part of this assessment, management determined that historical volatility calculated based on our actively traded common stock is a better indicator of expected volatility and future stock price trends than implied volatility. Therefore, we continued to use historical volatility to determine expected volatility.</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part of SFAS 123R adoption, we examined the historical pattern of option exercises in an effort to determine if there were any discernable activity patterns based on certain employee classifications. From this analysis, we identified two employee classifications: (1) Executive and Board of Directors and (2) Non-Executives. We use the Black-Scholes option pricing model to value the options for each of the employee classifications. The table below presents the weighted average expected life in years. The expected life computation is based on historical exercise patterns and post-vesting termination behavior within each of the two classifications identified. The interest rate for any period within the expected contractual life of the awards are based on the prevailing U.S. Treasury note rate for the applicable expected term.</w:t>
      </w:r>
    </w:p>
    <w:p>
      <w:pPr>
        <w:spacing w:after="0" w:line="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of share-based payment awards was estimated using the Black-Scholes option pricing model with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7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4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 xml:space="preserve">2006 </w:t>
            </w:r>
            <w:r>
              <w:rPr>
                <w:rFonts w:ascii="Arial" w:cs="Arial" w:eastAsia="Arial" w:hAnsi="Arial"/>
                <w:sz w:val="12"/>
                <w:szCs w:val="12"/>
                <w:b w:val="1"/>
                <w:bCs w:val="1"/>
                <w:color w:val="auto"/>
              </w:rPr>
              <w:t>(1)</w:t>
            </w:r>
          </w:p>
        </w:tc>
        <w:tc>
          <w:tcPr>
            <w:tcW w:w="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 xml:space="preserve">2006 </w:t>
            </w:r>
            <w:r>
              <w:rPr>
                <w:rFonts w:ascii="Arial" w:cs="Arial" w:eastAsia="Arial" w:hAnsi="Arial"/>
                <w:sz w:val="12"/>
                <w:szCs w:val="12"/>
                <w:b w:val="1"/>
                <w:bCs w:val="1"/>
                <w:color w:val="auto"/>
              </w:rPr>
              <w:t>(1)</w:t>
            </w:r>
          </w:p>
        </w:tc>
        <w:tc>
          <w:tcPr>
            <w:tcW w:w="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0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$ 7.27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5"/>
              </w:rPr>
              <w:t>$ 8.09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$ 7.36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$ 9.28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4.74%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4.12%</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4.74%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3.72%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38.81%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45.56%</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39.25%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58.41%</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40" w:type="dxa"/>
            <w:vAlign w:val="bottom"/>
          </w:tcPr>
          <w:p>
            <w:pPr>
              <w:jc w:val="right"/>
              <w:ind w:right="238"/>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5.00</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4.84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4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fair value calculation was based on stock options granted during the period. During the three and nine months ended September 30, 2006, we granted 7,000 and 11,500 stock options to non-executive employees, respectively. There were 30,000 stock options granted to executives or directors during the three and nine months ended September 30,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nine months ended September 30,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5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3,150,550</w:t>
            </w: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13.70</w:t>
            </w:r>
          </w:p>
        </w:tc>
        <w:tc>
          <w:tcPr>
            <w:tcW w:w="13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41,500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17.92</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(316,588)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10.87</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(90,375)</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16.34</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2,785,087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14.07</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5.72</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Vested and expected to vest at September 30, 2006</w:t>
            </w:r>
          </w:p>
        </w:tc>
        <w:tc>
          <w:tcPr>
            <w:tcW w:w="840" w:type="dxa"/>
            <w:vAlign w:val="bottom"/>
          </w:tcPr>
          <w:p>
            <w:pPr>
              <w:jc w:val="right"/>
              <w:spacing w:after="0"/>
              <w:rPr>
                <w:sz w:val="20"/>
                <w:szCs w:val="20"/>
                <w:color w:val="auto"/>
              </w:rPr>
            </w:pPr>
            <w:r>
              <w:rPr>
                <w:rFonts w:ascii="Arial" w:cs="Arial" w:eastAsia="Arial" w:hAnsi="Arial"/>
                <w:sz w:val="18"/>
                <w:szCs w:val="18"/>
                <w:color w:val="auto"/>
              </w:rPr>
              <w:t>2,697,573</w:t>
            </w:r>
          </w:p>
        </w:tc>
        <w:tc>
          <w:tcPr>
            <w:tcW w:w="6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13.99</w:t>
            </w:r>
          </w:p>
        </w:tc>
        <w:tc>
          <w:tcPr>
            <w:tcW w:w="1380" w:type="dxa"/>
            <w:vAlign w:val="bottom"/>
          </w:tcPr>
          <w:p>
            <w:pPr>
              <w:jc w:val="right"/>
              <w:ind w:right="242"/>
              <w:spacing w:after="0"/>
              <w:rPr>
                <w:sz w:val="20"/>
                <w:szCs w:val="20"/>
                <w:color w:val="auto"/>
              </w:rPr>
            </w:pPr>
            <w:r>
              <w:rPr>
                <w:rFonts w:ascii="Arial" w:cs="Arial" w:eastAsia="Arial" w:hAnsi="Arial"/>
                <w:sz w:val="18"/>
                <w:szCs w:val="18"/>
                <w:color w:val="auto"/>
              </w:rPr>
              <w:t>5.64</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1,958,566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13.60</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4.80</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received from option exercises for the three and nine months ended September 30, 2006 was $0.4 million and $3.5 million, respectively. The actual tax benefit realized from option exercises of the share-based payment awards was $0.1 million and $0.6 million for the three and nine months ended September 30, 2006, respectively.</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2006, there was $272 thousand of total unrecognized compensation cost related to nonvested restricted stock. That cost is expected to be recognized over a weighted-average period of 9 months. The weighted-average grant date fair value of the restricted stock awards granted during the nine months ended September 30, 2006 and 2005 was $18.14 and $16.29, respectively. The total fair value of shares vested was $242 thousand and $250 thousand for the nine months ended September 30, 2006 and 2005, respectively.</w:t>
      </w:r>
    </w:p>
    <w:p>
      <w:pPr>
        <w:spacing w:after="0" w:line="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June 13, 2006, the stockholders approved the 2006 Stock Incentive Plan at our Annual Meeting. We have reserved and made available 1,000,000 shares of our common stock for issuance under the 2006 Stock Incentive Plan. As of September 30, 2006, no options or other award have been issued under the Plan.</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is our policy to retain our earnings to support the growth of the Company. Additionally, we may retain earnings to repurchase shares of our common stock, when conditions are favorable.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at September 30, 2006 and December 31,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48,698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(2,446)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(2,296)</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(1,575)</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41,861</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Trade accounts receivable are recorded at the invoiced amount and do not bear interest. Our allowance for doubtful accounts is our best estimate of losses resulting from the inability of our customers to make their required payments. We maintain an allowance for doubtful accounts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are further adjusted, either upward or downward.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Our contractual sales return periods range up to six months. We have no other obligations after delivery of our products other than the associated warranties.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had sales to one significant customer of $7.0 million and $5.9 million, representing 11.7% and 12.7% of our net sales for the three months ended September 30, 2006 and 2005, respectively. Our trade receivable with this customer amounted to $3.2 million or 7.1% and $2.1 million or 5.1% of our total accounts receivable at September 30, 2006 and December 31, 2005, respectively. In addition we had sales to a customer and its sub-contractors that, when combined, totaled $11.4 million and $6.2 million, accounting for 19.2% and 13.4% of net sales for the three months ended September 30, 2006 and 2005, respectively. Our trade receivable with this customer and its subcontractors amounted to $5.3 million or 11.7% and $3.3 million or 7.8% of our total trade receivable balance at September 30, 2006 and December 31, 2005, respectively. There were no other customers with sales greater than ten percent of total net sales at September 30, 2006 and September 30, 2005.</w:t>
      </w:r>
    </w:p>
    <w:p>
      <w:pPr>
        <w:spacing w:after="0" w:line="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had sales to one significant customer of $21.1 million and $17.6 million, representing 12.7% and 13.4% of our net sales for the nine months ended September 30, 2006 and 2005, respectively. In addition, for the same periods, we had sales to a customer and its subcontractors that, when combined, totaled $30.9 million and $23.1 million accounting for 18.6% and 17.5% of net sales for the nine months ended September 30, 2006 and 2005, respectively.</w:t>
      </w:r>
    </w:p>
    <w:p>
      <w:pPr>
        <w:spacing w:after="0" w:line="3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future loss of these customers or any key customer, either in the United States or abroad, or our inability to obtain orders or maintain our order volume with our major customers, would likely have an adverse effect on our financial condition,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Inventories consist of wireless control devices, including universal remote controls, wireless keyboards, antennas, and related component parts, and are valued at the lower of cost or market. Cost is determined using the first-in, first-out method. We carry inventory in amounts necessary to satisfy our customers’ inventory requirements on a timely basis.</w:t>
      </w:r>
    </w:p>
    <w:p>
      <w:pPr>
        <w:spacing w:after="0" w:line="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New product innovations and technological advances may shorten a given product’s life cycle. We continually monitor the inventory status to control inventory levels and dispose of any excess or obsolete inventories on hand. We write down our inventory for estimated obsolescence or unmarketable inventory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 at September 30, 2006 and December 31,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5300" w:type="dxa"/>
            <w:vAlign w:val="bottom"/>
            <w:gridSpan w:val="2"/>
            <w:shd w:val="clear" w:color="auto" w:fill="CCEEFF"/>
          </w:tcPr>
          <w:p>
            <w:pPr>
              <w:ind w:left="5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Finished goods</w:t>
            </w: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29,726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Inventory, net</w:t>
            </w:r>
          </w:p>
        </w:tc>
        <w:tc>
          <w:tcPr>
            <w:tcW w:w="5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34,812</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100" w:type="dxa"/>
            <w:vAlign w:val="bottom"/>
            <w:vMerge w:val="restart"/>
          </w:tcPr>
          <w:p>
            <w:pPr>
              <w:jc w:val="right"/>
              <w:ind w:right="30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September 30, 2006 inventory write-downs totaled $0.6 million compared to $0.8 million for the quarter ended September 30, 2005.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2006 inventory write-downs totaled $1.2 million compared to $2.5 million recorded in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Inventory write-downs are a normal part of our business, and result primarily from product life cycle estimation variances.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Most of the components used in our products are available from multiple sources. We have elected to purchase integrated circuits (“IC”), used principally in our wireless control products, from one main source. Purchases from this major supplier amounted to $4.5 million and $3.2 million, representing 10.9% and 12.0%, respectively, of total inventory purchases for the three months ended September 30, 2006 and 2005. During the nine months ended September 30, 2006, purchases from this supplier amounted to $11.6 million, representing 11.1% of total inventory purchases. During the nine months ended September 30, 2005, purchases from this supplier amounted to $8.0 million, representing 11.0% of total inventory purchases.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with the aforementioned integrated circuit supplier amounted to $1.4 million and $1.1 million, representing 5.8% and 4.7%, respectively, of total accounts payable at September 30, 2006 and December 31, 2005. There was no other IC supplier with inventory purchases greater than ten percent of the total inventory purchases at September 30, 2006 or September 30, 2005.</w:t>
      </w:r>
    </w:p>
    <w:p>
      <w:pPr>
        <w:spacing w:after="0" w:line="73"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In addition, during the three months ended September 30, 2006, we purchased component and finished good products from two major suppliers. Purchases from these two major suppliers amounted to $11.3 million and $5.5 million representing 27.5% and 13.5%, respectively, of total inventory purchases for the three months ended September 30, 2006. During the three months ended September 30, 2005 purchases from the same two suppliers amounted to</w:t>
      </w:r>
    </w:p>
    <w:p>
      <w:pPr>
        <w:ind w:right="240"/>
        <w:spacing w:after="0" w:line="277" w:lineRule="auto"/>
        <w:rPr>
          <w:sz w:val="20"/>
          <w:szCs w:val="20"/>
          <w:color w:val="auto"/>
        </w:rPr>
      </w:pPr>
      <w:r>
        <w:rPr>
          <w:rFonts w:ascii="Arial" w:cs="Arial" w:eastAsia="Arial" w:hAnsi="Arial"/>
          <w:sz w:val="17"/>
          <w:szCs w:val="17"/>
          <w:color w:val="auto"/>
        </w:rPr>
        <w:t>$8.0 million and $1.0 million representing 30.2% and 3.9%, respectively, of total inventory purchases. During the three months ended September 30, 2005, there was one additional major supplier with whom we purchased $2.8 million or 10.6% of total inventory purchases. During the three months ended September 30, 2006, purchases from the same supplier amounted to $3.7 million or 9.0% of total inventory purchases.</w:t>
      </w:r>
    </w:p>
    <w:p>
      <w:pPr>
        <w:spacing w:after="0" w:line="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nine months ended September 30, 2006, purchases from the three aforementioned component and finished good products suppliers amounted to $30.0 million, $9.1 million and $11.2 million, representing 28.7%, 8.7% and 10.7% of total inventory purchases, respectively. During the nine months ended September 30, 2005, purchases from these three suppliers amounted to $26.5 million, $2.5 million, and $7.2 million, representing 36.3%, 3.4% and 9.8% of total inventory purchases, respectively.</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Accounts payable with the aforementioned three suppliers of component and finished good products amounted to $7.8 million, $3.3 million and $1.4 million respectively, representing 32.8%, 13.9% and 5.8% of the total accounts payable at September 30, 2006. At December 31, 2005, accounts payable with the same suppliers amounted to $6.5 million, $1.4 million and $1.9 million, respectively, representing 28.5%, 6.2% and 8.3% of the total accounts payable. There was no other component and finished goods supplier with inventory purchases greater than ten percent of the total inventory purchases at September 30, 2006 or September 30,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We use the estimated effective tax rate for the year to determine our provision for income taxes for interim periods. We recorded income tax expense of $1.5 million for the three months ended September 30, 2006 compared to $1.1 million for the same period last year. Our estimated effective tax rate was</w:t>
      </w:r>
    </w:p>
    <w:p>
      <w:pPr>
        <w:ind w:right="180"/>
        <w:spacing w:after="0" w:line="255" w:lineRule="auto"/>
        <w:rPr>
          <w:sz w:val="20"/>
          <w:szCs w:val="20"/>
          <w:color w:val="auto"/>
        </w:rPr>
      </w:pPr>
      <w:r>
        <w:rPr>
          <w:rFonts w:ascii="Arial" w:cs="Arial" w:eastAsia="Arial" w:hAnsi="Arial"/>
          <w:sz w:val="18"/>
          <w:szCs w:val="18"/>
          <w:color w:val="auto"/>
        </w:rPr>
        <w:t>29.8% and 27.7% during the three months ended September 30, 2006 and 2005, respectively. We recorded income tax expense of $4.2 million for the nine months ended September 30, 2006 compared to $2.9 million for the same period last year. Our estimated effective tax rate was 34.0% and 32.1% during the nine months ended September 2006 and 2005,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September 30, 2006 and 2005, 1,147,961 and 1,021,000 stock options, respectively, with exercise prices greater than the average market price of the underlying common stock, were excluded because their inclusion would have been antidilutive. In the computation of diluted earnings per common share for the nine months ended September 30, 2006 and 2005, 1,137,242 and 1,000,000 stock options, respectively, with exercise prices greater than the average market price of the underlying common stock, were excluded because their inclusion would have been antidilutive.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and nine months ended September 30, 2006 and 2005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3,533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2,777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8,088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276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3,533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2,777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8,088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573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14,336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(loss) are listed below:</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9"/>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3,533</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2,777</w:t>
            </w:r>
          </w:p>
        </w:tc>
        <w:tc>
          <w:tcPr>
            <w:tcW w:w="5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8,088</w:t>
            </w: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4,951*</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6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4"/>
              </w:rPr>
              <w:t>2,514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13,039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306" w:lineRule="auto"/>
        <w:tabs>
          <w:tab w:leader="none" w:pos="4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foreign currency translation gain of $5.0 million for the nine months ended September 30, 2006 is due to the weakening of the U.S. dollar versus the Euro. The U.S. dollar/Euro spot rate was 1.27 and 1.18 at September 30, 2006 and December 31, 2005, respectively.</w:t>
      </w:r>
    </w:p>
    <w:p>
      <w:pPr>
        <w:spacing w:after="0" w:line="1" w:lineRule="exact"/>
        <w:rPr>
          <w:sz w:val="20"/>
          <w:szCs w:val="20"/>
          <w:color w:val="auto"/>
        </w:rPr>
      </w:pPr>
    </w:p>
    <w:p>
      <w:pPr>
        <w:ind w:left="460" w:right="4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foreign currency translation loss of $7.8 million for the nine months ended September 30, 2005 is due to the strengthening of the U.S. dollar versus the Euro. The U.S. dollar/Euro spot rate was 1.24 and 1.35 at September 30, 2005 and December 31, 2004,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income, net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gain on foreign currency exchange</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Line</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Effective August 31, 2006, we amended our original Credit Facility with Comerica, extending our line of credit through August 31, 2009. The amended Credit Facility provides a $15 million unsecured revolving credit agreement with Comerica for an additional three years, expiring on August 31, 2009. Under the Credit Facility, the interest payable is variable and is based on the bank’s cost of funds or the LIBOR rate plus a fixed margin of 1.25%. The interest rate in effect as of September 30, 2006 using the LIBOR Rate option plus a fixed margin of 1.25% was 6.57%.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September 30, 2006, we did not have any amounts outstanding under the Credit Facility or any outstanding import letters of credit. Furthermore, as of September 30, 2006, we were in compliance with all financial covenants required by the Credit Facility.</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 the amended Credit Facility, we have authority to acquire up to an additional 2.0 million shares of our common stock in the open market. From August 31, 2006, through September 30, 2006, we purchased 1,600 shares of our common stock, leaving 1,998,400 shares available, for purchase under the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discounts/rebates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3,479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warranties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During the nine months ended September 30, 2006, we repurchased 32,326 shares of our common stock at a cost of $0.6 million. During the nine months ended September 30, 2005, we repurchased 356,285 shares of our common stock at a cost of $6.1 million. These shares were recorded as shares held in treasury at cost. The shares will generally be held by us for future use as management and the Board of Directors deem appropriate, including the compensation of outside directors of the Company. During the nine months ended September 30, 2006 and September 30, 2005, shares totaling 15,000 and 15,000, respectively, were issued to the outside directors for services performed.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2006, the FASB issued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an interpretation of FASB Statement No. 109, to clarify the accounting for uncertainty in income taxes recognized in the financial statements in accordance with FASB Statement No. 109. FIN 48 prescribes a recognition threshold and measurement criteria for the recognition and measurement of a tax position taken or expected to be taken in a tax return. FIN 48 also provides guidance on derecognition, classification, interest and penalties, accounting in interim periods, disclosure and transition. FIN 48 is effective for years beginning after December 15, 2006. We are currently evaluating the effect that the adoption of FIN 48 will have on our consolidated results of operations and financial condition.</w:t>
      </w:r>
    </w:p>
    <w:p>
      <w:pPr>
        <w:spacing w:after="0" w:line="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March 2006, the Task Force of the FASB issued EITF No. 06-3, </w:t>
      </w:r>
      <w:r>
        <w:rPr>
          <w:rFonts w:ascii="Arial" w:cs="Arial" w:eastAsia="Arial" w:hAnsi="Arial"/>
          <w:sz w:val="16"/>
          <w:szCs w:val="16"/>
          <w:i w:val="1"/>
          <w:iCs w:val="1"/>
          <w:color w:val="auto"/>
        </w:rPr>
        <w:t>How Taxes Collected from Customers and Remitted to the Governmental Authorities</w:t>
      </w:r>
      <w:r>
        <w:rPr>
          <w:rFonts w:ascii="Arial" w:cs="Arial" w:eastAsia="Arial" w:hAnsi="Arial"/>
          <w:sz w:val="16"/>
          <w:szCs w:val="16"/>
          <w:color w:val="auto"/>
        </w:rPr>
        <w:t xml:space="preserve"> </w:t>
      </w:r>
      <w:r>
        <w:rPr>
          <w:rFonts w:ascii="Arial" w:cs="Arial" w:eastAsia="Arial" w:hAnsi="Arial"/>
          <w:sz w:val="16"/>
          <w:szCs w:val="16"/>
          <w:i w:val="1"/>
          <w:iCs w:val="1"/>
          <w:color w:val="auto"/>
        </w:rPr>
        <w:t>Should Be Presented in the Income Statement (That is Gross versus Net Presentation)</w:t>
      </w:r>
      <w:r>
        <w:rPr>
          <w:rFonts w:ascii="Arial" w:cs="Arial" w:eastAsia="Arial" w:hAnsi="Arial"/>
          <w:sz w:val="16"/>
          <w:szCs w:val="16"/>
          <w:color w:val="auto"/>
        </w:rPr>
        <w:t>. EITF 06-3 provides guidance on the presentation of taxes remitted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authorities on the income statement. The Task Force reached the conclusion that the presentation of taxes on either gross (included in revenue and costs) or a net (excluded from revenues) basis is an accounting policy decision that should be disclosed pursuant to APB Opinion No. 22, Disclosures of Accounting Policies. Any such taxes that are reported on a gross basis should be disclosed if amounts are significant. EITF 06-3 is effective for years beginning after December 15, 2006. We record sales tax on a net basis. This is included in accrued sales tax and VAT.</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2006, the SEC issued Staff Accounting Bulletin No. 108 (“SAB 108”) on quantifying misstatements in financial statements. In SAB 108, the SEC provides guidance on considering the effects of prior year misstatements in quantifying current year misstatements for the purpose of materiality assessment. SAB 108 is effective for the first fiscal year ending after November 15, 2006. We are currently evaluating the effect that the adoption of SAB 108 will have on our consolidated results of operations and financial condition.</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We are currently evaluating the effect that the adoption of SFAS 157 will have on our consolidated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Under the requirements of SFAS 142,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the unit of accounting for goodwill is at a level of reporting referred to as a “reporting unit.” SFAS 142 defines a reporting unit as either (1) an operating segment — as defined in SFAS 131, </w:t>
      </w:r>
      <w:r>
        <w:rPr>
          <w:rFonts w:ascii="Arial" w:cs="Arial" w:eastAsia="Arial" w:hAnsi="Arial"/>
          <w:sz w:val="18"/>
          <w:szCs w:val="18"/>
          <w:i w:val="1"/>
          <w:iCs w:val="1"/>
          <w:color w:val="auto"/>
        </w:rPr>
        <w:t>Disclosures about Segments of an Enterprise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Information </w:t>
      </w:r>
      <w:r>
        <w:rPr>
          <w:rFonts w:ascii="Arial" w:cs="Arial" w:eastAsia="Arial" w:hAnsi="Arial"/>
          <w:sz w:val="18"/>
          <w:szCs w:val="18"/>
          <w:color w:val="auto"/>
        </w:rPr>
        <w:t>or (2) one level below an operating segment — referred to as a component. Our domestic and international components are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units” within our one operating segment “Core Business.” Goodwill is reviewed for impairment during the fourth quarter of each year. Goodwill of a reporting unit is tested for impairment between annual tests if an event occurs or circumstances change that would more likely than not reduce the fair value of a reporting unit below its carrying amount.</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domestic and international components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06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September 30, 2006, as compared to the goodwill reported at December 31, 2005, was the result of fluctuations in the foreign currency exchange rates used to translate the balance into U.S. dollars.</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2006</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2005</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9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432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888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Capitalized software (2 years)</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 carrying amount</w:t>
            </w:r>
          </w:p>
        </w:tc>
        <w:tc>
          <w:tcPr>
            <w:tcW w:w="39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432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39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432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39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920" w:type="dxa"/>
            <w:vAlign w:val="bottom"/>
            <w:vMerge w:val="restart"/>
          </w:tcPr>
          <w:p>
            <w:pPr>
              <w:jc w:val="right"/>
              <w:ind w:right="243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including the amortization of capitalized software, which is recorded to cost of sales, for the three and nine months ended</w:t>
      </w:r>
    </w:p>
    <w:p>
      <w:pPr>
        <w:spacing w:after="0" w:line="3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September 30, 2006 was approximately $0.4 million and $1.1 million, respectively. Amortization expense, including the amortization of capitalized software, which is recorded to cost of sales, for the three and nine months ended September 30, 2005 was approximately $0.3 million and $1.0 million, respectively. Estimated amortization expense for existing intangible assets for each of the five succeeding years ending December 31 and thereafter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2006 (remaining three months)</w:t>
            </w:r>
          </w:p>
        </w:tc>
        <w:tc>
          <w:tcPr>
            <w:tcW w:w="4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2007</w:t>
            </w: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2009</w:t>
            </w: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4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(expense) income, net. Derivatives are recorded at fair value at each balance sheet date.</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held foreign currency exchange contracts which resulted in a net pre-tax loss of approximately $101 thousand for the three months ended September 30, 2006, and a net loss of approximately $104 thousand for the three months ended September 30, 2005. For the nine months ended September 30, 2006 and 2005, we had a net pre-tax loss of $66 thousand and net loss of $283 thousand, respectively. We had three foreign currency exchange contracts outstanding at September 30, 2006, a forward contract with a notional value of $5.0 million and two options structures known as participating forwards, both with a notional value of $6.25 million each. We had two foreign currency exchange contracts outstanding at December 31, 2005, a forward contract with a notional value of $11.0 million that settled on January 3, 2006 , and a participating forward with a notional value of $25.0 million that settled on January 20,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Contract</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held a USD/Euro forward contract with a notional value of $5.0 million and a forward rate of $1.2761/Euro as of September 30, 2006, due for settlement on October 25, 2006. We held the Euro position on this contract. The value of this contract was ($24) thousand at September 30, 2006. This contract is included in other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Participating Forwards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entered into a USD/Euro and a USD/GBP participating forward with 50% participation rates and notional values of $6.25 million each, in April 2006. The strike prices of the participating forwards are $1.1865 (USD/Euro) and $1.6900 (USD/GBP). The contracts are due for settlement on January 3, 2007. The loss recorded related to these contracts was $12 thousand for the quarter and $547 thousand for the nine months ended September 30, 2006. The value of these contracts was approximately ($0.5) million at September 30, 2006. These contracts are included in other accrued expenses.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SFAS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w:t>
      </w:r>
    </w:p>
    <w:p>
      <w:pPr>
        <w:spacing w:after="0" w:line="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fourth quarter of 2004 we purchased SimpleDevices for approximately $12.8 million in cash, including direct acquisition costs, and a potential performance-based payment of our unregistered common stock, if certain future financial objectives are achieved.</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a result of the performance-based incentive and other factors, management reviewed SimpleDevices’ discrete operating results through the second quarter of 2006, and as a result, defined SimpleDevices as a separate segment. Since acquiring SimpleDevices, we have integrated, and in certain respects improved upon, SimpleDevices’ technologies with and into our own technology, resulting in the creation of new wireless control devices that will allow for media control. Moreover, through this integration of technologies, we have improved and expanded our relationships with our customers and with SimpleDevices’ customers, resulting in more cross-selling of products and technology. In addition, we have integrated SimpleDevices’ sales, engineering and administrative functions into our own, resulting in both operational efficiencies and cost savings. As a result of the integration and the performance-based payment expiring, commencing in the third quarter of 2006, we merged SimpleDevices into our Core Business segment, resulting in us operating in a single industry segment.</w:t>
      </w:r>
    </w:p>
    <w:p>
      <w:pPr>
        <w:spacing w:after="0" w:line="5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our Core Business segment, we have developed a broad line of easy-to-use, pre-programmed universal wireless control products and audio-video accessories that are marketed to enhance home entertainment systems. The various channels of distribution utilized by our Core Business segment include international retail, private label, OEMs, cable and satellite service providers as well as companies in the computing industry. Management does not review financial data beyond revenues by channel.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by geographic area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32,294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22,690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90,369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6,575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16,305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8,032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1,864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5,885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Italy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Australia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1,892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Switzerland</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2,964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6,337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3,949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27,318</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23,516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75,786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59,612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46,206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166,155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September 30, 2006</w:t>
            </w:r>
          </w:p>
        </w:tc>
        <w:tc>
          <w:tcPr>
            <w:tcW w:w="19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2005</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4,086</w:t>
            </w:r>
          </w:p>
        </w:tc>
        <w:tc>
          <w:tcPr>
            <w:tcW w:w="10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6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At September 30, 2006, we had approximately $5.3 million and $52.0 million of cash and cash equivalents in the United States and Europe, respectively. At December 31, 2005, we had approximately $1.0 million and $42.6 million of cash and cash equivalents in the United States and Europe,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Because warranty expense is a forecast based on the best available information, mostly historical claims experience, actual claim costs may differ from the amounts provided. The change in the liability for product warranties is presented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Balance at</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5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9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Period</w:t>
            </w:r>
          </w:p>
        </w:tc>
        <w:tc>
          <w:tcPr>
            <w:tcW w:w="54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420" w:type="dxa"/>
            <w:vAlign w:val="bottom"/>
          </w:tcPr>
          <w:p>
            <w:pPr>
              <w:spacing w:after="0" w:line="195" w:lineRule="exact"/>
              <w:rPr>
                <w:sz w:val="20"/>
                <w:szCs w:val="20"/>
                <w:color w:val="auto"/>
              </w:rPr>
            </w:pPr>
            <w:r>
              <w:rPr>
                <w:rFonts w:ascii="Arial" w:cs="Arial" w:eastAsia="Arial" w:hAnsi="Arial"/>
                <w:sz w:val="18"/>
                <w:szCs w:val="18"/>
                <w:color w:val="auto"/>
              </w:rPr>
              <w:t>Nine Months Ended September 30, 2006</w:t>
            </w:r>
          </w:p>
        </w:tc>
        <w:tc>
          <w:tcPr>
            <w:tcW w:w="52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$414</w:t>
            </w:r>
          </w:p>
        </w:tc>
        <w:tc>
          <w:tcPr>
            <w:tcW w:w="520" w:type="dxa"/>
            <w:vAlign w:val="bottom"/>
          </w:tcPr>
          <w:p>
            <w:pPr>
              <w:spacing w:after="0"/>
              <w:rPr>
                <w:sz w:val="16"/>
                <w:szCs w:val="16"/>
                <w:color w:val="auto"/>
              </w:rPr>
            </w:pPr>
          </w:p>
        </w:tc>
        <w:tc>
          <w:tcPr>
            <w:tcW w:w="1000" w:type="dxa"/>
            <w:vAlign w:val="bottom"/>
          </w:tcPr>
          <w:p>
            <w:pPr>
              <w:jc w:val="right"/>
              <w:ind w:right="284"/>
              <w:spacing w:after="0" w:line="195" w:lineRule="exact"/>
              <w:rPr>
                <w:sz w:val="20"/>
                <w:szCs w:val="20"/>
                <w:color w:val="auto"/>
              </w:rPr>
            </w:pPr>
            <w:r>
              <w:rPr>
                <w:rFonts w:ascii="Arial" w:cs="Arial" w:eastAsia="Arial" w:hAnsi="Arial"/>
                <w:sz w:val="18"/>
                <w:szCs w:val="18"/>
                <w:color w:val="auto"/>
              </w:rPr>
              <w:t>$245</w:t>
            </w:r>
          </w:p>
        </w:tc>
        <w:tc>
          <w:tcPr>
            <w:tcW w:w="54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0"/>
              </w:rPr>
              <w:t>(172)</w:t>
            </w:r>
          </w:p>
        </w:tc>
        <w:tc>
          <w:tcPr>
            <w:tcW w:w="54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Nine Months Ended September 30, 2005</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$183</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$294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June 2006, we filed suit against Remote Technologies, Inc. (“RTI”) alleging that RTI has infringed certain of our patents. After being served in July 2006, RTI answered our complaint denying our claims of infringement and counterclaiming that our patents are invalid and not infringed. In September 2006, we answered RTI denying RTI’s allegations and reasserting our original complaint. We will seek a settlement of this matter, but, if settlement is not possible, we intend to pursue this matter vigorously.</w:t>
      </w:r>
    </w:p>
    <w:p>
      <w:pPr>
        <w:spacing w:after="0" w:line="7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October, one of our subsidiaries (One For All S.A.S.) reached a settlement with an ex-employee in which our subsidiary will pay the ex-employee approximately 50,000 Euros. The ex-employee originally brought an action against our subsidiary in 2003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which was scheduled for hearing in late 2006. It is expected that the settlement agreement will be finalized, signed and entered in the court before the end of the Corporation’s fourth quarter, at which time the case will be dismissed.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are no other material pending legal proceedings nor any changes in any material pending legal matters previously disclosed, other than litigation incidental to the ordinary course of our business, to which we or any of our subsidiaries is a party or of which our respective property is the subject. We do not believe any of the claims made against us in any of the pending matters have merit and, except for the matters in which we intend to seek settlement, we intend to vigorously defend ourselves against them, or, in the case in which we are plaintiff, to pursue them vigorously.</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and companies in the computing industry. We believe our universal remote control database contains device codes capable of controlling virtually all infrared remote (“IR”) controlled TVs, VCRs, DVD players, cable converters, CD players, audio components and satellite receivers, as well as most other infrared remote controlled devices worldwide.</w:t>
      </w:r>
    </w:p>
    <w:p>
      <w:pPr>
        <w:spacing w:after="0" w:line="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Beginning in 1986 and continuing today, we have compiled an extensive library that covers nearly 275,000 individual device functions and over 2,900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6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Beginning in 2002, we began selling our Nevo</w:t>
      </w:r>
      <w:r>
        <w:rPr>
          <w:rFonts w:ascii="Arial" w:cs="Arial" w:eastAsia="Arial" w:hAnsi="Arial"/>
          <w:sz w:val="13"/>
          <w:szCs w:val="13"/>
          <w:color w:val="auto"/>
        </w:rPr>
        <w:t>®</w:t>
      </w:r>
      <w:r>
        <w:rPr>
          <w:rFonts w:ascii="Arial" w:cs="Arial" w:eastAsia="Arial" w:hAnsi="Arial"/>
          <w:sz w:val="16"/>
          <w:szCs w:val="16"/>
          <w:color w:val="auto"/>
        </w:rPr>
        <w:t xml:space="preserve"> 1.0 software embedded on our chip. Nevo 2.0</w:t>
      </w:r>
      <w:r>
        <w:rPr>
          <w:rFonts w:ascii="Arial" w:cs="Arial" w:eastAsia="Arial" w:hAnsi="Arial"/>
          <w:sz w:val="13"/>
          <w:szCs w:val="13"/>
          <w:color w:val="auto"/>
        </w:rPr>
        <w:t>®</w:t>
      </w:r>
      <w:r>
        <w:rPr>
          <w:rFonts w:ascii="Arial" w:cs="Arial" w:eastAsia="Arial" w:hAnsi="Arial"/>
          <w:sz w:val="16"/>
          <w:szCs w:val="16"/>
          <w:color w:val="auto"/>
        </w:rPr>
        <w:t xml:space="preserve"> was launched in July 2004. Both of these products were featured on a series of Hewlett Packard Personal Digital Assistants (PDA), which reached their end of life during the third quarter of 2005. Building on this platform, we used some components of the Nevo 2.0</w:t>
      </w:r>
      <w:r>
        <w:rPr>
          <w:rFonts w:ascii="Arial" w:cs="Arial" w:eastAsia="Arial" w:hAnsi="Arial"/>
          <w:sz w:val="13"/>
          <w:szCs w:val="13"/>
          <w:color w:val="auto"/>
        </w:rPr>
        <w:t>®</w:t>
      </w:r>
      <w:r>
        <w:rPr>
          <w:rFonts w:ascii="Arial" w:cs="Arial" w:eastAsia="Arial" w:hAnsi="Arial"/>
          <w:sz w:val="16"/>
          <w:szCs w:val="16"/>
          <w:color w:val="auto"/>
        </w:rPr>
        <w:t xml:space="preserve"> technology in a new product named NevoSL</w:t>
      </w:r>
      <w:r>
        <w:rPr>
          <w:rFonts w:ascii="Arial" w:cs="Arial" w:eastAsia="Arial" w:hAnsi="Arial"/>
          <w:sz w:val="13"/>
          <w:szCs w:val="13"/>
          <w:color w:val="auto"/>
        </w:rPr>
        <w:t>®</w:t>
      </w:r>
      <w:r>
        <w:rPr>
          <w:rFonts w:ascii="Arial" w:cs="Arial" w:eastAsia="Arial" w:hAnsi="Arial"/>
          <w:sz w:val="16"/>
          <w:szCs w:val="16"/>
          <w:color w:val="auto"/>
        </w:rPr>
        <w:t xml:space="preserve"> which we began to ship in the second quarter of 2005. NevoSL</w:t>
      </w:r>
      <w:r>
        <w:rPr>
          <w:rFonts w:ascii="Arial" w:cs="Arial" w:eastAsia="Arial" w:hAnsi="Arial"/>
          <w:sz w:val="13"/>
          <w:szCs w:val="13"/>
          <w:color w:val="auto"/>
        </w:rPr>
        <w:t>®</w:t>
      </w:r>
      <w:r>
        <w:rPr>
          <w:rFonts w:ascii="Arial" w:cs="Arial" w:eastAsia="Arial" w:hAnsi="Arial"/>
          <w:sz w:val="16"/>
          <w:szCs w:val="16"/>
          <w:color w:val="auto"/>
        </w:rPr>
        <w:t xml:space="preserve"> is a universal controller that delivers complete audio, visual and Wi-Fi digital media control for the networked home.</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for approximately $12.8 million in cash, including direct acquisition costs, plus a performance-based payment of our unregistered common stock to be paid in the first quarter of 2007 if certain financial objectives are achieved. The performance-based payment has not been reflected as part of the purchase price as of September 30, 2006, since we believe that it is not probable that the performance metrics will be met.</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value we received from this acquisition relates primarily to SimpleDevices’ unique capabilities, as well as its complete and in-process technology. SimpleDevices has developed connected-device technology solutions that link the home computer and the Internet to existing consumer electronic devices in the home and car. The company provides UPnP-compatible software to transform common home devices into “connected” devices — that is, devices that can find, control and share entertainment media across a home network. UPnP is an architecture for pervasive peer-to-peer network connectivity of intelligent appliances, wireless devices and PCs of all form factors. It is designed to bring standards-based connectivity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or unmanaged networks, whether in the home, in a small business, in public spaces or attached to the Internet. UPnP is a distributed, open networking architecture that leverages TCP/IP and Web technologies to enable seamless proximity networking in addition to control and data transfer among networked devices in the home, office and public spaces.</w:t>
      </w:r>
    </w:p>
    <w:p>
      <w:pPr>
        <w:spacing w:after="0" w:line="5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Since acquiring SimpleDevices, we have integrated, and in certain respects improved upon, SimpleDevices’ technologies with and into our own technology, resulting in the creation of new wireless control devices that will allow for media control. Moreover, through this integration of technologies, we have improved and expanded our relationships with our customers and with SimpleDevices’ customers, resulting in more cross-selling of products and technology. In addition, we have integrated SimpleDevices’ sales, engineering and administrative functions into our own, resulting in both operational efficiencies and cost savings.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our results of operations expressed as a percentage of net sales for the three and nine months ended September 30, 2006 and 2005: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54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63.2</w:t>
            </w:r>
          </w:p>
        </w:tc>
        <w:tc>
          <w:tcPr>
            <w:tcW w:w="1540" w:type="dxa"/>
            <w:vAlign w:val="bottom"/>
            <w:gridSpan w:val="4"/>
          </w:tcPr>
          <w:p>
            <w:pPr>
              <w:jc w:val="right"/>
              <w:ind w:right="248"/>
              <w:spacing w:after="0"/>
              <w:rPr>
                <w:sz w:val="20"/>
                <w:szCs w:val="20"/>
                <w:color w:val="auto"/>
              </w:rPr>
            </w:pPr>
            <w:r>
              <w:rPr>
                <w:rFonts w:ascii="Arial" w:cs="Arial" w:eastAsia="Arial" w:hAnsi="Arial"/>
                <w:sz w:val="18"/>
                <w:szCs w:val="18"/>
                <w:color w:val="auto"/>
              </w:rPr>
              <w:t>64.1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1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35.9</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8"/>
                <w:szCs w:val="18"/>
                <w:color w:val="auto"/>
              </w:rPr>
              <w:t>3.9</w:t>
            </w:r>
          </w:p>
        </w:tc>
        <w:tc>
          <w:tcPr>
            <w:tcW w:w="1540" w:type="dxa"/>
            <w:vAlign w:val="bottom"/>
            <w:gridSpan w:val="4"/>
          </w:tcPr>
          <w:p>
            <w:pPr>
              <w:jc w:val="right"/>
              <w:ind w:right="268"/>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17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24.9</w:t>
            </w:r>
          </w:p>
        </w:tc>
        <w:tc>
          <w:tcPr>
            <w:tcW w:w="1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25.4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104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154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income, net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8"/>
                <w:szCs w:val="18"/>
                <w:color w:val="auto"/>
              </w:rPr>
              <w:t>0.6</w:t>
            </w:r>
          </w:p>
        </w:tc>
        <w:tc>
          <w:tcPr>
            <w:tcW w:w="1540" w:type="dxa"/>
            <w:vAlign w:val="bottom"/>
            <w:gridSpan w:val="4"/>
          </w:tcPr>
          <w:p>
            <w:pPr>
              <w:jc w:val="right"/>
              <w:ind w:right="268"/>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7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54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04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7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54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40" w:type="dxa"/>
            <w:vAlign w:val="bottom"/>
            <w:gridSpan w:val="3"/>
            <w:vMerge w:val="continue"/>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800" w:type="dxa"/>
            <w:vAlign w:val="bottom"/>
            <w:gridSpan w:val="2"/>
            <w:vMerge w:val="continue"/>
          </w:tcPr>
          <w:p>
            <w:pPr>
              <w:spacing w:after="0"/>
              <w:rPr>
                <w:sz w:val="19"/>
                <w:szCs w:val="19"/>
                <w:color w:val="auto"/>
              </w:rPr>
            </w:pP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2006 versus Three Months Ended September 30,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September 30,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77.4%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31.3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14.9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6</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46.</w:t>
            </w:r>
            <w:r>
              <w:rPr>
                <w:rFonts w:ascii="Arial" w:cs="Arial" w:eastAsia="Arial" w:hAnsi="Arial"/>
                <w:sz w:val="18"/>
                <w:szCs w:val="18"/>
                <w:u w:val="single" w:color="auto"/>
                <w:color w:val="auto"/>
                <w:w w:val="79"/>
              </w:rPr>
              <w:t>2</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sales for the third quarter of 2006 were $59.6 million, an increase of 29% compared to $46.2 million for the third quarter of 2005. Net income for the third quarter of 2006 was $3.5 million or $0.26 per share (basic) and $0.25 per share (diluted) compared to $2.8 million or $0.21 per share (basic) and $0.20 per share (diluted) for the third quarter of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77% of net sales for the third quarter of 2006 compared to 68% for the third quarter of 2005. Net sales in our Business lines for the third quarter of 2006 increased by 47% to $46.1 million from</w:t>
      </w:r>
    </w:p>
    <w:p>
      <w:pPr>
        <w:ind w:right="20"/>
        <w:spacing w:after="0" w:line="252" w:lineRule="auto"/>
        <w:rPr>
          <w:sz w:val="20"/>
          <w:szCs w:val="20"/>
          <w:color w:val="auto"/>
        </w:rPr>
      </w:pPr>
      <w:r>
        <w:rPr>
          <w:rFonts w:ascii="Arial" w:cs="Arial" w:eastAsia="Arial" w:hAnsi="Arial"/>
          <w:sz w:val="18"/>
          <w:szCs w:val="18"/>
          <w:color w:val="auto"/>
        </w:rPr>
        <w:t>$31.3 million for the same period last year. This increase in sales resulted primarily from an increase in the volume of remote control sales.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the deployment of the advanced function set-top boxes by the service operators to continue into the foreseeable future as penetration for each of these functions continues to increase. As a result, we expect Business category revenue to range from $173.8 to $176.8 million in 2006</w:t>
      </w:r>
      <w:r>
        <w:rPr>
          <w:rFonts w:ascii="Arial" w:cs="Arial" w:eastAsia="Arial" w:hAnsi="Arial"/>
          <w:sz w:val="18"/>
          <w:szCs w:val="18"/>
          <w:b w:val="1"/>
          <w:bCs w:val="1"/>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4"/>
          <w:szCs w:val="14"/>
          <w:i w:val="1"/>
          <w:iCs w:val="1"/>
          <w:color w:val="auto"/>
        </w:rPr>
        <w:t>®</w:t>
      </w:r>
      <w:r>
        <w:rPr>
          <w:rFonts w:ascii="Arial" w:cs="Arial" w:eastAsia="Arial" w:hAnsi="Arial"/>
          <w:sz w:val="17"/>
          <w:szCs w:val="17"/>
          <w:color w:val="auto"/>
        </w:rPr>
        <w:t xml:space="preserve"> retail, private label, custom installers and direct import) were approximately 23% of net sales for the third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quarter of 2006 compared to 32% for the third quarter of 2005. Net sales in our Consumer lines for the third quarter of 2006 decreased by 10%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 million from $14.9 million for the same period last year. The decrease in sales resulted primarily from a decrease in CEDIA sales, which were $0.6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million in the third quarter of 2006, down from $1.7 million in the third quarter of 2005. The entry into the CEDIA market occurred late in the second quarter of 2005, and there was a channel-fill that occurred in the third quarter of 2005. European retail sales decreased by 3% to $10.3 million in the third quarter of 2006, from $10.6 million in the third quarter of 2005, primarily due to weakness in the UK market, partially offset by the strengthening of both the Euro and British Pound as compared to the U.S. Dollar. The impact of the stronger currencies resulted in an increase in net sales of approximately $0.4 million. Excluding the positive foreign exchange impact, European retail sales decreased by $0.7 million. We expect Consumer category revenue to range from $53.4 to $57.4 million in 2006, with a higher percentage of retail sales occurring in the fourth quarter, which is consistent with prior years.</w:t>
      </w:r>
    </w:p>
    <w:p>
      <w:pPr>
        <w:spacing w:after="0" w:line="5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Gross profit for the third quarter of 2006 was $21.6 million compared to $17.0 million for the third quarter of 2005. Gross profit as a percentage of net sales for the third quarter of 2006 was 36.2% compared to 36.8% for the third quarter of 2005. The decrease in gross profit as a percentage of net sales was primarily attributable to a shift in product mix towards subscription broadcast sales, which generally have a lower gross profit rate as compared to our other sales. The impact of this change in mix was a 3.2% reduction in the gross profit rate. Partially offsetting this decrease was a reduction in inventory scrap expense of $0.1 million, which added 0.5% to the gross profit rate. The reduction of inventory scrap expense was driven by the sell-through of slow-moving inventory and generally improved inventory management. Freight expense declined $36 thousand due to a decline in the volume of units shipped using air freight, which added 0.4% to the gross profit rate. Tooling depreciation declined $0.1 million and added 0.4% to the gross profit rate. Warranty expense declined $0.2 million and added 0.4% to the gross profit rate. Gross profit was also positively impacted by the strengthening of both the Euro and British Pound as compared to the U.S. Dollar, which resulted in an increase in gross profit of $0.4 million and an increase in the gross profit rate of 0.4%. Sub-contract labor expense declined by $47 thousand, which added 0.3% to the gross profit rate, and royalty expense increased by $69 thousand, which added 0.3% to the gross profit rate.</w:t>
      </w:r>
    </w:p>
    <w:p>
      <w:pPr>
        <w:spacing w:after="0" w:line="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increased 1.5% or $27 thousand from $1.8 million in the third quarter of 2005 to $1.8 million in the third quarter of 2006. This increase was attributable to stock-based compensation expense. We expect research and development expense to range from $7.3 to $7.5 million for the full year 2006.</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Selling, general and administrative expenses increased 31% from $11.5 million in the third quarter of 2005 to $15.1 million in the third quarter of 2006. Approximately $1.0 million of this increase was attributable to payroll and benefits due to an increase in headcount, $0.6 million to stock-based compensation expense due to implementation of SFAS 123R, $0.4 million to employee bonus expense, $0.3 million to trade shows, $0.3 million to outside product development, $0.3 million to the strengthening of the Euro compared to the U.S. Dollar, $0.2 million to delivery and freight, $0.2 million to tax and audit fees and $0.2 million to travel and meals. We expect that selling, general and administrative expenses will range from $57.9 to $58.6 million for the full year 2006.</w:t>
      </w:r>
    </w:p>
    <w:p>
      <w:pPr>
        <w:spacing w:after="0" w:line="5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third quarter of 2006, we recorded $0.4 million of net interest income compared to $0.3 million during the third quarter of 2005. This increase was due to higher money market rates and a higher average cash balance in Europe. We expect this trend to continue throughout 2006.</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third quarter of 2006, net other expense was $30 thousand as compared to net other expense of $0.1 million for the third quarter of 2005. The net other expense in the third quarter of 2006 was the result of a foreign currency loss of $30 thousand compared to a foreign currency loss of $0.1 million in the third quarter of 2005.</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recorded income tax expense of $1.5 million for the third quarter of 2006 compared to $1.1 million for the third quarter of 2005. Our estimated effective tax rate was 29.8% during the third quarter of 2006 compared to 27.7 % during the third quarter of 2005. The increase in the effective tax rate is due primarily to a higher percentage of pre-tax earnings being in higher tax rate jurisdictions.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2006 versus Nine Months Ended September 30,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nine months ended September 30,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77.8%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166.2</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Net sales for the nine months ended September 30, 2006 were $166.2 million, an increase of 26% compared to $132.0 million for the nine months ended September 30, 2005. Net income for the nine months ended September 30, 2006 was $8.1 million or $0.59 per share (basic) and $0.56 per share (diluted) compared to $6.2 million or $0.46 per share (basic) and $0.44 per share (diluted) for the nine months ended September 30,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78% of net sales for the nine months ended September 30, 2006 compared to 71% for the nine months ended September 30, 2005. Net sales in our Business lines for the nine months ended September 30, 2006 increased by 38% to $129.3 million from $93.4 million for the same period last year. This increase in sales resulted primarily from an increase in the volume of remote control sales.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the deployment of the advanced function set-top boxes by the service operators to continue into the foreseeable future as penetration for each of these functions continues to increase. As a result, we expect Business category revenue to range from $173.8 to $176.8 million in 2006</w:t>
      </w:r>
      <w:r>
        <w:rPr>
          <w:rFonts w:ascii="Arial" w:cs="Arial" w:eastAsia="Arial" w:hAnsi="Arial"/>
          <w:sz w:val="17"/>
          <w:szCs w:val="17"/>
          <w:b w:val="1"/>
          <w:bCs w:val="1"/>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4"/>
          <w:szCs w:val="14"/>
          <w:i w:val="1"/>
          <w:iCs w:val="1"/>
          <w:color w:val="auto"/>
        </w:rPr>
        <w:t>®</w:t>
      </w:r>
      <w:r>
        <w:rPr>
          <w:rFonts w:ascii="Arial" w:cs="Arial" w:eastAsia="Arial" w:hAnsi="Arial"/>
          <w:sz w:val="17"/>
          <w:szCs w:val="17"/>
          <w:color w:val="auto"/>
        </w:rPr>
        <w:t xml:space="preserve"> retail, private label, custom installers and direct import) were approximately 22% of net sales for the nine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2006 compared to 29% for the nine months ended September 30, 2005. Net sales in our Consumer lines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2006 decreased by 4% to $36.9 million from $38.6 million for the same period last year. The decrease in sales resulted primarily from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European retail sales, which were down 6% to $27.6 million in the nine months ended September 30, 2006 from $29.5 million in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2005. This decrease was primarily attributable to lower volumes in the UK, the Nordic countries and France, as well as the weakening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both the Euro and British Pound compared to the U.S. Dollar. The impact of the weaker currencies resulted in a decrease in net sales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Excluding the negative foreign exchange impact, European retail sales decreased $1.5 million. Additionally, we experienced decreases in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label sales, which were down by $0.6 million, and in direct import sales, down by $0.4 million. Both decreases were driven by slowing sales of Kameleon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products. International retail sales increased by 74% to $3.1 million in the nine months ended September 30, 2006, from $1.8 million in the nine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2005, driven by strength in Australia, Argentina and Brazil. We expect Consumer category revenue to range from $53.4 to $57.4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2006, with a higher percentage of retail sales occurring in the fourth quarter, which is consistent with prior years.</w:t>
      </w:r>
    </w:p>
    <w:p>
      <w:pPr>
        <w:spacing w:after="0" w:line="10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Gross profit for the nine months ended September 30, 2006 was $59.6 million compared to $48.4 million for the nine months ended September 30, 2005. Gross profit as a percentage of net sales for the nine months ended September 30, 2006 was 35.9% compared to 36.7% for the nine months ended September 30, 2005. The decrease in gross profit as a percentage of net sales was primarily attributable to subscription broadcast sales, which generally have a lower gross profit rate as compared to our other sales, representing a larger percentage of our total business. The impact of this change in mix was a 3.2% reduction in the gross profit rate. Additional sub-contract labor expense also negatively impacted gross profit by $0.7 million in the nine months ended September 30, 2006 as compared to the nine months ended September 30, 2005. Sub-contract labor increased as a result of the mix shift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towards subscription broadcast sales as well as an increase in the number of third-party warehouse locations. Sub-contract labor contributed to a 0.2% reduction in the gross profit rate. Additional quality assurance expense of $0.4 million also negatively impacted gross profit, reducing the rate by 0.2%. Gross profit was also negatively impacted by the weakening of both the Euro and British Pound compared to the U.S. Dollar, which resulted in a decrease in gross profit of approximately $0.3 million and a reduction of 0.1% in the gross profit rate. These items were partially offset by a decline in the volume of units shipped using air freight, which added 1.2% to the gross profit rate and improved gross profit by $1.1 million. A reduction in inventory scrap expense of $1.3 million added 1.2% to the gross profit rate. The reduction of inventory scrap expense was driven by the sell-through of slow-moving inventory and generally improved inventory management. Tooling depreciation declined $0.2 million, and added 0.3% to the gross profit rate, and royalty expense increased by $0.3 million. The increase in royalty expense added 0.2% to the gross profit rate since the increase in royalty expense grew at a slower rate than net sales.</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increased 13% from $5.0 million in the nine months ended September 30, 2005 to $5.6 million in the nine months ended September 30, 2006. Approximately $0.3 million of this increase was attributable to stock-based compensation expense as a result of the implementation of SFAS 123R, effective January 1, 2006, and $0.3 million to outside product development costs for the development of audio-video accessories for sale in our retail channel as well as to develop additional products powered by the Nevo</w:t>
      </w:r>
      <w:r>
        <w:rPr>
          <w:rFonts w:ascii="Arial" w:cs="Arial" w:eastAsia="Arial" w:hAnsi="Arial"/>
          <w:sz w:val="15"/>
          <w:szCs w:val="15"/>
          <w:color w:val="auto"/>
        </w:rPr>
        <w:t>®</w:t>
      </w:r>
      <w:r>
        <w:rPr>
          <w:rFonts w:ascii="Arial" w:cs="Arial" w:eastAsia="Arial" w:hAnsi="Arial"/>
          <w:sz w:val="18"/>
          <w:szCs w:val="18"/>
          <w:color w:val="auto"/>
        </w:rPr>
        <w:t xml:space="preserve"> platform. We expect research and development expense to range from $7.3 to $7.5 million for the full year 2006.</w:t>
      </w:r>
    </w:p>
    <w:p>
      <w:pPr>
        <w:spacing w:after="0" w:line="80"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Selling, general and administrative expenses increased 14% from $37.1 million in the nine months ended September 30, 2005 to $42.3 million in the nine months ended September 30, 2006. Approximately $2.6 million of this increase was attributable to payroll and benefits, $1.8 million to stock-based compensation expense, $1.0 million to employee bonus expense, $0.7 million to travel and meals, $0.6 million to advertising and marketing services,</w:t>
      </w:r>
    </w:p>
    <w:p>
      <w:pPr>
        <w:spacing w:after="0" w:line="253" w:lineRule="auto"/>
        <w:rPr>
          <w:sz w:val="20"/>
          <w:szCs w:val="20"/>
          <w:color w:val="auto"/>
        </w:rPr>
      </w:pPr>
      <w:r>
        <w:rPr>
          <w:rFonts w:ascii="Arial" w:cs="Arial" w:eastAsia="Arial" w:hAnsi="Arial"/>
          <w:sz w:val="18"/>
          <w:szCs w:val="18"/>
          <w:color w:val="auto"/>
        </w:rPr>
        <w:t>$0.4 million to trade shows, $0.3 million to telephone and data communications costs, $0.3 million to increased tax and audit fees. These items were partially offset by a reduction in bad debt expense, which decreased by $2.0 million, primarily due to the $1.6 million write-down of a receivable due from a former European distributor in the second quarter of 2005. Temporary professional staff expense decreased by $0.5 million, and the weakening of the Euro compared to the U.S. Dollar resulted in a decrease of approximately $0.3 million. We expect that selling, general and administrative expenses will range from $57.9 to $58.6 million for the full year 2006.</w:t>
      </w:r>
    </w:p>
    <w:p>
      <w:pPr>
        <w:spacing w:after="0" w:line="8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the nine months ended September 30, 2006, we recorded $1.1 million of net interest income compared to $0.6 million during the nine months ended September 30, 2005. This increase was due to higher money market rates and a higher average cash balance in Europe. We expect this trend to continue throughout 2006.</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nine months ended September 30, 2006, net other expense was $0.6 million as compared to $2.1 million of net other income for the nine months ended September 30, 2005. Approximately $0.6 million of net other loss in the nine months ended September 30, 2006 was the result of a foreign exchange loss, compared to a foreign exchange gain of $2.1 million for the nine months ended September 30, 2005.</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recorded income tax expense of $4.2 million for the nine months ended September 30, 2006 compared to $2.9 million for the nine months ended September 30, 2005. Our effective tax rate was 34.0% during the nine months ended September 30, 2006 compared to 32.1% during the nine months ended September 30, 2005. The increase in the estimated effective tax rate was primarily due to unfavorable adjustments of approximately $150 thousand, including interest, that were identified during the audits of prior year tax returns conducted by both federal and state tax authorities.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September 30, 2006</w:t>
            </w:r>
          </w:p>
        </w:tc>
        <w:tc>
          <w:tcPr>
            <w:tcW w:w="4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1520" w:type="dxa"/>
            <w:vAlign w:val="bottom"/>
          </w:tcPr>
          <w:p>
            <w:pPr>
              <w:jc w:val="right"/>
              <w:ind w:right="436"/>
              <w:spacing w:after="0" w:line="195" w:lineRule="exact"/>
              <w:rPr>
                <w:sz w:val="20"/>
                <w:szCs w:val="20"/>
                <w:color w:val="auto"/>
              </w:rPr>
            </w:pPr>
            <w:r>
              <w:rPr>
                <w:rFonts w:ascii="Arial" w:cs="Arial" w:eastAsia="Arial" w:hAnsi="Arial"/>
                <w:sz w:val="18"/>
                <w:szCs w:val="18"/>
                <w:color w:val="auto"/>
              </w:rPr>
              <w:t>$57,334</w:t>
            </w:r>
          </w:p>
        </w:tc>
        <w:tc>
          <w:tcPr>
            <w:tcW w:w="460" w:type="dxa"/>
            <w:vAlign w:val="bottom"/>
          </w:tcPr>
          <w:p>
            <w:pPr>
              <w:spacing w:after="0"/>
              <w:rPr>
                <w:sz w:val="16"/>
                <w:szCs w:val="16"/>
                <w:color w:val="auto"/>
              </w:rPr>
            </w:pPr>
          </w:p>
        </w:tc>
        <w:tc>
          <w:tcPr>
            <w:tcW w:w="1060" w:type="dxa"/>
            <w:vAlign w:val="bottom"/>
          </w:tcPr>
          <w:p>
            <w:pPr>
              <w:jc w:val="right"/>
              <w:ind w:right="184"/>
              <w:spacing w:after="0" w:line="195" w:lineRule="exact"/>
              <w:rPr>
                <w:sz w:val="20"/>
                <w:szCs w:val="20"/>
                <w:color w:val="auto"/>
              </w:rPr>
            </w:pPr>
            <w:r>
              <w:rPr>
                <w:rFonts w:ascii="Arial" w:cs="Arial" w:eastAsia="Arial" w:hAnsi="Arial"/>
                <w:sz w:val="18"/>
                <w:szCs w:val="18"/>
                <w:color w:val="auto"/>
              </w:rPr>
              <w:t>$13,693</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jc w:val="right"/>
              <w:ind w:right="424"/>
              <w:spacing w:after="0" w:line="195" w:lineRule="exact"/>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Working capital</w:t>
            </w:r>
          </w:p>
        </w:tc>
        <w:tc>
          <w:tcPr>
            <w:tcW w:w="1520" w:type="dxa"/>
            <w:vAlign w:val="bottom"/>
          </w:tcPr>
          <w:p>
            <w:pPr>
              <w:jc w:val="right"/>
              <w:ind w:right="436"/>
              <w:spacing w:after="0"/>
              <w:rPr>
                <w:sz w:val="20"/>
                <w:szCs w:val="20"/>
                <w:color w:val="auto"/>
              </w:rPr>
            </w:pPr>
            <w:r>
              <w:rPr>
                <w:rFonts w:ascii="Arial" w:cs="Arial" w:eastAsia="Arial" w:hAnsi="Arial"/>
                <w:sz w:val="18"/>
                <w:szCs w:val="18"/>
                <w:color w:val="auto"/>
              </w:rPr>
              <w:t>94,321</w:t>
            </w:r>
          </w:p>
        </w:tc>
        <w:tc>
          <w:tcPr>
            <w:tcW w:w="1520" w:type="dxa"/>
            <w:vAlign w:val="bottom"/>
            <w:gridSpan w:val="2"/>
          </w:tcPr>
          <w:p>
            <w:pPr>
              <w:jc w:val="right"/>
              <w:ind w:right="184"/>
              <w:spacing w:after="0"/>
              <w:rPr>
                <w:sz w:val="20"/>
                <w:szCs w:val="20"/>
                <w:color w:val="auto"/>
              </w:rPr>
            </w:pPr>
            <w:r>
              <w:rPr>
                <w:rFonts w:ascii="Arial" w:cs="Arial" w:eastAsia="Arial" w:hAnsi="Arial"/>
                <w:sz w:val="18"/>
                <w:szCs w:val="18"/>
                <w:color w:val="auto"/>
              </w:rPr>
              <w:t>17,120</w:t>
            </w:r>
          </w:p>
        </w:tc>
        <w:tc>
          <w:tcPr>
            <w:tcW w:w="20" w:type="dxa"/>
            <w:vAlign w:val="bottom"/>
          </w:tcPr>
          <w:p>
            <w:pPr>
              <w:spacing w:after="0"/>
              <w:rPr>
                <w:sz w:val="20"/>
                <w:szCs w:val="20"/>
                <w:color w:val="auto"/>
              </w:rPr>
            </w:pPr>
          </w:p>
        </w:tc>
        <w:tc>
          <w:tcPr>
            <w:tcW w:w="1960" w:type="dxa"/>
            <w:vAlign w:val="bottom"/>
            <w:gridSpan w:val="3"/>
          </w:tcPr>
          <w:p>
            <w:pPr>
              <w:jc w:val="right"/>
              <w:ind w:right="424"/>
              <w:spacing w:after="0"/>
              <w:rPr>
                <w:sz w:val="20"/>
                <w:szCs w:val="20"/>
                <w:color w:val="auto"/>
              </w:rPr>
            </w:pPr>
            <w:r>
              <w:rPr>
                <w:rFonts w:ascii="Arial" w:cs="Arial" w:eastAsia="Arial" w:hAnsi="Arial"/>
                <w:sz w:val="18"/>
                <w:szCs w:val="18"/>
                <w:color w:val="auto"/>
              </w:rPr>
              <w:t>77,201</w:t>
            </w:r>
          </w:p>
        </w:tc>
        <w:tc>
          <w:tcPr>
            <w:tcW w:w="0" w:type="dxa"/>
            <w:vAlign w:val="bottom"/>
          </w:tcPr>
          <w:p>
            <w:pPr>
              <w:spacing w:after="0"/>
              <w:rPr>
                <w:sz w:val="1"/>
                <w:szCs w:val="1"/>
                <w:color w:val="auto"/>
              </w:rPr>
            </w:pPr>
          </w:p>
        </w:tc>
      </w:tr>
      <w:tr>
        <w:trPr>
          <w:trHeight w:val="342"/>
        </w:trPr>
        <w:tc>
          <w:tcPr>
            <w:tcW w:w="640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24"/>
                <w:szCs w:val="2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jc w:val="right"/>
              <w:ind w:right="10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September 30, 2006</w:t>
            </w:r>
          </w:p>
        </w:tc>
        <w:tc>
          <w:tcPr>
            <w:tcW w:w="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September 30, 2005</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5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$11.057</w:t>
            </w:r>
          </w:p>
        </w:tc>
        <w:tc>
          <w:tcPr>
            <w:tcW w:w="152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$(1,692)</w:t>
            </w:r>
          </w:p>
        </w:tc>
        <w:tc>
          <w:tcPr>
            <w:tcW w:w="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444"/>
              <w:spacing w:after="0"/>
              <w:rPr>
                <w:sz w:val="20"/>
                <w:szCs w:val="20"/>
                <w:color w:val="auto"/>
              </w:rPr>
            </w:pPr>
            <w:r>
              <w:rPr>
                <w:rFonts w:ascii="Arial" w:cs="Arial" w:eastAsia="Arial" w:hAnsi="Arial"/>
                <w:sz w:val="18"/>
                <w:szCs w:val="18"/>
                <w:color w:val="auto"/>
              </w:rPr>
              <w:t>$12,749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520" w:type="dxa"/>
            <w:vAlign w:val="bottom"/>
          </w:tcPr>
          <w:p>
            <w:pPr>
              <w:jc w:val="right"/>
              <w:ind w:right="376"/>
              <w:spacing w:after="0"/>
              <w:rPr>
                <w:sz w:val="20"/>
                <w:szCs w:val="20"/>
                <w:color w:val="auto"/>
              </w:rPr>
            </w:pPr>
            <w:r>
              <w:rPr>
                <w:rFonts w:ascii="Arial" w:cs="Arial" w:eastAsia="Arial" w:hAnsi="Arial"/>
                <w:sz w:val="18"/>
                <w:szCs w:val="18"/>
                <w:color w:val="auto"/>
              </w:rPr>
              <w:t>(3,707)</w:t>
            </w:r>
          </w:p>
        </w:tc>
        <w:tc>
          <w:tcPr>
            <w:tcW w:w="1520" w:type="dxa"/>
            <w:vAlign w:val="bottom"/>
            <w:gridSpan w:val="2"/>
          </w:tcPr>
          <w:p>
            <w:pPr>
              <w:jc w:val="right"/>
              <w:ind w:right="144"/>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1960" w:type="dxa"/>
            <w:vAlign w:val="bottom"/>
            <w:gridSpan w:val="3"/>
          </w:tcPr>
          <w:p>
            <w:pPr>
              <w:jc w:val="right"/>
              <w:ind w:right="384"/>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financing activities</w:t>
            </w:r>
          </w:p>
        </w:tc>
        <w:tc>
          <w:tcPr>
            <w:tcW w:w="15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3,113</w:t>
            </w:r>
          </w:p>
        </w:tc>
        <w:tc>
          <w:tcPr>
            <w:tcW w:w="152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7,482</w:t>
            </w:r>
          </w:p>
        </w:tc>
        <w:tc>
          <w:tcPr>
            <w:tcW w:w="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384"/>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520" w:type="dxa"/>
            <w:vAlign w:val="bottom"/>
          </w:tcPr>
          <w:p>
            <w:pPr>
              <w:jc w:val="right"/>
              <w:ind w:right="436"/>
              <w:spacing w:after="0"/>
              <w:rPr>
                <w:sz w:val="20"/>
                <w:szCs w:val="20"/>
                <w:color w:val="auto"/>
              </w:rPr>
            </w:pPr>
            <w:r>
              <w:rPr>
                <w:rFonts w:ascii="Arial" w:cs="Arial" w:eastAsia="Arial" w:hAnsi="Arial"/>
                <w:sz w:val="18"/>
                <w:szCs w:val="18"/>
                <w:color w:val="auto"/>
              </w:rPr>
              <w:t>3,230</w:t>
            </w:r>
          </w:p>
        </w:tc>
        <w:tc>
          <w:tcPr>
            <w:tcW w:w="1520" w:type="dxa"/>
            <w:vAlign w:val="bottom"/>
            <w:gridSpan w:val="2"/>
          </w:tcPr>
          <w:p>
            <w:pPr>
              <w:jc w:val="right"/>
              <w:ind w:right="204"/>
              <w:spacing w:after="0"/>
              <w:rPr>
                <w:sz w:val="20"/>
                <w:szCs w:val="20"/>
                <w:color w:val="auto"/>
              </w:rPr>
            </w:pPr>
            <w:r>
              <w:rPr>
                <w:rFonts w:ascii="Arial" w:cs="Arial" w:eastAsia="Arial" w:hAnsi="Arial"/>
                <w:sz w:val="18"/>
                <w:szCs w:val="18"/>
                <w:color w:val="auto"/>
              </w:rPr>
              <w:t>8,446</w:t>
            </w:r>
          </w:p>
        </w:tc>
        <w:tc>
          <w:tcPr>
            <w:tcW w:w="20" w:type="dxa"/>
            <w:vAlign w:val="bottom"/>
          </w:tcPr>
          <w:p>
            <w:pPr>
              <w:spacing w:after="0"/>
              <w:rPr>
                <w:sz w:val="20"/>
                <w:szCs w:val="20"/>
                <w:color w:val="auto"/>
              </w:rPr>
            </w:pPr>
          </w:p>
        </w:tc>
        <w:tc>
          <w:tcPr>
            <w:tcW w:w="1960" w:type="dxa"/>
            <w:vAlign w:val="bottom"/>
            <w:gridSpan w:val="3"/>
          </w:tcPr>
          <w:p>
            <w:pPr>
              <w:jc w:val="right"/>
              <w:ind w:right="384"/>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have financed working capital needs primarily through income from operations and available cash. The following is a detailed discussion of our cash flows for the first nine months of 2006 and the first nine months of 2005.</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operating activities for the first nine months of 2006 was $11.1 million as compared to $12.7 million in the first nine months of 2005. The decrease in cash provided by operating activities was primarily driven by an increase in inventory levels, resulting from an increase in sales in 2006 coupled by a significant amount of products being launched near the end of the third quarter. The increase in inventories was partially offset by an increase in net income excluding stock based compensation.</w:t>
      </w:r>
    </w:p>
    <w:p>
      <w:pPr>
        <w:spacing w:after="0" w:line="7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Net cash used for investing activities for the first nine months of 2006 was $3.7 million as compared to $3.3 million for the first nine months of 2005. The increase in cash used for investing activities was primarily due to the acquisition of fixed assets. Capital expenditures in the first nine months of 2006 and 2005 were approximately $2.9 million and $2.6 million, respectively. These expenditures related primarily to the acquisition of product tooling. We are currently evaluating our existing and future information system requirements, and we may make a significant investment to upgrade our systems in 2007.</w:t>
      </w:r>
    </w:p>
    <w:p>
      <w:pPr>
        <w:spacing w:after="0" w:line="4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Cash provided by financing activities for the first nine months of 2006 was $3.1 million as compared to cash used for financing activities of $4.4 million for the first nine months of 2005. The increase in cash provided by financing activities was primarily due to a decrease in the amount of common stock repurchased in the open market. During the nine months ended September 30, 2006, we repurchased 32,326 shares of our common stock at a cost of</w:t>
      </w:r>
    </w:p>
    <w:p>
      <w:pPr>
        <w:ind w:right="20"/>
        <w:spacing w:after="0" w:line="323" w:lineRule="auto"/>
        <w:rPr>
          <w:sz w:val="20"/>
          <w:szCs w:val="20"/>
          <w:color w:val="auto"/>
        </w:rPr>
      </w:pPr>
      <w:r>
        <w:rPr>
          <w:rFonts w:ascii="Arial" w:cs="Arial" w:eastAsia="Arial" w:hAnsi="Arial"/>
          <w:sz w:val="16"/>
          <w:szCs w:val="16"/>
          <w:color w:val="auto"/>
        </w:rPr>
        <w:t>$0.6 million compared to the repurchase of 356,285 shares at a cost of $6.1 million for the nine months ended September 30, 2005. In addition, proceeds from stock options exercised in the first nine months of 2006 were approximately $3.5 million compared to $1.7 million for the first nine months of 2005.</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hold repurchased shares as treasury stock, and they are available for reissue. Presently, except for using a small number of these treasury shares to compensate our outside board members, we have no plans to distribute these shares, although we may change these plans if necessary to fulfill our on-going business objectives. From September 15, 2003, the date of execution of our original unsecured revolving credit agreement (the “Credit Facility”) with Comerica Bank (“Comerica”), through August 30, 2006, we purchased 927,745 shares of our common stock. The Credit Facility with Comerica Bank expired on August 30, 2006.</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August 31, 2006, we amended our original Credit Facility with Comerica, extending our line of credit through August 31, 2009. Under the amended Credit Facility, we have authority to acquire up to an additional 2.0 million shares of our common stock in the open market. From August 31, 2006, through September 30, 2006, we purchased 1,600 shares of our common stock, leaving 1,998,400 shares available for purchase under the Credit Facility. For the remainder of 2006, we may continue to repurchase shares of our common stock if we believe conditions are favorable.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amended Credit Facility provides a $15 million unsecured revolving credit agreement with Comerica for an additional three years, expiring on</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August 31, 2009. Under the Credit Facility, the interest payable is variable and is based on the bank’s cost of funds or the LIBOR rate plus a fixed margin of 1.25%. The interest rate in effect as of September 30, 2006 using the LIBOR Rate option plus a fixed margin of 1.25% was 6.57%. We pay a commitment fee ranging from zero to a maximum rate of 1/4 of 1% per year on the unused portion of the credit line depending 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September 30, 2006, we did not have any amounts outstanding under the Credit Facility or any outstanding import letters of credit. Furthermore, as of September 30, 2006, we were in compliance with all financial covenants required by the Credit Facility.</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we have prepared in accordance with U.S. generally accepted accounting principles.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our Board of Directors. Actual results may differ from these estimates under different assumptions or conditions.</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that, other than the adoption of Statement of Financial Accounting Standards (“SFAS”) No. 123 (revised 2004), “Share-Based Payment” (“SFAS 123R”), there have been no significant changes during the nine months ended September 30, 2006 to the items that we disclosed as our critical accounting policies and estimates in Item 7, Management’s Discussion and Analysis of Financial Condition and Results of Operations, in our Annual Report on Form 10-K for the fiscal year ended December 31,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January 1, 2006, we adopted the fair value recognition provisions of SFAS 123R, using the modified-prospective transition method. Under the transition method, compensation cost recognized in the three and nine months ended September 30,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We recognize these compensation costs net of estimated forfeitures and recognize the compensation costs for only those shares expected to vest on a straight-line basis over the service period of the award, which is generally the option vesting term of three to four years. In March 2005, the Securities and Exchange Commission (the “SEC”) issued Staff Accounting Bulletin No. 107 (“SAB 107”) regarding the SEC’s interpretation of SFAS 123R and the valuation of share-based compensation for public companies. We have applied the provisions of SAB 107 in our adoption of SFAS 123R.</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Prior to January 1, 2006, we accounted for options granted under these plans using the recognition and measurement provisions of Accounting Principles Board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(“APB 25”) and related interpretations, as permitted by SFAS 123. Under the intrinsic-value method of APB 25, compensation cost is the excess, if any, of 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three and nine months ended September 30, 2005.</w:t>
      </w:r>
    </w:p>
    <w:p>
      <w:pPr>
        <w:spacing w:after="0" w:line="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issues restricted stock awards to the outside directors for services performed. Under both APB No. 25 and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closing trade price of the Company’s shares on the grant date.</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provisions of SFAS No. 123R, which the Company adopted as of January 1, 2006, companies may no longer account for unrecognized compensation costs related to nonvested stock awards as deferred compensation. SFAS No. 123R requires that any existing balance of deferred compensation as of the adoption date be reclassified to additional paid-in capital. Because the Company adopted SFAS No. 123R on the modified prospective basis, results from prior periods have not been restated to conform to the current presentation. During the nine months ended September 30, 2006 and September 30, 2005, restricted shares totaling 15,000 and 15,000 respectively, were issued.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three and nine months ended September 30, 2006, we recorded $0.7 million and $2.1 million, respectively, in pre-tax stock-based compensation expense. Additionally, during the three and nine months ended September 30, 2006, we recorded $0.1 million and $0.3 million, respectively, in pre-tax restricted stock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was attributable to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9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September 30, 2006</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r>
      <w:tr>
        <w:trPr>
          <w:trHeight w:val="224"/>
        </w:trPr>
        <w:tc>
          <w:tcPr>
            <w:tcW w:w="9000" w:type="dxa"/>
            <w:vAlign w:val="bottom"/>
          </w:tcPr>
          <w:p>
            <w:pPr>
              <w:spacing w:after="0"/>
              <w:rPr>
                <w:sz w:val="20"/>
                <w:szCs w:val="20"/>
                <w:color w:val="auto"/>
              </w:rPr>
            </w:pPr>
            <w:r>
              <w:rPr>
                <w:rFonts w:ascii="Arial" w:cs="Arial" w:eastAsia="Arial" w:hAnsi="Arial"/>
                <w:sz w:val="18"/>
                <w:szCs w:val="18"/>
                <w:color w:val="auto"/>
              </w:rPr>
              <w:t>Total stock-based compensation expense before income taxes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r>
    </w:tbl>
    <w:p>
      <w:pPr>
        <w:spacing w:after="0" w:line="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amount of compensation expense related to non-vested awards not yet recognized as of September 30, 2006 was $4.6 million, which is expected to be recognized over a weighted-average life of 2.17 years.</w:t>
      </w:r>
    </w:p>
    <w:p>
      <w:pPr>
        <w:spacing w:after="0" w:line="62"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color w:val="auto"/>
        </w:rPr>
        <w:t>Determining the appropriate fair value model and calculating the fair value of share-based payment awards requires the utilization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w:t>
      </w:r>
    </w:p>
    <w:p>
      <w:pPr>
        <w:ind w:right="40"/>
        <w:spacing w:after="0" w:line="269" w:lineRule="auto"/>
        <w:rPr>
          <w:sz w:val="20"/>
          <w:szCs w:val="20"/>
          <w:color w:val="auto"/>
        </w:rPr>
      </w:pPr>
      <w:r>
        <w:rPr>
          <w:rFonts w:ascii="Arial" w:cs="Arial" w:eastAsia="Arial" w:hAnsi="Arial"/>
          <w:sz w:val="17"/>
          <w:szCs w:val="17"/>
          <w:color w:val="auto"/>
        </w:rPr>
        <w:t>Therefore, expected volatility for the three and nine months ended September 30, 2006 was based on historical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 If our actual forfeiture rate is materially different from our estimate, the amount of stock-based compensation expense could be significantly different from the amount recorded in the current period. Refer to the Note captioned “Stock-based Compensation” included in the “Notes to the Consolidated Financial Statements” set forth above for additional disclosure regarding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June 2006, the FASB issued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an interpretation of FASB Statement No. 109, to clarify the accounting for uncertainty in income taxes recognized in the financial statements in accordance with FASB Statement No. 109. FIN 48 prescribes a recognition threshold and measurement criteria for the recognition and measurement of a tax position taken or expected to be taken in a tax return. FIN 48 also provides guidance on derecognition, classification, interest and penalties, accounting in interim periods, disclosure and transition. FIN 48 is effective for years beginning after December 15, 2006. We are currently evaluating the effect that the adoption of FIN 48 will have on our consolidated results of operations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March 2006, the Task Force of the FASB issued EITF No. 06-3, </w:t>
      </w:r>
      <w:r>
        <w:rPr>
          <w:rFonts w:ascii="Arial" w:cs="Arial" w:eastAsia="Arial" w:hAnsi="Arial"/>
          <w:sz w:val="16"/>
          <w:szCs w:val="16"/>
          <w:i w:val="1"/>
          <w:iCs w:val="1"/>
          <w:color w:val="auto"/>
        </w:rPr>
        <w:t>How Taxes Collected from Customers and Remitted to the Governmental Authorities</w:t>
      </w:r>
      <w:r>
        <w:rPr>
          <w:rFonts w:ascii="Arial" w:cs="Arial" w:eastAsia="Arial" w:hAnsi="Arial"/>
          <w:sz w:val="16"/>
          <w:szCs w:val="16"/>
          <w:color w:val="auto"/>
        </w:rPr>
        <w:t xml:space="preserve"> </w:t>
      </w:r>
      <w:r>
        <w:rPr>
          <w:rFonts w:ascii="Arial" w:cs="Arial" w:eastAsia="Arial" w:hAnsi="Arial"/>
          <w:sz w:val="16"/>
          <w:szCs w:val="16"/>
          <w:i w:val="1"/>
          <w:iCs w:val="1"/>
          <w:color w:val="auto"/>
        </w:rPr>
        <w:t>Should Be Presented in the Income Statement (That is Gross versus Net Presentation)</w:t>
      </w:r>
      <w:r>
        <w:rPr>
          <w:rFonts w:ascii="Arial" w:cs="Arial" w:eastAsia="Arial" w:hAnsi="Arial"/>
          <w:sz w:val="16"/>
          <w:szCs w:val="16"/>
          <w:color w:val="auto"/>
        </w:rPr>
        <w:t>. EITF 06-3 provides guidance on the presentation of taxes remitted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authorities on the income statement. The Task Force reached the conclusion that the presentation of taxes on either gross (included in revenue and costs) or a net (excluded from revenues) basis is an accounting policy decision that should be disclosed pursuant to APB Opinion No. 22, Disclosures of Accounting Policies. Any such taxes that are reported on a gross basis should be disclosed if amounts are significant. EITF 06-3 is effective for years beginning after December 15, 2006. We record sales tax on a net basis. This is included in accrued sales tax and VAT.</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2006, the SEC issued Staff Accounting Bulletin No. 108 (“SAB 108”) on quantifying misstatements in financial statements. In SAB 108, the SEC provides guidance on considering the effects of prior year misstatements in quantifying current year misstatements for the purpose of materiality assessment. SAB 108 is effective for the first fiscal year ending after November 15, 2006. We are currently evaluating the effect that the adoption of SAB 108 will have on our consolidated results of operations and financial condition.</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We are currently evaluating the effect that the adoption of SFAS 157 will have on our consolidated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below or above in the “Management’s Discussion and Analysis of Financial Condition and Results of Operations,” as well as those factors discussed in our 2005 Annual Report on Form 10-K, or in our other reports filed from time to time with the SEC),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New factors emerge from time to time, and it is not possible for us to predict all such factors, nor can we assess the impact of each such factor on our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of a war or terrorist activities on us or the economy; the economic environment’s effect on us and our customers; the growth of, acceptance of and demand for our products and technologies in various markets and geographical regions, including cable, satellite, consumer electronics, retail and interactive TV and home automation, not materializing as we believe;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the failure of various markets and industries to grow or emerge as rapidly or as successfully as we believe;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adequate quantities of component parts or secure adequate factory production capacity on a timely basis; the effect the Euro and other foreign currencies could have on our financial results; and other factors that may be listed from time to time in our press releases and filings with the SEC.</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Throughout 2006, we will continue to develop new products featuring our Kameleon</w:t>
      </w:r>
      <w:r>
        <w:rPr>
          <w:rFonts w:ascii="Arial" w:cs="Arial" w:eastAsia="Arial" w:hAnsi="Arial"/>
          <w:sz w:val="15"/>
          <w:szCs w:val="15"/>
          <w:color w:val="auto"/>
        </w:rPr>
        <w:t>®</w:t>
      </w:r>
      <w:r>
        <w:rPr>
          <w:rFonts w:ascii="Arial" w:cs="Arial" w:eastAsia="Arial" w:hAnsi="Arial"/>
          <w:sz w:val="18"/>
          <w:szCs w:val="18"/>
          <w:color w:val="auto"/>
        </w:rPr>
        <w:t xml:space="preserve"> interface technology, a display technology that provides ease of use by illuminating only the keys needed to control each entertainment device. We are continuing development of our Nevo</w:t>
      </w:r>
      <w:r>
        <w:rPr>
          <w:rFonts w:ascii="Arial" w:cs="Arial" w:eastAsia="Arial" w:hAnsi="Arial"/>
          <w:sz w:val="15"/>
          <w:szCs w:val="15"/>
          <w:color w:val="auto"/>
        </w:rPr>
        <w:t>®</w:t>
      </w:r>
      <w:r>
        <w:rPr>
          <w:rFonts w:ascii="Arial" w:cs="Arial" w:eastAsia="Arial" w:hAnsi="Arial"/>
          <w:sz w:val="18"/>
          <w:szCs w:val="18"/>
          <w:color w:val="auto"/>
        </w:rPr>
        <w:t xml:space="preserve"> technology, an embedded solution that transforms an electronic display into a sophisticated and easy-to-use wireless home control and automation device. We are continuing to seek ways to integrate these platform technologies into other forms and devices. Nevo 2.0</w:t>
      </w:r>
      <w:r>
        <w:rPr>
          <w:rFonts w:ascii="Arial" w:cs="Arial" w:eastAsia="Arial" w:hAnsi="Arial"/>
          <w:sz w:val="15"/>
          <w:szCs w:val="15"/>
          <w:color w:val="auto"/>
        </w:rPr>
        <w:t>®</w:t>
      </w:r>
      <w:r>
        <w:rPr>
          <w:rFonts w:ascii="Arial" w:cs="Arial" w:eastAsia="Arial" w:hAnsi="Arial"/>
          <w:sz w:val="18"/>
          <w:szCs w:val="18"/>
          <w:color w:val="auto"/>
        </w:rPr>
        <w:t xml:space="preserve"> was launched in July of 2004 as a feature on a series of HP’s handheld devices, which reached its end of life during the third quarter of 2005. Building on this platform, we used some components of the Nevo 2.0</w:t>
      </w:r>
      <w:r>
        <w:rPr>
          <w:rFonts w:ascii="Arial" w:cs="Arial" w:eastAsia="Arial" w:hAnsi="Arial"/>
          <w:sz w:val="15"/>
          <w:szCs w:val="15"/>
          <w:color w:val="auto"/>
        </w:rPr>
        <w:t>®</w:t>
      </w:r>
      <w:r>
        <w:rPr>
          <w:rFonts w:ascii="Arial" w:cs="Arial" w:eastAsia="Arial" w:hAnsi="Arial"/>
          <w:sz w:val="18"/>
          <w:szCs w:val="18"/>
          <w:color w:val="auto"/>
        </w:rPr>
        <w:t xml:space="preserve"> technology in a new product named NevoSL</w:t>
      </w:r>
      <w:r>
        <w:rPr>
          <w:rFonts w:ascii="Arial" w:cs="Arial" w:eastAsia="Arial" w:hAnsi="Arial"/>
          <w:sz w:val="15"/>
          <w:szCs w:val="15"/>
          <w:color w:val="auto"/>
        </w:rPr>
        <w:t>®</w:t>
      </w:r>
      <w:r>
        <w:rPr>
          <w:rFonts w:ascii="Arial" w:cs="Arial" w:eastAsia="Arial" w:hAnsi="Arial"/>
          <w:sz w:val="18"/>
          <w:szCs w:val="18"/>
          <w:color w:val="auto"/>
        </w:rPr>
        <w:t xml:space="preserve"> which we began to ship in the second quarter of 2005. This product is designed for use in the home.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audio/video accessories which include digital antennas, signal boosters, television brackets and A/V cleaning products.</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2006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2006,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interest payable under our revolving Credit Facility with our bank is variable and based on either (i) the bank’s cost of funds or (ii) the LIBOR rate plus a fixed margin of 1.25%; the rate is affected by changes in market interest rates. At September 30, 2006, we had no borrowings on our Credit Facility. The interest rate in effect on the Credit Facility as of September 30, 2006 using the LIBOR Rate option plus a fixed margin of 1.25% was 6.57%</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September 30, 2006 we had wholly owned subsidiaries in The Netherlands, United Kingdom, Germany, France, Argentina, Spain and Italy.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7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4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September 30, 2006, we believe that movements in foreign currency rates could have a material affect on our financial position. We estimate that if the exchange rates for the Euro and the British Pound relative to the U.S. Dollar fluctuate 10% from September 30, 2006, fourth quarter net income and cash flows would fluctuate by approximately $0.3 million and $3.5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13a-15(c)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ensure that information required to be disclosed by us in reports that we file or submit under the Exchange Act is recorded, processed, summarized and reported within the time periods specified in Securities and Exchange Commission rules and forms.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June 2006, we filed suit against Remote Technologies, Inc. (“RTI”) alleging that RTI has infringed certain of our patents. After being served in July 2006, RTI answered our complaint denying our claims of infringement and counterclaiming that our patents are invalid and not infringed. In September 2006, we answered RTI denying RTI’s allegations and reasserting our original complaint. We will seek a settlement of this matter, but, if settlement is not possible, we intend to pursue this matter vigorously.</w:t>
      </w:r>
    </w:p>
    <w:p>
      <w:pPr>
        <w:spacing w:after="0" w:line="7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October, one of our subsidiaries (One For All S.A.S.) reached a settlement with an ex-employee in which our subsidiary will pay the ex-employee approximately 50,000 Euros. The ex-employee originally brought an action against our subsidiary in 2003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which was scheduled for hearing in late 2006. It is expected that the settlement agreement will be finalized, signed and entered in the court before the end of the Corporation’s fourth quarter, at which time the case will be dismissed.</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July 2006, we filed suit against Remote Technologies, Inc. (“RTI”) alleging that RTI has infringed certain of our patents. RTI has not yet answered our complaint but it is expected that it will do so before December 31, 2006. We will seek a settlement of this matter, but if settlement is not possible, we intend to pursue this matter vigorously.</w:t>
      </w:r>
    </w:p>
    <w:p>
      <w:pPr>
        <w:spacing w:after="0" w:line="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There are no other material pending legal proceedings nor any changes in any material pending legal matters previously disclosed other than litigation incidental to the ordinary course of our business, to which we or any of our subsidiaries is a party or of which our respective property is the subject. We do not believe any of the claims made against us in any of the pending matters have merit and, except for the matters in which we intend to seek settlement, we intend to vigorously defend ourselves against them, or, in the case in which we are plaintiff, to pursue them vigorously.</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For risk factors, see “Risk Factors” in Part 1, Item 1A, of our Annual Report on Form 10-K for the fiscal year ended December 31, 2005,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2006, we did not sell any equity securities that were not registered under the Securities Act of 1934.</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original Credit Facility with Comerica Bank, dated September 15, 2003, expired on August 30, 2006. This Credit Facility authorized us to acquire up to 1.5 million shares of our common stock in market purchases. Between September 15, 2003 and August 30, 2006, we purchased 927,745 shares of our common stock.</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August 31, 2006, we amended our Credit Facility with Comerica Bank, which extended our line of credit for an additional three years. In addition, our new Credit Facility authorizes us to purchase 2.0 million shares of our common stock in the open market between August 31, 2006 and August 30, 2009. Between August 31, 2006 and September 30, 2006, we repurchased 1,600 shares of our common stock, leaving 1,998,400 shares authorized for repurchase under the Credit Facility. We may continue to repurchase shares of our common stock during the remainder of the year, if we believe conditions are favorable.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Purchase information for the third quarter of 2006 is set forth by month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6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40" w:type="dxa"/>
            <w:vAlign w:val="bottom"/>
          </w:tcPr>
          <w:p>
            <w:pPr>
              <w:spacing w:after="0"/>
              <w:rPr>
                <w:sz w:val="12"/>
                <w:szCs w:val="12"/>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4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2006 — July 31, 2006</w:t>
            </w:r>
          </w:p>
        </w:tc>
        <w:tc>
          <w:tcPr>
            <w:tcW w:w="460" w:type="dxa"/>
            <w:vAlign w:val="bottom"/>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August 1, 2006 — August 31, 2006</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16,771</w:t>
            </w: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17.95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2006 — September 30, 2006</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1,600</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 Q3 2006</w:t>
            </w:r>
          </w:p>
        </w:tc>
        <w:tc>
          <w:tcPr>
            <w:tcW w:w="78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18,871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w:t>
            </w:r>
            <w:r>
              <w:rPr>
                <w:rFonts w:ascii="Arial" w:cs="Arial" w:eastAsia="Arial" w:hAnsi="Arial"/>
                <w:sz w:val="18"/>
                <w:szCs w:val="18"/>
                <w:u w:val="single" w:color="auto"/>
                <w:color w:val="auto"/>
                <w:w w:val="84"/>
              </w:rPr>
              <w:t>91</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of Universal Electronics Inc.</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Certifications of Bryan Hackworth, Chief Financial Officer (Principal Financial Officer) of Universal Electronics Inc.</w:t>
      </w:r>
    </w:p>
    <w:p>
      <w:pPr>
        <w:spacing w:after="0" w:line="131" w:lineRule="exact"/>
        <w:rPr>
          <w:sz w:val="20"/>
          <w:szCs w:val="20"/>
          <w:color w:val="auto"/>
        </w:rPr>
      </w:pPr>
    </w:p>
    <w:p>
      <w:pPr>
        <w:ind w:left="560" w:right="220" w:hanging="552"/>
        <w:spacing w:after="0" w:line="27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Financial Officer (Principal Financial Officer) of Universal Electronics Inc. pursuant to 18 U.S.C. Section 1350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9, 2006</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Bryan Hackworth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of Universal Electronics Inc.</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Rule 13a-14(a) Certifications of Bryan Hackworth, Chief Financial Officer (Principal Financial Officer) of Universal Electronics Inc.</w:t>
            </w:r>
          </w:p>
        </w:tc>
      </w:tr>
    </w:tbl>
    <w:p>
      <w:pPr>
        <w:spacing w:after="0" w:line="202" w:lineRule="exact"/>
        <w:rPr>
          <w:sz w:val="20"/>
          <w:szCs w:val="20"/>
          <w:color w:val="auto"/>
        </w:rPr>
      </w:pPr>
    </w:p>
    <w:p>
      <w:pPr>
        <w:ind w:left="1380" w:right="680" w:hanging="1372"/>
        <w:spacing w:after="0" w:line="277"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Financial Officer of Universal Electronics Inc. pursuant to 18 U.S.C. Section 1350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1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00" w:right="240" w:hanging="276"/>
        <w:spacing w:after="0" w:line="264" w:lineRule="auto"/>
        <w:tabs>
          <w:tab w:leader="none" w:pos="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00" w:right="40" w:hanging="276"/>
        <w:spacing w:after="0" w:line="264" w:lineRule="auto"/>
        <w:tabs>
          <w:tab w:leader="none" w:pos="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00" w:right="80" w:hanging="276"/>
        <w:spacing w:after="0" w:line="308" w:lineRule="auto"/>
        <w:tabs>
          <w:tab w:leader="none" w:pos="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00" w:right="320" w:hanging="276"/>
        <w:spacing w:after="0" w:line="342" w:lineRule="auto"/>
        <w:tabs>
          <w:tab w:leader="none" w:pos="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20" w:hanging="276"/>
        <w:spacing w:after="0" w:line="277" w:lineRule="auto"/>
        <w:tabs>
          <w:tab w:leader="none" w:pos="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00" w:right="260" w:hanging="276"/>
        <w:spacing w:after="0" w:line="277" w:lineRule="auto"/>
        <w:tabs>
          <w:tab w:leader="none" w:pos="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Bryan Hackworth, certify that:</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00" w:right="240" w:hanging="276"/>
        <w:spacing w:after="0" w:line="264" w:lineRule="auto"/>
        <w:tabs>
          <w:tab w:leader="none" w:pos="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00" w:right="40" w:hanging="276"/>
        <w:spacing w:after="0" w:line="264" w:lineRule="auto"/>
        <w:tabs>
          <w:tab w:leader="none" w:pos="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00" w:right="80" w:hanging="276"/>
        <w:spacing w:after="0" w:line="308" w:lineRule="auto"/>
        <w:tabs>
          <w:tab w:leader="none" w:pos="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00" w:right="320" w:hanging="276"/>
        <w:spacing w:after="0" w:line="342"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20" w:hanging="276"/>
        <w:spacing w:after="0" w:line="277" w:lineRule="auto"/>
        <w:tabs>
          <w:tab w:leader="none" w:pos="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00" w:right="260" w:hanging="276"/>
        <w:spacing w:after="0" w:line="277" w:lineRule="auto"/>
        <w:tabs>
          <w:tab w:leader="none" w:pos="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September 30, 2006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November 9, 2006</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Paul D. Arling</w:t>
            </w:r>
          </w:p>
        </w:tc>
      </w:tr>
      <w:tr>
        <w:trPr>
          <w:trHeight w:val="224"/>
        </w:trPr>
        <w:tc>
          <w:tcPr>
            <w:tcW w:w="3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Bryan Hackworth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32"/>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2019-12-13T07:46:54Z</dcterms:created>
  <dcterms:modified xsi:type="dcterms:W3CDTF">2019-12-13T07:46:54Z</dcterms:modified>
</cp:coreProperties>
</file>