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20" w:val="left"/>
          <w:tab w:leader="none" w:pos="5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38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(State or other jurisdiction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of incorporation or organization)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6101 Gateway Drive</w:t>
            </w:r>
          </w:p>
        </w:tc>
        <w:tc>
          <w:tcPr>
            <w:tcW w:w="332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Cypress, California</w:t>
            </w:r>
          </w:p>
        </w:tc>
        <w:tc>
          <w:tcPr>
            <w:tcW w:w="33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2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3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38" w:lineRule="exact"/>
        <w:rPr>
          <w:sz w:val="20"/>
          <w:szCs w:val="20"/>
          <w:color w:val="auto"/>
        </w:rPr>
      </w:pPr>
    </w:p>
    <w:p>
      <w:pPr>
        <w:ind w:left="3260"/>
        <w:spacing w:after="0" w:line="207"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p>
    <w:p>
      <w:pPr>
        <w:spacing w:after="0" w:line="193"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13,783,159 shares of Common Stock, par value $.01 per share, of the registrant were outstanding on May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vMerge w:val="restart"/>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3"/>
            <w:vMerge w:val="continue"/>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4. Controls and Procedures</w:t>
              </w:r>
            </w:hyperlink>
          </w:p>
        </w:tc>
        <w:tc>
          <w:tcPr>
            <w:tcW w:w="8300" w:type="dxa"/>
            <w:vAlign w:val="bottom"/>
            <w:gridSpan w:val="9"/>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9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2. Unregistered Sales of Equity Securities and Use of Proceeds</w:t>
              </w:r>
            </w:hyperlink>
          </w:p>
        </w:tc>
        <w:tc>
          <w:tcPr>
            <w:tcW w:w="5720" w:type="dxa"/>
            <w:vAlign w:val="bottom"/>
            <w:gridSpan w:val="3"/>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9480" w:type="dxa"/>
            <w:vAlign w:val="bottom"/>
            <w:gridSpan w:val="12"/>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20" w:type="dxa"/>
            <w:vAlign w:val="bottom"/>
            <w:gridSpan w:val="1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Exhibit Index</w:t>
              </w:r>
            </w:hyperlink>
          </w:p>
        </w:tc>
        <w:tc>
          <w:tcPr>
            <w:tcW w:w="9640" w:type="dxa"/>
            <w:vAlign w:val="bottom"/>
            <w:gridSpan w:val="15"/>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EXHIBIT 31.1</w:t>
            </w:r>
          </w:p>
        </w:tc>
        <w:tc>
          <w:tcPr>
            <w:tcW w:w="952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w:t>
            </w:r>
          </w:p>
        </w:tc>
        <w:tc>
          <w:tcPr>
            <w:tcW w:w="120" w:type="dxa"/>
            <w:vAlign w:val="bottom"/>
            <w:tcBorders>
              <w:top w:val="single" w:sz="8" w:color="0000EE"/>
            </w:tcBorders>
            <w:gridSpan w:val="2"/>
          </w:tcPr>
          <w:p>
            <w:pPr>
              <w:spacing w:after="0"/>
              <w:rPr>
                <w:sz w:val="17"/>
                <w:szCs w:val="17"/>
                <w:color w:val="auto"/>
              </w:rPr>
            </w:pPr>
          </w:p>
        </w:tc>
        <w:tc>
          <w:tcPr>
            <w:tcW w:w="954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020" w:type="dxa"/>
            <w:vAlign w:val="bottom"/>
            <w:gridSpan w:val="19"/>
          </w:tcPr>
          <w:p>
            <w:pPr>
              <w:jc w:val="center"/>
              <w:ind w:left="4310"/>
              <w:spacing w:after="0"/>
              <w:rPr>
                <w:sz w:val="20"/>
                <w:szCs w:val="20"/>
                <w:color w:val="auto"/>
              </w:rPr>
            </w:pPr>
            <w:r>
              <w:rPr>
                <w:rFonts w:ascii="Arial" w:cs="Arial" w:eastAsia="Arial" w:hAnsi="Arial"/>
                <w:sz w:val="18"/>
                <w:szCs w:val="18"/>
                <w:color w:val="auto"/>
                <w:w w:val="99"/>
              </w:rPr>
              <w:t>2</w:t>
            </w:r>
          </w:p>
        </w:tc>
        <w:tc>
          <w:tcPr>
            <w:tcW w:w="3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ind w:left="39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51,379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40,980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22,485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2,552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121,277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119,925</w:t>
            </w: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Equipment, furniture and fixtures,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4,957</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10,478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148,342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19,792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2,810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37,989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rPr>
              <w:t>Common stock, $.01 par value, 50,000,000 shares authorized; 17,143,176 and 16,963,748 shares issued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March 31, 2006 and December 31, 2005,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86,251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(3,610)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57,130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Deferred stock-based compensation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139,861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5"/>
              </w:rPr>
              <w:t>Less cost of common stock in treasury, 3,415,876 and 3,420,876 shares at March 31, 2006 and December 31, 2005,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w w:val="95"/>
              </w:rPr>
              <w:t>(29,588)</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110,273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148,342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54,173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sales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35,685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18,488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15,716</w:t>
            </w: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1,846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13,512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12,432</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3,130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13,643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14,240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2,136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(Recovery) provision for doubtful accounts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Employee and Director stock-based compensation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Accrued income and other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Cash used for investing activities:</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for business acquired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financing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7,738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43,641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42,472</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51,379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41,216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jc w:val="center"/>
              <w:ind w:left="2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60" w:type="dxa"/>
            <w:vAlign w:val="bottom"/>
            <w:gridSpan w:val="2"/>
          </w:tcPr>
          <w:p>
            <w:pPr>
              <w:jc w:val="right"/>
              <w:ind w:right="32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the significant intercompany accounts and transactions have been eliminated in the consolidated financial statements.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 results of operations for the three months ended March 31, 2006 are not necessarily indicative of the results to be expected for the full year. These financial statements should be read in conjunction with the consolidated financial statements and related notes contained in our 2005 Annual Report on Form 10-K. The financial information presented in the accompanying statements reflects all adjustments that are, in the opinion of management, necessary for a fair presentation of financial position, operations and cash flows for the periods presented. All such adjustments are of a normal recurring nature. As used herein, the terms “we”, “us” and “our” refer to Universal Electronics Inc. and its subsidiaries unless the context indicates to the contrary.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Actual results may differ from these estimates and judgments. On an on-going basis, we evaluate our estimates and judgments, including those related to revenue recognition, allowance for sales returns and doubtful accounts, warranties, inventory valuation, impairment of long-lived assets, intangible assets and goodwill, contingencies, stock-based compensation expense and income taxes. These estimates may be adjusted as additional information becomes available and any adjustment could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March 31, 2006, we had eight stock-based compensation plans. The total compensation expense related to these plans was $0.8 million for the three months ended March 31, 2006. Prior to January 1, 2006, we accounted for options granted under these plans using the recognition and measurement provisions of Accounting Principles Board (“APB”) Opinion No. 25, “Accounting for Stock Issued to Employees,” and related interpretations, as permitted by Statement of Financial Accounting Standards (“SFAS”) No. 123, “Accounting for Stock Based Compensation.” Under the intrinsic-value method of APB No. 25, compensation cost is the excess, if any, of the quoted 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three months ended March 31, 2005.</w:t>
      </w:r>
    </w:p>
    <w:p>
      <w:pPr>
        <w:spacing w:after="0" w:line="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Prior to January 1, 2006, we provided pro forma disclosure amounts in accordance with SFAS No. 148, “Accounting for Stock-Based Compensation-Transition and Disclosure” (“SFAS 148”), as if the fair value method was adopted as defined by SFAS 123. Under SFAS 123, compensation expense is computed based on the fair value of the stock options granted and is recognized over the period during which an employee is required to provide service in exchange for the award. The fair value of the options granted was determined at the date of grant using the Black-Scholes option valuation model.</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January 1, 2006, we adopted the fair value recognition provisions of SFAS 123R, “Share Based Payments,” using the modified-prospective transition method. Under this transition method, compensation cost recognized in the three months ended March 31,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We recognize these compensation costs net of estimated forfeitures and recognize the compensation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for only those shares expected to vest on a straight-line basis over the service period of the award, which is generally the option vesting term of three to four years. The grants do not contain any market or company-performance conditions. Results for prior periods have not been restated. SFAS 123R requires forfeitures to be estimated at the time of grant and revised, if necessary, in subsequent periods if actual forfeitures differ from those estimates. We estimated the annual forfeiture rate for executives &amp; board of directors and non-executive employees to be 2.41% and 5.95%, respectively, for the quarter ended March 31, 2006 based on historical experience.</w:t>
      </w:r>
    </w:p>
    <w:p>
      <w:pPr>
        <w:spacing w:after="0" w:line="8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a result of adopting SFAS 123R, the impact to the Consolidated Financial Statements for income before income taxes and net income for the three months ended March 31, 2006 was $0.8 million and $0.5 million lower, respectively, than if we had continued to account for stock-based compensation under APB</w:t>
      </w:r>
    </w:p>
    <w:p>
      <w:pPr>
        <w:ind w:right="80" w:firstLine="8"/>
        <w:spacing w:after="0" w:line="273" w:lineRule="auto"/>
        <w:tabs>
          <w:tab w:leader="none" w:pos="27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both basic and diluted earnings per share for the three months ended March 31, 2006 was $0.04 and $0.04 per share, respectively. In addition, prior to the adoption of SFAS 123R, we presented the tax benefit of stock option exercises as operating cash flows. Upon the adoption of SFAS 123R, tax benefits resulting from tax deductions in excess of the compensation cost recognized for those options are classified as financing cash flows. In the first quarter of 2006, there were no tax benefits resulting from tax deductions in excess of the compensation cost recognized.</w:t>
      </w:r>
    </w:p>
    <w:p>
      <w:pPr>
        <w:spacing w:after="0" w:line="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first quarter of 2006, we recorded $0.8 million in pre-tax stock-based compensation expense. The stock-based compensation was attributable to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r>
      <w:tr>
        <w:trPr>
          <w:trHeight w:val="439"/>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4"/>
                <w:szCs w:val="24"/>
                <w:color w:val="auto"/>
              </w:rPr>
            </w:pPr>
          </w:p>
        </w:tc>
      </w:tr>
      <w:tr>
        <w:trPr>
          <w:trHeight w:val="20"/>
        </w:trPr>
        <w:tc>
          <w:tcPr>
            <w:tcW w:w="10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total amount of compensation expense related to non-vested awards not yet recognized at March 31, 2006 was $5.8 million assuming the optionees continue to be employed by us, which will be recognized as compensation expense over a weighted-average life of 2.49 years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2006 (remaining nine months)</w:t>
            </w:r>
          </w:p>
        </w:tc>
        <w:tc>
          <w:tcPr>
            <w:tcW w:w="4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2007</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2009</w:t>
            </w:r>
          </w:p>
        </w:tc>
        <w:tc>
          <w:tcPr>
            <w:tcW w:w="4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modifications made to outstanding options prior to the adoption of SAFS 123R. Additionally, there have been no changes in the quantity or type of stock options or terms of share-based payment arrangements.</w:t>
      </w:r>
    </w:p>
    <w:p>
      <w:pPr>
        <w:spacing w:after="0" w:line="6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SFAS 123R requires that we continue to provide the pro forma disclosures required by SFAS 123 for all periods presented in which share-based payments to employees are accounted for under APB Opinion No. 25. The following table illustrates the effect on net income and net income per share for the three months ended March 31, 2005 as if we applied the fair value recognition provisions of SFAS 123 to share-based employee compensation.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6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31,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8"/>
                <w:szCs w:val="18"/>
                <w:color w:val="auto"/>
              </w:rPr>
              <w:t>Add: Stock-based employee compensation expense included in reported net income, net of related tax effects</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Less: Total stock-based employee compensation expense determined under the fair value based method for all awards, net of</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related tax effects</w:t>
            </w:r>
          </w:p>
        </w:tc>
        <w:tc>
          <w:tcPr>
            <w:tcW w:w="3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10360" w:type="dxa"/>
            <w:vAlign w:val="bottom"/>
            <w:gridSpan w:val="2"/>
          </w:tcPr>
          <w:p>
            <w:pPr>
              <w:spacing w:after="0"/>
              <w:rPr>
                <w:sz w:val="20"/>
                <w:szCs w:val="20"/>
                <w:color w:val="auto"/>
              </w:rPr>
            </w:pPr>
            <w:r>
              <w:rPr>
                <w:rFonts w:ascii="Arial" w:cs="Arial" w:eastAsia="Arial" w:hAnsi="Arial"/>
                <w:sz w:val="18"/>
                <w:szCs w:val="18"/>
                <w:color w:val="auto"/>
              </w:rPr>
              <w:t>Pro forma</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light of new accounting guidance under SFAS 123R, beginning in the first quarter 2006 we re-evaluated our assumptions used in estimating the fair value of employee options granted. As part of this assessment, management determined that historical volatility calculated based on our actively traded common stock is a better indicator of expected volatility and future stock price trends than implied volatility. Therefore, we continue to use historical volatility to determine expected volatility.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It is our policy to retain all earnings for use to grow the company. As such, no dividends were assumed for option grants.</w:t>
      </w:r>
    </w:p>
    <w:p>
      <w:pPr>
        <w:spacing w:after="0" w:line="117"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As part of SFAS 123R adoption, we also examined the historical pattern of option exercises in an effort to determine if there were any discernable activity patterns based on certain employee populations. From this analysis, we identified two employee populations: (1) Executive and Board of Directors and</w:t>
      </w:r>
    </w:p>
    <w:p>
      <w:pPr>
        <w:jc w:val="both"/>
        <w:ind w:right="160" w:firstLine="8"/>
        <w:spacing w:after="0" w:line="254"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Non-Executives. We use the Black-Scholes option pricing model to value the options for each of the employee populations. The table below presents the weighted average expected life in years. The expected life computation is based on historical exercise patterns and post-vesting termination behavior within each of the two populations identified. The interest rate for periods within the expected contractual life of the award is based on the prevailing U.S. treasury note rate for the applicable expected term.</w:t>
      </w:r>
    </w:p>
    <w:p>
      <w:pPr>
        <w:sectPr>
          <w:pgSz w:w="11900" w:h="16838" w:orient="portrait"/>
          <w:cols w:equalWidth="0" w:num="1">
            <w:col w:w="11420"/>
          </w:cols>
          <w:pgMar w:left="240" w:top="419" w:right="239" w:bottom="80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0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value of share-based payment awards was estimated using the Black-Scholes option pricing model with the following assumptions and weighted average fair values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Three Months Ended (1)</w:t>
            </w:r>
          </w:p>
        </w:tc>
      </w:tr>
      <w:tr>
        <w:trPr>
          <w:trHeight w:val="142"/>
        </w:trPr>
        <w:tc>
          <w:tcPr>
            <w:tcW w:w="828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March 31, 2006</w:t>
            </w:r>
          </w:p>
        </w:tc>
        <w:tc>
          <w:tcPr>
            <w:tcW w:w="52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March 31, 2005</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during the three months ended</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4"/>
              </w:rPr>
              <w:t>2,500</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9"/>
              </w:rPr>
              <w:t>495,000</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Weighted average fair value of grants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8.10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9.69</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options exercised (in thousands)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4"/>
              </w:rPr>
              <w:t>1,955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618</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2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4.58%</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3.65%</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Expected volatility</w:t>
            </w:r>
          </w:p>
        </w:tc>
        <w:tc>
          <w:tcPr>
            <w:tcW w:w="42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w w:val="85"/>
              </w:rPr>
              <w:t>43.51%</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61.38%</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5.35</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40" w:hanging="452"/>
        <w:spacing w:after="0" w:line="264" w:lineRule="auto"/>
        <w:tabs>
          <w:tab w:leader="none" w:pos="460" w:val="left"/>
        </w:tabs>
        <w:numPr>
          <w:ilvl w:val="0"/>
          <w:numId w:val="5"/>
        </w:numPr>
        <w:rPr>
          <w:rFonts w:ascii="Arial" w:cs="Arial" w:eastAsia="Arial" w:hAnsi="Arial"/>
          <w:sz w:val="15"/>
          <w:szCs w:val="15"/>
          <w:b w:val="1"/>
          <w:bCs w:val="1"/>
          <w:color w:val="auto"/>
        </w:rPr>
      </w:pPr>
      <w:r>
        <w:rPr>
          <w:rFonts w:ascii="Arial" w:cs="Arial" w:eastAsia="Arial" w:hAnsi="Arial"/>
          <w:sz w:val="18"/>
          <w:szCs w:val="18"/>
          <w:color w:val="auto"/>
        </w:rPr>
        <w:t>The fair value calculation was based on stock options granted during the period. During the three months ended March 31, 2006, 2,500 stock options were granted to a non-executive employee. There were no stock options granted to executives or board of directors during the three months ended March 31,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three months ended March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3,150,550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(174,023)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(12,875)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2,966,152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Vested options outstanding March 31, 2006</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2,071,943</w:t>
            </w:r>
          </w:p>
        </w:tc>
        <w:tc>
          <w:tcPr>
            <w:tcW w:w="360" w:type="dxa"/>
            <w:vAlign w:val="bottom"/>
          </w:tcPr>
          <w:p>
            <w:pPr>
              <w:spacing w:after="0"/>
              <w:rPr>
                <w:sz w:val="24"/>
                <w:szCs w:val="24"/>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received from option exercises for the first three months ended March 31, 2006 was $2.0 million. The actual tax benefit realized for the tax deduction from option exercises of the share-based payment awards totaled $0.3 million for the three months ended March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at March 31, 2006 and December 31, 2005: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44,458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(2,336)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40,980</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100" w:type="dxa"/>
            <w:vAlign w:val="bottom"/>
            <w:vMerge w:val="restart"/>
          </w:tcPr>
          <w:p>
            <w:pPr>
              <w:jc w:val="right"/>
              <w:ind w:right="327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Trade accounts receivable are recorded at the invoiced amount and do not bear interest. Our allowance for doubtful accounts is our best estimate of losses resulting from the inability of our customers to make their required payments. We maintain an allowance for doubtful accounts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Our contractual sales return periods range up to six months. We have no other obligations after delivery of our products other than the associated warranties.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had sales to one significant customer of $7.0 million and $4.8 million, representing 12.9% and 11.5% of our net sales for the three months ended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March 31, 2006 and 2005, respectively. Trade receivable with this customer amounted to $3.1 million or 7.5% and $2.1 million or 5.1% of our total accounts receivable at March 31, 2006 and December 31, 2005, respectively. In addition we had sales to a customer and its sub-contractors that, when combined, totaled $12.0 million and $8.9 million, accounting for 22.2% and 21.5% of net sales for the three months ended March 31, 2006 and 2005, respectively. Trade receivable with this customer and its subcontractors amounted to $5.3 million or 12.8% and $3.3 million or 7.8% of our total trade receivable balance at March 31, 2006 and December 31, 2005, respectively. The future loss of these customers or any key customer, either in the United States or abroad, or our inability to obtain orders or maintain our order volume with our major customers, may have an adverse effect on our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Inventories consist of wireless control devices, including universal remote controls, wireless keyboards, antennas, and related component parts, and are valued at the lower of cost or market. Cost is determined using the first-in, first-out method. We carry inventory in amounts necessary to satisfy our customers’ inventory requirements on a timely basis.</w:t>
      </w:r>
    </w:p>
    <w:p>
      <w:pPr>
        <w:spacing w:after="0" w:line="7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New product innovations and technological advances may shorten a given product’s life cycle. We continually monitor the inventory status to control inventory levels and dispose of any excess or obsolete inventories on hand. We write down our inventory for estimated obsolescence or unmarketable inventory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consisted of the following at March 31, 2006 and December 31,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March 31, 2006</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2005</w:t>
            </w:r>
          </w:p>
        </w:tc>
      </w:tr>
      <w:tr>
        <w:trPr>
          <w:trHeight w:val="20"/>
        </w:trPr>
        <w:tc>
          <w:tcPr>
            <w:tcW w:w="8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18,475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23,474</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Inventory, net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quarter ended March 31, 2006 inventory write-downs totaled $0.3 million compared to $0.9 million recorded in the quarter ended March 31, 2005. Inventory write-downs are a normal part of our business, and result primarily from product life cycle estimation variances. Also, during the quarter ended March 31, 2006, we recorded a charge to reduce our finished good inventory by $0.4 million ($0.2 million after tax) for an error in our standard cost, as we believe the amounts are not material to the current or prior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Most of the components used in our products are available from multiple sources. We have elected to purchase integrated circuits, used principally in our wireless control products, from one main source. Purchases from this major supplier amounted to $2.9 million and $2.5 million, representing 10.9% and</w:t>
      </w:r>
    </w:p>
    <w:p>
      <w:pPr>
        <w:ind w:right="220"/>
        <w:spacing w:after="0" w:line="290" w:lineRule="auto"/>
        <w:rPr>
          <w:sz w:val="20"/>
          <w:szCs w:val="20"/>
          <w:color w:val="auto"/>
        </w:rPr>
      </w:pPr>
      <w:r>
        <w:rPr>
          <w:rFonts w:ascii="Arial" w:cs="Arial" w:eastAsia="Arial" w:hAnsi="Arial"/>
          <w:sz w:val="16"/>
          <w:szCs w:val="16"/>
          <w:color w:val="auto"/>
        </w:rPr>
        <w:t>10.6%, respectively, of total inventory purchases for the three months ended March 31, 2006 and 2005. Accounts payable with the aforementioned supplier amounted to $1.4 million and $1.1 million, representing 7.1% and 4.7%, respectively, of total accounts payable at March 31, 2006 and December 31, 2005. For the three months ended March 31, 2005, there was one additional major supplier who supplied $2.9 million, representing 12.5% of total inventory purchases. This additional supplier had accounts payable of $1.5 million or 6.4% of the total accounts payable as of December 31, 2005. This additional supplier represented less than ten percent of total inventory purchases during the three months ended March 31, 2006. There was no other integrated circuit supplier with inventory purchases greater than ten percent of the total inventory purchases for the three months ended March 31, 2006 and March 31, 2005.</w:t>
      </w:r>
    </w:p>
    <w:p>
      <w:pPr>
        <w:spacing w:after="0" w:line="5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addition, during the quarter ended March 31, 2006, we purchased component and finished good products from three major suppliers. Purchases from these three major suppliers amounted to $8.4 million, $2.9 million and $2.8 million representing 31.9%, 11.0% and 10.7%, respectively, of total inventory purchases for the three months ended March 31, 2006. During the three months ended March 31, 2005 purchases from the same three suppliers amounted to $8.9 million, 2.0 million and $1.0 million representing 38.7%, 8.9% and 4.3%, respectively, of total inventory purchases. Accounts payable with the aforementioned three suppliers amounted to $6.0 million, $1.6 million and $1.1 million, respectively, representing 30.2%, 8.3% and 5.7% of the total accounts payable at March 31, 2006. At December 31, 2005, accounts payable with the same suppliers amounted to $6.4 million, $1.9 million, and</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$1.2 million, respectively, representing 28.5%, 8.3% and 5.1% of the total accounts payable. There was no other component and finished goods supplier with inventory purchases greater than ten percent of the total inventory purchases at March 31, 2006 and March 31,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the estimated effective tax rate for the year to determine our provision for income taxes for interim periods. We recorded income tax expense of</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$1.1 million for the three months ended March 31, 2006 compared to $1.0 million for the same period last year. Our estimated effective tax rate was 34.1% and 35.0% during the three months ended March 31, 2006 and 2005, respectively. The decrease in the effective tax rate in 2006 versus 2005 was due primarily to an increase in state research and development tax credits.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March 31, 2006 and 2005, 1,108,833 and 1,057,500 stock options, respectively, with exercise prices greater than the average market price of the underlying common stock were excluded because their inclusion would have been antidilutive.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months ended March 31, 2006 and 2005 are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3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6"/>
              </w:rPr>
              <w:t>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3580" w:type="dxa"/>
            <w:vAlign w:val="bottom"/>
          </w:tcPr>
          <w:p>
            <w:pPr>
              <w:spacing w:after="0"/>
              <w:rPr>
                <w:sz w:val="12"/>
                <w:szCs w:val="12"/>
                <w:color w:val="auto"/>
              </w:rPr>
            </w:pPr>
          </w:p>
        </w:tc>
        <w:tc>
          <w:tcPr>
            <w:tcW w:w="1580" w:type="dxa"/>
            <w:vAlign w:val="bottom"/>
            <w:gridSpan w:val="8"/>
          </w:tcPr>
          <w:p>
            <w:pPr>
              <w:jc w:val="right"/>
              <w:ind w:right="568"/>
              <w:spacing w:after="0" w:line="142" w:lineRule="exact"/>
              <w:rPr>
                <w:sz w:val="20"/>
                <w:szCs w:val="20"/>
                <w:color w:val="auto"/>
              </w:rPr>
            </w:pPr>
            <w:r>
              <w:rPr>
                <w:rFonts w:ascii="Arial" w:cs="Arial" w:eastAsia="Arial" w:hAnsi="Arial"/>
                <w:sz w:val="14"/>
                <w:szCs w:val="14"/>
                <w:b w:val="1"/>
                <w:bCs w:val="1"/>
                <w:color w:val="auto"/>
                <w:w w:val="92"/>
              </w:rPr>
              <w:t>March 31, 2006</w:t>
            </w:r>
          </w:p>
        </w:tc>
        <w:tc>
          <w:tcPr>
            <w:tcW w:w="9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March 31,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jc w:val="center"/>
              <w:ind w:left="2930"/>
              <w:spacing w:after="0"/>
              <w:rPr>
                <w:sz w:val="20"/>
                <w:szCs w:val="20"/>
                <w:color w:val="auto"/>
              </w:rPr>
            </w:pPr>
            <w:r>
              <w:rPr>
                <w:rFonts w:ascii="Arial" w:cs="Arial" w:eastAsia="Arial" w:hAnsi="Arial"/>
                <w:sz w:val="18"/>
                <w:szCs w:val="18"/>
                <w:b w:val="1"/>
                <w:bCs w:val="1"/>
                <w:color w:val="auto"/>
                <w:w w:val="99"/>
              </w:rPr>
              <w:t>BASIC</w:t>
            </w:r>
          </w:p>
        </w:tc>
        <w:tc>
          <w:tcPr>
            <w:tcW w:w="3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38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2,136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jc w:val="center"/>
              <w:ind w:left="2950"/>
              <w:spacing w:after="0"/>
              <w:rPr>
                <w:sz w:val="20"/>
                <w:szCs w:val="20"/>
                <w:color w:val="auto"/>
              </w:rPr>
            </w:pPr>
            <w:r>
              <w:rPr>
                <w:rFonts w:ascii="Arial" w:cs="Arial" w:eastAsia="Arial" w:hAnsi="Arial"/>
                <w:sz w:val="18"/>
                <w:szCs w:val="18"/>
                <w:b w:val="1"/>
                <w:bCs w:val="1"/>
                <w:color w:val="auto"/>
              </w:rPr>
              <w:t>DILUTED</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38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2,136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3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common shares outstanding on a diluted basis</w:t>
            </w:r>
          </w:p>
        </w:tc>
        <w:tc>
          <w:tcPr>
            <w:tcW w:w="3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w w:val="98"/>
              </w:rPr>
              <w:t>The components of comprehensive income (loss) are listed below:</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2,136</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translations</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3,791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(Expense) Income, Net</w:t>
            </w: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gridSpan w:val="2"/>
            <w:vMerge w:val="continue"/>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w w:val="99"/>
              </w:rPr>
              <w:t>The components of other (expense) income, net are listed below:</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gain on foreign currency exchange</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(161)</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(161)</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Accrued Expenses</w:t>
            </w: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gridSpan w:val="2"/>
            <w:vMerge w:val="continue"/>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The components of other accrued expense are listed below:</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6"/>
          </w:tcPr>
          <w:p>
            <w:pPr>
              <w:jc w:val="right"/>
              <w:ind w:right="508"/>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discounts/rebates</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1,776</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warranties</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Deferred revenue</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725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2,809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7,047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580" w:type="dxa"/>
            <w:vAlign w:val="bottom"/>
            <w:vMerge w:val="restart"/>
          </w:tcPr>
          <w:p>
            <w:pPr>
              <w:jc w:val="right"/>
              <w:ind w:right="289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did not repurchase any shares of our common stock during the three months ended March 31, 2006. During the three months ended March 31, 2005, we repurchased 106,285 shares of our common stock at a cost of $1.8 million. These shares were recorded as shares held in treasury at cost. The shares will generally be held by us for future use as management and the Board of Directors deem appropriate. In addition, some of these shares will be used by us to compensate the outside directors of the Company. During the three months ended March 31, 2006 and March 31, 2005, shares totaling 5,000 and 5,000 respectively, were issued to the outside directors for services performed.</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July 1, 2004, as compensation for the outside directors for the one year period commencing July 1, 2004, we granted each director 5,000 shares of our common stock with an aggregate fair market value of approximately $349 thousand. On July 30, 2004, we filed an S-8 Registration Statement covering all of the shares issued under this plan. These shares were recorded in a separate component of stockholders’ equity and were amortized over their 1-year vesting period. Each calendar quarter, 1/4 of the total stock award vested and the shares were distributed. Amortization expense amounted to approximately $84 thousand for the quarter ended March 31, 2005.</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1, 2005, as compensation for the outside directors for the one year period commencing July 1, 2005, we granted each director 5,000 shares of our common stock with an aggregate fair market value of approximately $325 thousand. These shares have been recorded in a separate component of stockholders’ equity and are being amortized over their 1-year vesting period. Each calendar quarter, 1/4 of the total stock award will vest and the shares will be distributed provided the director has served the entire calendar quarter term. Amortization expense amounted to approximately $81 thousand for the quarter ended March 31, 2006.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FASB Staff Position No. 109-1, “Application of FASB Statement No. 109, Accounting for Income Taxes, to the Tax Deduction on Qualified Production Activities Provided by the American Jobs Creation Act of 2004,” (“FSP 109-1”), gives guidance under SFAS No. 109, “Accounting for Income Taxes” (“SFAS 109”) with respect to the provision within the American Jobs Creation Act of 2004 (“Jobs Act”) that provides a tax deduction on qualified production activities. The Jobs Act includes a tax deduction of up to 9 percent (when fully phased-in) of the lesser of (a) “qualified production activities income,” as defined in the Jobs Act, or (b) taxable income (after the deduction for the utilization of any net operating loss carryforwards). This tax deduction is limited to 50 percent of W-2 wages paid by the taxpayer. FSP 109-1 states that an enterprise should account for the deduction as a special deduction in accordance with SFAS 109. In addition, FSP 109-1 requires that the special deduction be considered by an enterprise in (a) measuring deferred taxes when graduated tax rates are a significant factor and (b) assessing whether a valuation allowance is necessary as required by paragraph 232 of SFAS 109. The adoption of FSP 109-1 did not have a material effect on our consolidated financial position, results of operations or cash flows.</w:t>
      </w:r>
    </w:p>
    <w:p>
      <w:pPr>
        <w:spacing w:after="0" w:line="5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FASB Staff Position No. 109-2, “Accounting and Disclosure Guidance for the Foreign Earnings Repatriation Provision within the American Jobs Creation Act of 2004” (“FSP 109-2”), provides guidance under SFAS 109, with respect to recording the potential impact of the repatriation provisions of the American Jobs Act on income tax expense and deferred tax liabilities.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109. The undistributed earnings of our foreign subsidiaries are considered to be indefinitely reinvested. Consequently, this standard did not have a material effect on our consolidated financial position, results of operations or cash flows.</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were required to adopt this standard in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first quarter of 2006, beginning on January 1, 2006. The adoption of SFAS 151 did not have a material effect on our consolidated financial position, results of operations or cash flows.</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were required to adopt the standard in the first quarter of 2006, beginning on January 1, 2006. The adoption of SFAS 153 did not have a material effect on our consolidated financial position, results of operations or cash flows.</w:t>
      </w:r>
    </w:p>
    <w:p>
      <w:pPr>
        <w:spacing w:after="0" w:line="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May 2005, the FASB issued SFAS No. 154, “Accounting Changes and Error Corrections” (“SFAS 154”) which replaces Accounting Principles Board Opinions No. 20 “Accounting Changes” and SFAS No. 3, “Reporting Accounting Changes in Interim Financial Statements—An Amendment of APB Opinion No. 28.” SFAS 154 provides guidance on the accounting for and reporting of accounting changes and error corrections. Unless impracticable, it establishes retrospective application, for fiscal years beginning after December 15, 2005, as the required method for reporting a change in accounting principle and the reporting of a correction of an error. SFAS 154 is effective for accounting changes and corrections of errors made in fiscal years beginning after December 15, 2005 and we were required to adopt the standard in the first quarter of fiscal 2006, beginning on January 1, 2006. The adoption of SFAS 154 did not have a material effect on our consolidated financial position, results of operations or cash flows.</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June 2005, the FASB issued FSP FAS 143-1, “Accounting for Electronic Equipment Waste Obligations” (“FSP 143-1”), which provides guidance on the accounting for certain obligations associated with the Directive on Waste Electrical and Electronic Equipment (the “Directive”), which was adopted by the European Union (“EU”). Under the Directive, the financing of historical waste held by private households is to be borne collectively by producers that are selling in the market during each measurement period (to be defined by each EU-member country). The volume of equipment that qualifies as historical waste that those producers have sold in the market prior to the measurement period is not considered. Producers will be required to contribute proportionately based on their participation in the market (for example, in proportion to their respective shares of the market by type of equipment). However, the exact method to be used to compute the respective proportions to be contributed by producers will be determined by each EU-member country. For commercial users, the waste management obligation for historical equipment (products put on the market on or prior to August 13, 2005) remains with these entities until the equipment is replaced. FSP 143-1 is required to be applied to the later of the first reporting period ending after June 8, 2005 or the date of the Directive’s adoption into law by the applicable EU member countries in which we have significant operations. The adoption of FSP 143-1 did not have a material effect on our consolidated financial position,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composed of two operating segments. 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the operating segment “Core Business”. SimpleDevices, Inc. (“SimpleDevices”) is the other operating segment and is a “reporting unit” as well.</w:t>
      </w:r>
    </w:p>
    <w:p>
      <w:pPr>
        <w:spacing w:after="0" w:line="8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Goodwill for international operations resulted from the acquisition of remote control distributors in the UK in 1998, Spain in 1999 and France in 2000. We acquired SimpleDevices in 2004, and of the total purchase price, approximately $7.1 million was allocated to goodwill.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9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5"/>
                <w:szCs w:val="15"/>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Core Business Segment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Domestic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SimpleDevices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w:t>
            </w:r>
          </w:p>
        </w:tc>
      </w:tr>
      <w:tr>
        <w:trPr>
          <w:trHeight w:val="223"/>
        </w:trPr>
        <w:tc>
          <w:tcPr>
            <w:tcW w:w="9120" w:type="dxa"/>
            <w:vAlign w:val="bottom"/>
          </w:tcPr>
          <w:p>
            <w:pPr>
              <w:ind w:left="420"/>
              <w:spacing w:after="0"/>
              <w:rPr>
                <w:sz w:val="20"/>
                <w:szCs w:val="20"/>
                <w:color w:val="auto"/>
              </w:rPr>
            </w:pPr>
            <w:r>
              <w:rPr>
                <w:rFonts w:ascii="Arial" w:cs="Arial" w:eastAsia="Arial" w:hAnsi="Arial"/>
                <w:sz w:val="18"/>
                <w:szCs w:val="18"/>
                <w:color w:val="auto"/>
              </w:rPr>
              <w:t>Total Goodwill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10,478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difference in international goodwill reported at March 31, 2006, as compared to the goodwill reported at December 31, 2005, was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Besides goodwill, our intangible assets consist principally of distribution rights, patents, and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March 31, 2006</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December 31, 2005</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8"/>
                <w:szCs w:val="18"/>
                <w:color w:val="auto"/>
              </w:rPr>
            </w:pP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Capitalized software (2 years)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carrying amount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8"/>
                <w:szCs w:val="18"/>
                <w:color w:val="auto"/>
              </w:rPr>
            </w:pP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March 31, 2006 was approximately $0.3 million. Amortization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2005 was approximately $0.3 million. Estimated amortization expense for existing intangible assets for each of the five succeeding years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2006 (remaining nine months)</w:t>
            </w:r>
          </w:p>
        </w:tc>
        <w:tc>
          <w:tcPr>
            <w:tcW w:w="6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2007</w:t>
            </w:r>
          </w:p>
        </w:tc>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2009</w:t>
            </w:r>
          </w:p>
        </w:tc>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6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740" w:type="dxa"/>
            <w:vAlign w:val="bottom"/>
            <w:vMerge w:val="restart"/>
          </w:tcPr>
          <w:p>
            <w:pPr>
              <w:jc w:val="right"/>
              <w:ind w:right="475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0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0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and cash flows.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(expense) income, net.</w:t>
      </w:r>
    </w:p>
    <w:p>
      <w:pPr>
        <w:spacing w:after="0" w:line="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held foreign currency exchange contracts which resulted in a net pre-tax gain of approximately $194 thousand for the quarter ended March 31, 2006, and a net pre-tax loss of approximately $215 thousand for the quarter ended March 31, 2005. We had one foreign currency exchange contract outstanding at March 31, 2006, a forward contract with a notional value of $9.0 million. We had two foreign currency exchange contracts outstanding at December 31, 2005, a forward contract with a notional value of $11.0 million, and one option structure known as a participating forward with a notional value of $25.0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Contract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held a USD/Euro forward contract with a notional value of $9.0 million and a forward rate of $1.2009/Euro as of March 31, 2006, due for settlement on April 21, 2006. We held the Euro position on this contract. The value of this contract was $96 thousand at March 31, 2006. This contract is included in prepaid expenses and other current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two reportable segments, Core Business and SimpleDevices. In our Core Business segment we have developed a broad line of easy-to-use, pre-programmed universal wireless control products and audio-video accessories that are marketed to enhance home entertainment systems. The various channels of distribution utilized by our Core Business segment include international retail, private label, OEMs, cable and satellite service providers and companies in the computing industry. SimpleDevices, based in San Mateo, California, develops software and firmware solutions that can enable devices such as TVs, set-top boxes, stereos, automotive audio systems, cell phones and other consumer electronic products to wirelessly connect and interact with home networks and interactive services to deliver digital entertainment and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Used to Identify Reportable Segments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 xml:space="preserve">SFAS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fourth quarter of 2004 we purchased SimpleDevices for approximately $12.8 million in cash, including direct acquisition costs, and a potential performance-based payment of our unregistered common stock, if certain future financial objectives are achieved.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performance based incentive and other factors, management has reviewed SimpleDevices’ discrete operating results since its acquisition. This review and factors including product differences, current management structure, distribution methods, and economic characteristics, supported our conclusion as of March 31, 2006 and December 31, 2005 that SimpleDevices is a reportable segment in accordance with SFAS 131. In the future, as the integration of SimpleDevices’ operations continues and the performance based incentive expires, we may or may not determine that SimpleDevices continues to be a reportable segment in accordance with SFAS 131.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Profit or Loss of Segment Assets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disaggregated financial results of our reportable segments have been prepared using a management approach, which is consistent with the basis and manner in which we internally disaggregate financial information for the purposes of making internal operating and resource allocation decisions. The accounting policies of our reportable segments are the same as those described in the summary of significant accounting policies except that the segment information does not include a full allocation of corporate overhead costs between the SimpleDevices and Core Business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and Assets for the three months ended March 31, 2006 and March 31,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14"/>
          </w:tcPr>
          <w:p>
            <w:pPr>
              <w:ind w:left="40"/>
              <w:spacing w:after="0"/>
              <w:rPr>
                <w:sz w:val="20"/>
                <w:szCs w:val="20"/>
                <w:color w:val="auto"/>
              </w:rPr>
            </w:pPr>
            <w:r>
              <w:rPr>
                <w:rFonts w:ascii="Arial" w:cs="Arial" w:eastAsia="Arial" w:hAnsi="Arial"/>
                <w:sz w:val="14"/>
                <w:szCs w:val="14"/>
                <w:b w:val="1"/>
                <w:bCs w:val="1"/>
                <w:color w:val="auto"/>
                <w:w w:val="99"/>
              </w:rPr>
              <w:t>Three Months Ended March 31, 2006</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Core Business</w:t>
            </w:r>
          </w:p>
        </w:tc>
        <w:tc>
          <w:tcPr>
            <w:tcW w:w="1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SimpleDevices</w:t>
            </w:r>
          </w:p>
        </w:tc>
        <w:tc>
          <w:tcPr>
            <w:tcW w:w="500" w:type="dxa"/>
            <w:vAlign w:val="bottom"/>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53,938</w:t>
            </w:r>
          </w:p>
        </w:tc>
        <w:tc>
          <w:tcPr>
            <w:tcW w:w="1100" w:type="dxa"/>
            <w:vAlign w:val="bottom"/>
            <w:gridSpan w:val="5"/>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4"/>
              </w:rPr>
              <w:t>54,173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jc w:val="right"/>
              <w:ind w:right="19"/>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income, net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4,557</w:t>
            </w:r>
          </w:p>
        </w:tc>
        <w:tc>
          <w:tcPr>
            <w:tcW w:w="15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Assets</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$148,238</w:t>
            </w:r>
          </w:p>
        </w:tc>
        <w:tc>
          <w:tcPr>
            <w:tcW w:w="1100" w:type="dxa"/>
            <w:vAlign w:val="bottom"/>
            <w:gridSpan w:val="5"/>
          </w:tcPr>
          <w:p>
            <w:pPr>
              <w:jc w:val="right"/>
              <w:ind w:right="8"/>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9"/>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21"/>
              <w:spacing w:after="0"/>
              <w:rPr>
                <w:sz w:val="20"/>
                <w:szCs w:val="20"/>
                <w:color w:val="auto"/>
              </w:rPr>
            </w:pPr>
            <w:r>
              <w:rPr>
                <w:rFonts w:ascii="Arial" w:cs="Arial" w:eastAsia="Arial" w:hAnsi="Arial"/>
                <w:sz w:val="18"/>
                <w:szCs w:val="18"/>
                <w:color w:val="auto"/>
                <w:w w:val="94"/>
              </w:rPr>
              <w:t>$ 148,342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4"/>
          </w:tcPr>
          <w:p>
            <w:pPr>
              <w:ind w:left="60"/>
              <w:spacing w:after="0"/>
              <w:rPr>
                <w:sz w:val="20"/>
                <w:szCs w:val="20"/>
                <w:color w:val="auto"/>
              </w:rPr>
            </w:pPr>
            <w:r>
              <w:rPr>
                <w:rFonts w:ascii="Arial" w:cs="Arial" w:eastAsia="Arial" w:hAnsi="Arial"/>
                <w:sz w:val="14"/>
                <w:szCs w:val="14"/>
                <w:b w:val="1"/>
                <w:bCs w:val="1"/>
                <w:color w:val="auto"/>
                <w:w w:val="98"/>
              </w:rPr>
              <w:t>Three Months Ended March 31, 2005</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w w:val="87"/>
              </w:rPr>
              <w:t>Core Business</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bottom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rPr>
              <w:t>SimpleDevices</w:t>
            </w:r>
          </w:p>
        </w:tc>
        <w:tc>
          <w:tcPr>
            <w:tcW w:w="480" w:type="dxa"/>
            <w:vAlign w:val="bottom"/>
            <w:gridSpan w:val="3"/>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40,979</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4"/>
              </w:rPr>
              <w:t>41,502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jc w:val="right"/>
              <w:ind w:right="19"/>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income, net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Assets</w:t>
            </w:r>
          </w:p>
        </w:tc>
        <w:tc>
          <w:tcPr>
            <w:tcW w:w="1180" w:type="dxa"/>
            <w:vAlign w:val="bottom"/>
            <w:gridSpan w:val="3"/>
          </w:tcPr>
          <w:p>
            <w:pPr>
              <w:jc w:val="right"/>
              <w:ind w:right="70"/>
              <w:spacing w:after="0"/>
              <w:rPr>
                <w:sz w:val="20"/>
                <w:szCs w:val="20"/>
                <w:color w:val="auto"/>
              </w:rPr>
            </w:pPr>
            <w:r>
              <w:rPr>
                <w:rFonts w:ascii="Arial" w:cs="Arial" w:eastAsia="Arial" w:hAnsi="Arial"/>
                <w:sz w:val="18"/>
                <w:szCs w:val="18"/>
                <w:color w:val="auto"/>
              </w:rPr>
              <w:t>$128,268</w:t>
            </w:r>
          </w:p>
        </w:tc>
        <w:tc>
          <w:tcPr>
            <w:tcW w:w="1560" w:type="dxa"/>
            <w:vAlign w:val="bottom"/>
            <w:gridSpan w:val="8"/>
          </w:tcPr>
          <w:p>
            <w:pPr>
              <w:jc w:val="right"/>
              <w:ind w:right="19"/>
              <w:spacing w:after="0"/>
              <w:rPr>
                <w:sz w:val="20"/>
                <w:szCs w:val="20"/>
                <w:color w:val="auto"/>
              </w:rPr>
            </w:pPr>
            <w:r>
              <w:rPr>
                <w:rFonts w:ascii="Arial" w:cs="Arial" w:eastAsia="Arial" w:hAnsi="Arial"/>
                <w:sz w:val="18"/>
                <w:szCs w:val="18"/>
                <w:color w:val="auto"/>
              </w:rPr>
              <w:t>$4,754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21"/>
              <w:spacing w:after="0"/>
              <w:rPr>
                <w:sz w:val="20"/>
                <w:szCs w:val="20"/>
                <w:color w:val="auto"/>
              </w:rPr>
            </w:pPr>
            <w:r>
              <w:rPr>
                <w:rFonts w:ascii="Arial" w:cs="Arial" w:eastAsia="Arial" w:hAnsi="Arial"/>
                <w:sz w:val="18"/>
                <w:szCs w:val="18"/>
                <w:color w:val="auto"/>
              </w:rPr>
              <w:t>$133,022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700" w:type="dxa"/>
            <w:vAlign w:val="bottom"/>
          </w:tcPr>
          <w:p>
            <w:pPr>
              <w:spacing w:after="0"/>
              <w:rPr>
                <w:sz w:val="20"/>
                <w:szCs w:val="20"/>
                <w:color w:val="auto"/>
              </w:rPr>
            </w:pPr>
            <w:r>
              <w:rPr>
                <w:rFonts w:ascii="Arial" w:cs="Arial" w:eastAsia="Arial" w:hAnsi="Arial"/>
                <w:sz w:val="18"/>
                <w:szCs w:val="18"/>
                <w:color w:val="auto"/>
              </w:rPr>
              <w:t>Our sales to external customers by geographic area are presented below:</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11"/>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Sales United States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32,174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$ 23,828</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5,268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Asia</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6,925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Spain</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Germany</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1,548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Switzerland</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Africa</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670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21,999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17,674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Net Sales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54,173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$ 41,502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March 31, 2006</w:t>
            </w:r>
          </w:p>
        </w:tc>
        <w:tc>
          <w:tcPr>
            <w:tcW w:w="1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2005</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3,330</w:t>
            </w:r>
          </w:p>
        </w:tc>
        <w:tc>
          <w:tcPr>
            <w:tcW w:w="300" w:type="dxa"/>
            <w:vAlign w:val="bottom"/>
          </w:tcPr>
          <w:p>
            <w:pPr>
              <w:spacing w:after="0"/>
              <w:rPr>
                <w:sz w:val="18"/>
                <w:szCs w:val="18"/>
                <w:color w:val="auto"/>
              </w:rPr>
            </w:pP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3,137</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Product Warranties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goods sold, as we sell the related products. Because warranty expense is a forecast based on the best available information, mostly historical claims experience, actual claim costs may differ from the amounts provided. The change in the liability for product warranties is presented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1"/>
              </w:rPr>
              <w:t>Balance at</w:t>
            </w:r>
          </w:p>
        </w:tc>
        <w:tc>
          <w:tcPr>
            <w:tcW w:w="15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Accruals for</w:t>
            </w: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Settlements</w:t>
            </w:r>
          </w:p>
        </w:tc>
        <w:tc>
          <w:tcPr>
            <w:tcW w:w="300" w:type="dxa"/>
            <w:vAlign w:val="bottom"/>
          </w:tcPr>
          <w:p>
            <w:pPr>
              <w:spacing w:after="0"/>
              <w:rPr>
                <w:sz w:val="14"/>
                <w:szCs w:val="14"/>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Warranties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Cash or in</w:t>
            </w:r>
          </w:p>
        </w:tc>
        <w:tc>
          <w:tcPr>
            <w:tcW w:w="3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5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Kind) During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6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4"/>
                <w:szCs w:val="14"/>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the Period</w:t>
            </w: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the Period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Three Months Ended March 31, 2006</w:t>
            </w: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414</w:t>
            </w:r>
          </w:p>
        </w:tc>
        <w:tc>
          <w:tcPr>
            <w:tcW w:w="64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80"/>
              <w:spacing w:after="0" w:line="195" w:lineRule="exact"/>
              <w:rPr>
                <w:sz w:val="20"/>
                <w:szCs w:val="20"/>
                <w:color w:val="auto"/>
              </w:rPr>
            </w:pPr>
            <w:r>
              <w:rPr>
                <w:rFonts w:ascii="Arial" w:cs="Arial" w:eastAsia="Arial" w:hAnsi="Arial"/>
                <w:sz w:val="18"/>
                <w:szCs w:val="18"/>
                <w:color w:val="auto"/>
                <w:w w:val="79"/>
              </w:rPr>
              <w:t>92</w:t>
            </w:r>
          </w:p>
        </w:tc>
        <w:tc>
          <w:tcPr>
            <w:tcW w:w="66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w w:val="72"/>
              </w:rPr>
              <w:t>(50)</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Three Months Ended March 31, 2005</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parties to lawsuits and claims arising in the normal course of our business.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One For All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 against one of the subsidiaries, rendered judgment against the subsidiary and awarded damages and costs to the distributor in the amount of approximately $102,000. The subsidiary has appealed this decision and asked the court to stay the execution of the judgment as it is part of the overall litigation matters between the various parties. In February 2006, the court denied our subsidiary’s request and it will file an appeal seeking to stay this judgment. The amount of this judgment was charged to operations during the second quarter of 2005 and is recorded as a liability as of March 31, 2006. With respect to the remaining matters before the court, the parties met with the court appointed expert in late November 2005, and we expect the expert to finalize and file his pre-trial report to the court during the quarter ending September 30, 2006. We will continue to seek a settlement of all of these matters, but if settlement is not possible, each of the subsidiaries will continue to disagree with the allegations of the former distributor and will vigorously defended itself against the counterclaims.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2003, an ex-employee of one of our subsidiaries brought an action against our subsidiary seeking damages in the amount of approximately $191,000 for wrongful termination. The subsidiary disagreed with these allegations and vigorously defended itself against this claim. In January 2005, judgment was rendered for the ex-employee awarding him approximately $26,000 in damages. In March 2005, our subsidiary paid this judgment. In February 2005, the ex-employee filed a notice of appeal, which has been scheduled for hearing in late 2006. It is our intention to seek a settlement of this matter with the ex-employee. If a settlement is not possible, our subsidiary will again vigorously defend itself.</w:t>
      </w:r>
    </w:p>
    <w:p>
      <w:pPr>
        <w:spacing w:after="0" w:line="6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 2005, an appellate court affirmed the ruling against the Trustee in this other matter. If and when we answer, we intend to deny all of the material allegations made against us and defend this matter vigorously. Finally, in May 2002, we filed a proof of claim in the amount of $106,000 with the Bankruptcy Court against the bankruptcy estate of Computrex seeking a return of freight charges paid to Computrex for which it failed to remit to our freight carriers.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As of December 31, 2004, because incurring a loss relating to the employment matter was both probable and estimable, a loss contingency of $191,000 was recorded and still remains on the books at March 31, 2006.</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 Tax Shelter Penalty</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tax shelter penalty was assessed against us or any of our subsidiaries by the Internal Revenue Service (“IRS”), in fiscal year 2005 or at any other time, in connection with any transaction deemed by the IRS to be abusive or to have a significant tax avoidance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Tax Audit</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currently under a sales tax audit with the State Board of Equalization for the period July 1, 2000 through September 30, 2005. Although this sales tax audit is not complete as of March 31, 2006, it is likely we will be assessed sales tax related to sales made to a significant customer during the aforementiod period. As of March 31, 2006, we estimate the sales tax assessment to range from $200 thousand to $400 thousand; however, this significant customer has agreed to reimburse us in full for any sales tax due which relate to sales made to them. As a result, no accrual has been recorded as of March 31, 2006.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Beginning in 1986 and continuing today, we have compiled an extensive library that covers nearly 253,000 individual device functions and over 2,800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6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Beginning in 2002, we began selling our Nevo</w:t>
      </w:r>
      <w:r>
        <w:rPr>
          <w:rFonts w:ascii="Arial" w:cs="Arial" w:eastAsia="Arial" w:hAnsi="Arial"/>
          <w:sz w:val="13"/>
          <w:szCs w:val="13"/>
          <w:color w:val="auto"/>
        </w:rPr>
        <w:t>®</w:t>
      </w:r>
      <w:r>
        <w:rPr>
          <w:rFonts w:ascii="Arial" w:cs="Arial" w:eastAsia="Arial" w:hAnsi="Arial"/>
          <w:sz w:val="16"/>
          <w:szCs w:val="16"/>
          <w:color w:val="auto"/>
        </w:rPr>
        <w:t xml:space="preserve"> 1.0 software embedded on our chip. Nevo 2.0</w:t>
      </w:r>
      <w:r>
        <w:rPr>
          <w:rFonts w:ascii="Arial" w:cs="Arial" w:eastAsia="Arial" w:hAnsi="Arial"/>
          <w:sz w:val="13"/>
          <w:szCs w:val="13"/>
          <w:color w:val="auto"/>
        </w:rPr>
        <w:t>®</w:t>
      </w:r>
      <w:r>
        <w:rPr>
          <w:rFonts w:ascii="Arial" w:cs="Arial" w:eastAsia="Arial" w:hAnsi="Arial"/>
          <w:sz w:val="16"/>
          <w:szCs w:val="16"/>
          <w:color w:val="auto"/>
        </w:rPr>
        <w:t xml:space="preserve"> was launched in July of 2004. Both of these products were featured on a series of Hewlett Packard Personal Digital Assistants (PDA), which reached their end of life during the third quarter of 2005. Building on this platform, we used some components of the Nevo 2.0</w:t>
      </w:r>
      <w:r>
        <w:rPr>
          <w:rFonts w:ascii="Arial" w:cs="Arial" w:eastAsia="Arial" w:hAnsi="Arial"/>
          <w:sz w:val="13"/>
          <w:szCs w:val="13"/>
          <w:color w:val="auto"/>
        </w:rPr>
        <w:t>®</w:t>
      </w:r>
      <w:r>
        <w:rPr>
          <w:rFonts w:ascii="Arial" w:cs="Arial" w:eastAsia="Arial" w:hAnsi="Arial"/>
          <w:sz w:val="16"/>
          <w:szCs w:val="16"/>
          <w:color w:val="auto"/>
        </w:rPr>
        <w:t xml:space="preserve"> technology in a new product named NevoSL</w:t>
      </w:r>
      <w:r>
        <w:rPr>
          <w:rFonts w:ascii="Arial" w:cs="Arial" w:eastAsia="Arial" w:hAnsi="Arial"/>
          <w:sz w:val="13"/>
          <w:szCs w:val="13"/>
          <w:color w:val="auto"/>
        </w:rPr>
        <w:t>®</w:t>
      </w:r>
      <w:r>
        <w:rPr>
          <w:rFonts w:ascii="Arial" w:cs="Arial" w:eastAsia="Arial" w:hAnsi="Arial"/>
          <w:sz w:val="16"/>
          <w:szCs w:val="16"/>
          <w:color w:val="auto"/>
        </w:rPr>
        <w:t xml:space="preserve"> which we began to ship in the second quarter of the 2005. NevoSL</w:t>
      </w:r>
      <w:r>
        <w:rPr>
          <w:rFonts w:ascii="Arial" w:cs="Arial" w:eastAsia="Arial" w:hAnsi="Arial"/>
          <w:sz w:val="13"/>
          <w:szCs w:val="13"/>
          <w:color w:val="auto"/>
        </w:rPr>
        <w:t>®</w:t>
      </w:r>
      <w:r>
        <w:rPr>
          <w:rFonts w:ascii="Arial" w:cs="Arial" w:eastAsia="Arial" w:hAnsi="Arial"/>
          <w:sz w:val="16"/>
          <w:szCs w:val="16"/>
          <w:color w:val="auto"/>
        </w:rPr>
        <w:t xml:space="preserve"> is a universal controller that delivers complete audio, visual and Wi-Fi digital media control for the networked home.</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for approximately $12.8 million in cash, including direct acquisition costs, plus a performance-based payment of our unregistered common stock to be paid in the first quarter of 2007 if certain financial objectives are achieved. The performance-based payment has not been reflected as part of the purchase price as of March 31, 2006, since we believe that it is not probable that the performance metrics will be met.</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value we received from this acquisition relates primarily to SimpleDevices’ unique capabilities, as well as its complete and in-process technology. SimpleDevices has developed connected-device technology solutions that link the home computer and the Internet to existing consumer electronic devices in the home and car. The company provides UPnP-compatible software to transform common home devices into “connected” devices — that is, devices that can find, control and share entertainment media across a home network. UPnP is an architecture for pervasive peer-to-peer network connectivity of intelligent appliances, wireless devices, and PCs of all form factors. It is designed to bring standards-based connectivity to ad hoc or unmanaged networks whether in the home, in a small business, in public spaces, or attached to the Internet. UPnP is a distributed, open networking architecture that leverages TCP/IP and the Web technologies to enable seamless proximity networking in addition to control and data transfer among networked devices in the home, office, and public spaces.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expressed as a percentage of net sales for the three months ended March 31, 2006 and 2005: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Cost of sales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7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Interest income, net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180" w:type="dxa"/>
            <w:vAlign w:val="bottom"/>
            <w:gridSpan w:val="2"/>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2006 versus First Quarter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three months ended March 31,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9"/>
              </w:rPr>
              <w:t>(million)</w:t>
            </w: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7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(million)</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Business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6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29.6</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w:t>
            </w:r>
            <w:r>
              <w:rPr>
                <w:rFonts w:ascii="Arial" w:cs="Arial" w:eastAsia="Arial" w:hAnsi="Arial"/>
                <w:sz w:val="18"/>
                <w:szCs w:val="18"/>
                <w:u w:val="single" w:color="auto"/>
                <w:color w:val="auto"/>
              </w:rPr>
              <w:t>2</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260"/>
              <w:spacing w:after="0"/>
              <w:rPr>
                <w:sz w:val="20"/>
                <w:szCs w:val="20"/>
                <w:color w:val="auto"/>
              </w:rPr>
            </w:pPr>
            <w:r>
              <w:rPr>
                <w:rFonts w:ascii="Arial" w:cs="Arial" w:eastAsia="Arial" w:hAnsi="Arial"/>
                <w:sz w:val="18"/>
                <w:szCs w:val="18"/>
                <w:color w:val="auto"/>
                <w:w w:val="79"/>
              </w:rPr>
              <w:t>41.</w:t>
            </w:r>
            <w:r>
              <w:rPr>
                <w:rFonts w:ascii="Arial" w:cs="Arial" w:eastAsia="Arial" w:hAnsi="Arial"/>
                <w:sz w:val="18"/>
                <w:szCs w:val="18"/>
                <w:u w:val="single" w:color="auto"/>
                <w:color w:val="auto"/>
                <w:w w:val="79"/>
              </w:rPr>
              <w:t>5</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for the first quarter of 2006 were $54.2 million, an increase of 31% compared to $41.5 million for the first quarter of 2005. Net income for the first quarter of 2006 was $2.1 million or $0.16 per share (basic) and $0.15 per share (diluted) compared to $1.9 million or $0.14 per share (basic) and $0.13 per share (diluted) for the first quarter of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79% of net sales for the first quarter of 2006 compared to 71% for the first quarter of 2005. Net sales in our Business lines for the first quarter of 2006 increased by 44% to $42.7 million from</w:t>
      </w:r>
    </w:p>
    <w:p>
      <w:pPr>
        <w:spacing w:after="0" w:line="252" w:lineRule="auto"/>
        <w:rPr>
          <w:sz w:val="20"/>
          <w:szCs w:val="20"/>
          <w:color w:val="auto"/>
        </w:rPr>
      </w:pPr>
      <w:r>
        <w:rPr>
          <w:rFonts w:ascii="Arial" w:cs="Arial" w:eastAsia="Arial" w:hAnsi="Arial"/>
          <w:sz w:val="18"/>
          <w:szCs w:val="18"/>
          <w:color w:val="auto"/>
        </w:rPr>
        <w:t>$29.6 million for the same period last year.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these functions continues to increase. As a result, we expect Business category revenue to range from $158 to $168 million in 2006.</w:t>
      </w:r>
    </w:p>
    <w:p>
      <w:pPr>
        <w:spacing w:after="0" w:line="8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5"/>
          <w:szCs w:val="15"/>
          <w:i w:val="1"/>
          <w:iCs w:val="1"/>
          <w:color w:val="auto"/>
        </w:rPr>
        <w:t>®</w:t>
      </w:r>
      <w:r>
        <w:rPr>
          <w:rFonts w:ascii="Arial" w:cs="Arial" w:eastAsia="Arial" w:hAnsi="Arial"/>
          <w:sz w:val="18"/>
          <w:szCs w:val="18"/>
          <w:color w:val="auto"/>
        </w:rPr>
        <w:t xml:space="preserve"> international retail, private label, and direct import) were approximately 21% of net sales for the first quarter of 2006 compared to 29% for the first quarter of 2005. Net sales in our Consumer lines for the first quarter of 2006 decreased by 4% to $11.5 million from $11.9 million for the same period last year. The decrease in sales resulted primarily from a decrease in European retail sales, which were down 16% to $8.6 million in the first quarter of 2006 from $10.2 million in the first quarter of 2005. This decrease was primarily attributable to lower volumes in the Nordic countries and France, as well as the weakening of both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Euro and the British Pound compared to the U.S. Dollar. The impact of the weaker currencies resulted in a decrease in net sales of approximately</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$0.7 million. Excluding the negative foreign exchange impact, European retail sales decreased $0.9 million. Partially offsetting this decrease was our entry into the CEDIA market, which occurred in the second quarter of 2005. This added net sales of $0.5 million and 4% to the Consumer category net sales growth as compared to the first quarter of 2005. International retail sales increased by 68% to $1.0 million in the first quarter of 2006, from $0.6 million in the first quarter of 2005. We expect Consumer category revenue to range from $55 to $65 million in 2006, with a higher percentage of retail sales occurring in the fourth quarter, consistent with prior years.</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Gross profit for the first quarter of 2006 was $18.5 million compared to $15.7 million for the first quarter of 2005. Gross profit as a percentage of net sales for the first quarter of 2006 was 34.1% compared to 37.9% for the first quarter of 2005. The decrease in gross profit as a percentage of net sales was primarily attributable to subscription broadcast sales, which generally have a lower gross profit rate as compared to our other sales, representing a larger percentage of our total business. The impact of this change in mix was a 5.4% reduction in the gross profit rate. Gross profit was also negatively impacted by an additional $0.5 million of sub-contract labor expense recorded in the first quarter of 2006 as compared to the first quarter of 2005. Sub-contract labor increased as a result of the mix shift towards subscription broadcast sales as well as an increase in the number of third-party warehouse locations. Sub-contract labor contributed to a 0.8% reduction in the gross profit rate. Gross profit was also negatively impacted by the weakening of both the Euro and British Pound compared to the U.S. Dollar, which resulted in a decrease in gross profit of approximately $0.7 million and a reduction of 0.7% in the gross profit rate. In addition, we recorded a charge to correct an error in our standard cost of $0.4 million, which reduced the gross profit rate by 0.6%. Partially offsetting these decreases in the gross profit rate was a reduction in inventory scrap expense of $0.9 million. This reduction added 2.2% to the gross profit rate. Freight expense declined $0.3 million due to the decline in the volume of units shipped using air freight, which added 1.2% to the gross profit rate. In addition, royalty expense increased $0.1 million but improved the gross margin rate by 0.3%, due to sales of Kameleon and SKY-branded retail products declining as a percentage of total sales.</w:t>
      </w:r>
    </w:p>
    <w:p>
      <w:pPr>
        <w:spacing w:after="0" w:line="8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Research and development expenses increased 15% from $1.6 million in the first quarter of 2005 to $1.8 million in the first quarter of 2006. The increase is due to development efforts taking place at SimpleDevices. Partially offsetting these increases was a reduction in the development of audio-video accessories for sale in our retail channel and less spending on the Nevo</w:t>
      </w:r>
      <w:r>
        <w:rPr>
          <w:rFonts w:ascii="Arial" w:cs="Arial" w:eastAsia="Arial" w:hAnsi="Arial"/>
          <w:sz w:val="15"/>
          <w:szCs w:val="15"/>
          <w:color w:val="auto"/>
        </w:rPr>
        <w:t>®</w:t>
      </w:r>
      <w:r>
        <w:rPr>
          <w:rFonts w:ascii="Arial" w:cs="Arial" w:eastAsia="Arial" w:hAnsi="Arial"/>
          <w:sz w:val="18"/>
          <w:szCs w:val="18"/>
          <w:color w:val="auto"/>
        </w:rPr>
        <w:t xml:space="preserve"> platform. We expect research and development expense to remain near current levels for the full year 2006.</w:t>
      </w:r>
    </w:p>
    <w:p>
      <w:pPr>
        <w:spacing w:after="0" w:line="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Selling, general and administrative expenses increased 9% from $12.4 million in the first quarter of 2005 to $13.5 million in the first quarter of 2006. Approximately $0.7 million of this increase was attributable to stock-based compensation expense, $0.5 million to payroll and benefits, $0.4 million to employee bonus expense, $0.3 million to travel and meals, and $0.2 million to increased tax and audit fees. These items were partially offset by the weakening of the Euro compared to the U.S. Dollar, which resulted in a decrease of approximately $0.4 million, lower delivery and freight expense, which decreased by $0.3 million, and bad debt expense, which decreased by $0.3 million. We expect that selling, general, and administrative expenses will range from $55 to $59 million for the full year 2006.</w:t>
      </w:r>
    </w:p>
    <w:p>
      <w:pPr>
        <w:spacing w:after="0" w:line="8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the first quarter of 2006, we recorded $0.3 million of interest income compared to $0.2 million during the first quarter of 2005. This increase was due to higher money market rates and a higher average cash balance in Europe. We expect this trend to continue throughout 2006.</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first quarter of 2006, other expense was $0.2 million as compared to other income of $1.0 million for the first quarter of 2005. The other expense in the first quarter of 2006 was the result of a foreign currency exchange loss, compared to a foreign currency exchange gain of $0.9 million for the first quarter of 2005.</w:t>
      </w:r>
    </w:p>
    <w:p>
      <w:pPr>
        <w:spacing w:after="0" w:line="73"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recorded income tax expense of $1.1 million for the first quarter of 2006 compared to $1.0 million for the first quarter of 2005. Our estimated effective tax rate was 34.1% during the three months ended March 31, 2006 compared to 35.0% during the three months ended March 31, 2005. The decrease in the estimated effective tax rate was primarily due to an increase in state research and development tax credits.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1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SimpleDevices recorded net sales for the first quarter of 2006 of $0.2 million, a decrease of 55% compared to $0.5 million for the first quarter of 2005. The pretax loss for the first quarter of 2006 was $1.3 million compared to $0.9 million for the first quarter of 2005. Sales were down as a result of focusing the activities of SimpleDevices to engineering services related to the development of hardware utilized by its customers to run the SimplePlatforms software as opposed to non-reoccurring engineering services work. Sales attributable to SimpleDevices are included in our Business category when we discuss consolidated results. The results of SimpleDevices have been included since the date of acquisition and are described below.</w:t>
      </w:r>
    </w:p>
    <w:p>
      <w:pPr>
        <w:spacing w:after="0" w:line="5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Gross loss for the first quarter of 2006 was $7 thousand, or 2.9% of sales, compared to gross profit of $173 thousand, or 33.0% of sales for the first quarter of 2005. Gross profit was down due to the performance of less profitable development work in the first quarter of 2006 and reduced revenues.</w:t>
      </w:r>
    </w:p>
    <w:p>
      <w:pPr>
        <w:spacing w:after="0" w:line="38"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Research and development expenses were $0.3 million for the first quarter of 2006, compared to no research and development expense in the first quarter of 2005. Research and development expenses consisted primarily of internal and external development efforts related to SimpleDevices’ core software product.</w:t>
      </w:r>
    </w:p>
    <w:p>
      <w:pPr>
        <w:spacing w:after="0" w:line="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Selling, general and administrative expenses were $1.0 million for the first quarter of 2006, compared to $0.9 million in the first quarter of 2005. Selling, general, and administrative expenses consisted primarily of engineering payroll and benefit costs as well as outside development costs.</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percentage of total sales as software licensing fees and the associated maintenance fees begin to increase. We also anticipate that gross profit and gross profit as a percentage of net sales will increase as this shift occurs.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6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2006</w:t>
            </w:r>
          </w:p>
        </w:tc>
        <w:tc>
          <w:tcPr>
            <w:tcW w:w="16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(decrease)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December 31, 2005</w:t>
            </w:r>
          </w:p>
        </w:tc>
      </w:tr>
      <w:tr>
        <w:trPr>
          <w:trHeight w:val="195"/>
        </w:trPr>
        <w:tc>
          <w:tcPr>
            <w:tcW w:w="6620" w:type="dxa"/>
            <w:vAlign w:val="bottom"/>
          </w:tcPr>
          <w:p>
            <w:pPr>
              <w:spacing w:after="0" w:line="195" w:lineRule="exact"/>
              <w:rPr>
                <w:sz w:val="20"/>
                <w:szCs w:val="20"/>
                <w:color w:val="auto"/>
              </w:rPr>
            </w:pPr>
            <w:r>
              <w:rPr>
                <w:rFonts w:ascii="Arial" w:cs="Arial" w:eastAsia="Arial" w:hAnsi="Arial"/>
                <w:sz w:val="18"/>
                <w:szCs w:val="18"/>
                <w:color w:val="auto"/>
              </w:rPr>
              <w:t>Cash and cash equivalents</w:t>
            </w:r>
          </w:p>
        </w:tc>
        <w:tc>
          <w:tcPr>
            <w:tcW w:w="1300" w:type="dxa"/>
            <w:vAlign w:val="bottom"/>
            <w:tcBorders>
              <w:top w:val="single" w:sz="8" w:color="auto"/>
            </w:tcBorders>
            <w:gridSpan w:val="2"/>
          </w:tcPr>
          <w:p>
            <w:pPr>
              <w:jc w:val="right"/>
              <w:ind w:right="328"/>
              <w:spacing w:after="0" w:line="195" w:lineRule="exact"/>
              <w:rPr>
                <w:sz w:val="20"/>
                <w:szCs w:val="20"/>
                <w:color w:val="auto"/>
              </w:rPr>
            </w:pPr>
            <w:r>
              <w:rPr>
                <w:rFonts w:ascii="Arial" w:cs="Arial" w:eastAsia="Arial" w:hAnsi="Arial"/>
                <w:sz w:val="18"/>
                <w:szCs w:val="18"/>
                <w:color w:val="auto"/>
              </w:rPr>
              <w:t>$51,379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248"/>
              <w:spacing w:after="0" w:line="195" w:lineRule="exact"/>
              <w:rPr>
                <w:sz w:val="20"/>
                <w:szCs w:val="20"/>
                <w:color w:val="auto"/>
              </w:rPr>
            </w:pPr>
            <w:r>
              <w:rPr>
                <w:rFonts w:ascii="Arial" w:cs="Arial" w:eastAsia="Arial" w:hAnsi="Arial"/>
                <w:sz w:val="18"/>
                <w:szCs w:val="18"/>
                <w:color w:val="auto"/>
              </w:rPr>
              <w:t>$7,738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28"/>
              <w:spacing w:after="0" w:line="195" w:lineRule="exact"/>
              <w:rPr>
                <w:sz w:val="20"/>
                <w:szCs w:val="20"/>
                <w:color w:val="auto"/>
              </w:rPr>
            </w:pPr>
            <w:r>
              <w:rPr>
                <w:rFonts w:ascii="Arial" w:cs="Arial" w:eastAsia="Arial" w:hAnsi="Arial"/>
                <w:sz w:val="18"/>
                <w:szCs w:val="18"/>
                <w:color w:val="auto"/>
              </w:rPr>
              <w:t>$43,641</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Working capital</w:t>
            </w:r>
          </w:p>
        </w:tc>
        <w:tc>
          <w:tcPr>
            <w:tcW w:w="1300" w:type="dxa"/>
            <w:vAlign w:val="bottom"/>
            <w:gridSpan w:val="2"/>
          </w:tcPr>
          <w:p>
            <w:pPr>
              <w:jc w:val="right"/>
              <w:ind w:right="328"/>
              <w:spacing w:after="0"/>
              <w:rPr>
                <w:sz w:val="20"/>
                <w:szCs w:val="20"/>
                <w:color w:val="auto"/>
              </w:rPr>
            </w:pPr>
            <w:r>
              <w:rPr>
                <w:rFonts w:ascii="Arial" w:cs="Arial" w:eastAsia="Arial" w:hAnsi="Arial"/>
                <w:sz w:val="18"/>
                <w:szCs w:val="18"/>
                <w:color w:val="auto"/>
              </w:rPr>
              <w:t>83,288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6,087</w:t>
            </w:r>
          </w:p>
        </w:tc>
        <w:tc>
          <w:tcPr>
            <w:tcW w:w="1980" w:type="dxa"/>
            <w:vAlign w:val="bottom"/>
            <w:gridSpan w:val="4"/>
          </w:tcPr>
          <w:p>
            <w:pPr>
              <w:jc w:val="right"/>
              <w:ind w:right="428"/>
              <w:spacing w:after="0"/>
              <w:rPr>
                <w:sz w:val="20"/>
                <w:szCs w:val="20"/>
                <w:color w:val="auto"/>
              </w:rPr>
            </w:pPr>
            <w:r>
              <w:rPr>
                <w:rFonts w:ascii="Arial" w:cs="Arial" w:eastAsia="Arial" w:hAnsi="Arial"/>
                <w:sz w:val="18"/>
                <w:szCs w:val="18"/>
                <w:color w:val="auto"/>
              </w:rPr>
              <w:t>77,201</w:t>
            </w:r>
          </w:p>
        </w:tc>
      </w:tr>
      <w:tr>
        <w:trPr>
          <w:trHeight w:val="342"/>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0"/>
              </w:rPr>
              <w:t>Three months ended</w:t>
            </w:r>
          </w:p>
        </w:tc>
      </w:tr>
      <w:tr>
        <w:trPr>
          <w:trHeight w:val="17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2006</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March 31, 2005</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$ 6,034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$3,083</w:t>
            </w:r>
          </w:p>
        </w:tc>
        <w:tc>
          <w:tcPr>
            <w:tcW w:w="19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$ 2,951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(1,370)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(230)</w:t>
            </w:r>
          </w:p>
        </w:tc>
        <w:tc>
          <w:tcPr>
            <w:tcW w:w="1980" w:type="dxa"/>
            <w:vAlign w:val="bottom"/>
            <w:gridSpan w:val="4"/>
          </w:tcPr>
          <w:p>
            <w:pPr>
              <w:jc w:val="right"/>
              <w:ind w:right="268"/>
              <w:spacing w:after="0"/>
              <w:rPr>
                <w:sz w:val="20"/>
                <w:szCs w:val="20"/>
                <w:color w:val="auto"/>
              </w:rPr>
            </w:pPr>
            <w:r>
              <w:rPr>
                <w:rFonts w:ascii="Arial" w:cs="Arial" w:eastAsia="Arial" w:hAnsi="Arial"/>
                <w:sz w:val="18"/>
                <w:szCs w:val="18"/>
                <w:color w:val="auto"/>
              </w:rPr>
              <w:t>(1,140)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financing activities</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1,955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3,176</w:t>
            </w:r>
          </w:p>
        </w:tc>
        <w:tc>
          <w:tcPr>
            <w:tcW w:w="198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(1,221)</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00" w:type="dxa"/>
            <w:vAlign w:val="bottom"/>
            <w:gridSpan w:val="2"/>
          </w:tcPr>
          <w:p>
            <w:pPr>
              <w:jc w:val="right"/>
              <w:ind w:right="188"/>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2,965</w:t>
            </w:r>
          </w:p>
        </w:tc>
        <w:tc>
          <w:tcPr>
            <w:tcW w:w="1980" w:type="dxa"/>
            <w:vAlign w:val="bottom"/>
            <w:gridSpan w:val="4"/>
          </w:tcPr>
          <w:p>
            <w:pPr>
              <w:jc w:val="right"/>
              <w:ind w:right="268"/>
              <w:spacing w:after="0"/>
              <w:rPr>
                <w:sz w:val="20"/>
                <w:szCs w:val="20"/>
                <w:color w:val="auto"/>
              </w:rPr>
            </w:pPr>
            <w:r>
              <w:rPr>
                <w:rFonts w:ascii="Arial" w:cs="Arial" w:eastAsia="Arial" w:hAnsi="Arial"/>
                <w:sz w:val="18"/>
                <w:szCs w:val="18"/>
                <w:color w:val="auto"/>
              </w:rPr>
              <w:t>(1,846)</w:t>
            </w:r>
          </w:p>
        </w:tc>
      </w:tr>
    </w:tbl>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principal source of funds is from operations. Cash provided by operating activities for the first three months of 2006 was $6.0 million as compared to $3.0 million in the first three months of 2005. The increase in cash provided by operating activities for the three months ended March 31, 2006 compared to the three months ended March 31, 2005 was primarily driven by higher net sales which resulted in lower inventory levels offset partially by accounts receivable decreasing by a lesser amount in 2006 versus 2005.</w:t>
      </w:r>
    </w:p>
    <w:p>
      <w:pPr>
        <w:spacing w:after="0" w:line="7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Cash used for investing activities for the first three months of 2006 was $1.4 million as compared to $1.1 million for the first three months of 2005. The increase in cash used for investing activities was primarily due to the acquisition of fixed assets. Capital expenditures in the first three months of 2006 and 2005 were approximately $1.1 million and $0.9 million, respectively. These expenditures related primarily to our acquisition of product tooling. We are currently evaluating our existing and future information system requirements, and may make a significant investment to upgrade our systems in 2006.</w:t>
      </w: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Cash provided by financing activities for the first three months of 2006 was $2.0 million as compared to cash used for financing activities of $1.2 million for the first three months of 2005. The increase in cash provided by financing activities was primarily due to an increase of proceeds from stock options exercised. Proceeds from stock options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exercised in the first three months of 2006 and 2005 were approximately $2.0 million and $0.6 million, respectively. Additionally during the three months ended March 31, 2006, we did not repurchase any treasury stock. In the first quarter of 2005, we repurchased 106,285 shares of our common stock at a cost of $1.8 million.</w:t>
      </w:r>
    </w:p>
    <w:p>
      <w:pPr>
        <w:spacing w:after="0" w:line="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hold these shares as treasury stock, and they are available for reissue. Presently, except for using a small number of these treasury shares to compensate our outside board members, we have no plans to distribute these shares, although we may change these plans if necessary to fulfill our on-going business objectives. We have authority under the Credit Facility to acquire up to 1.5 million shares of our common stock in market purchases. From the date of execution of the Credit Facility through March 31, 2006, we purchased 897,019 shares of our common stock leaving 602,981 remaining shares authorized for purchase under the Credit Facility. In 2006 we may repurchase shares of our common stock if we believe conditions are favorable.</w:t>
      </w:r>
    </w:p>
    <w:p>
      <w:pPr>
        <w:spacing w:after="0" w:line="50"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On September 15, 2003, we entered into a three-year $15.0 million unsecured revolving credit agreement (the “Credit Facility”) with Comerica Bank (“Comerica”). Under the Credit Facility, the interest payable is variable and is based on the bank’s cost of funds or the LIBOR rate plus a fixed margin of</w:t>
      </w:r>
    </w:p>
    <w:p>
      <w:pPr>
        <w:ind w:right="20"/>
        <w:spacing w:after="0" w:line="288" w:lineRule="auto"/>
        <w:rPr>
          <w:sz w:val="20"/>
          <w:szCs w:val="20"/>
          <w:color w:val="auto"/>
        </w:rPr>
      </w:pPr>
      <w:r>
        <w:rPr>
          <w:rFonts w:ascii="Arial" w:cs="Arial" w:eastAsia="Arial" w:hAnsi="Arial"/>
          <w:sz w:val="16"/>
          <w:szCs w:val="16"/>
          <w:color w:val="auto"/>
        </w:rPr>
        <w:t>1.25%. The interest rate in effect as of March 31, 2006 using the LIBOR Rate option plus a fixed margin of 1.25% was 6.08%. We pay a commitment fee ranging from zero to a maximum rate of 1/4 of 1% per year on the unused portion of the credit line depending on the amount of cash investment retained with Comerica during each quarter. Under the terms of this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this Credit Facility are reduced by the outstanding balance of import letters of credit. As of March 31, 2006, we did not have any amounts outstanding under this Credit Facility or any outstanding import letters of credit. Furthermore, as of March 31, 2006, we were in compliance with all financial covenants required by the Credit Facility. This Credit Facility will expire in September 2006, and we are currently negotiating an extension.</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and anticipated growth at least over the next twelve months; however, there can be no assurance that such funds will be adequate for that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Consolidated Financial Statements, which we have prepared in accordance with U.S. generally accepted accounting principles. The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our Board of Directors. Actual results may differ from these estimates under different assumptions or conditions.</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that, other than the adoption of Statement of Financial Accounting Standards (“SFAS”) No. 123 (revised 2004), “Share-Based Payment” (“SFAS 123R”), there have been no significant changes during the three months ended March 31, 2006 to the items that we disclosed as our critical accounting policies and estimates in Item 7, Management’s Discussion and Analysis of Financial Condition and Results of Operations, in our Annual Report on Form 10-K for the fiscal year ended December 31,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Effective January 1, 2006, we adopted the fair value recognition provisions of SFAS 123R, using the modified prospective transition method, and therefore we have not restated prior periods’ results. Under this method we recognize compensation expense for all share-based payments granted after January 1, 2006 and prior to, but not yet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vested as of January 1, 2006, in accordance with SFAS 123R. Under the fair value recognition provisions of SFAS 123R, we recognize stock-based compensation net of an estimated forfeiture rate and only recognize compensation cost for those shares expected to vest on a straight-line basis over the requisite service period of the award. Prior to SFAS 123R adoption, we accounted for share-based payments under Accounting Principles Board Opinion No. 25, “Accounting for Stock Issued to Employees” (“APB 25”), and, accordingly, we generally recognized compensation expense only when we granted options with a discounted exercise price. However, our options are granted at fair market value on the date of the grant.</w:t>
      </w:r>
    </w:p>
    <w:p>
      <w:pPr>
        <w:spacing w:after="0" w:line="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Determining the appropriate fair value model and calculating the fair value of share-based payment awards require the input of highly subjective assumptions, including the expected life of the share-based payment awards and stock price volatility. Management determined that historical volatility calculated based on our actively traded common stock is a better indicator of expected volatility and future stock price trends than implied volatility. Therefore, expected volatility for the quarter ended March 31, 2006 was based on historical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 If our actual forfeiture rate is materially different from our estimate, the amount of stock-based compensation expense could be significantly different from the amount recorded in the current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FASB Staff Position No. 109-1, “Application of FASB Statement No. 109, Accounting for Income Taxes, to the Tax Deduction on Qualified Production Activities Provided by the American Jobs Creation Act of 2004,” (“FSP 109-1”), gives guidance under SFAS No. 109, “Accounting for Income Taxes” (“SFAS 109”) with respect to the provision within the American Jobs Creation Act of 2004 (“Jobs Act”) that provides a tax deduction on qualified production activities. The Jobs Act includes a tax deduction of up to 9 percent (when fully phased-in) of the lesser of (a) “qualified production activities income,” as defined in the Jobs Act, or (b) taxable income (after the deduction for the utilization of any net operating loss carryforwards). This tax deduction is limited to 50 percent of W-2 wages paid by the taxpayer. FSP 109-1 states that an enterprise should account for the deduction as a special deduction in accordance with SFAS 109. In addition, FSP 109-1 requires that the special deduction be considered by an enterprise in (a) measuring deferred taxes when graduated tax rates are a significant factor and (b) assessing whether a valuation allowance is necessary as required by paragraph 232 of SFAS 109. The adoption of FSP 109-1 did not have a material effect on our consolidated financial position, results of operations or cash flows.</w:t>
      </w:r>
    </w:p>
    <w:p>
      <w:pPr>
        <w:spacing w:after="0" w:line="5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FASB Staff Position No. 109-2, “Accounting and Disclosure Guidance for the Foreign Earnings Repatriation Provision within the American Jobs Creation Act of 2004” (“FSP 109-2”), provides guidance under SFAS 109, with respect to recording the potential impact of the repatriation provisions of the American Jobs Act on income tax expense and deferred tax liabilities.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109. The undistributed earnings of our foreign subsidiaries are considered to be indefinitely reinvested. Consequently, this standard did not have a material effect on our consolidated financial position, results of operations or cash flows.</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were required to adopt this standard in the first quarter of 2006, beginning on January 1, 2006. The adoption of SFAS 151 did not have a material effect on our consolidated financial position, results of operations or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were required to adopt the standard in the first quarter of 2006, beginning on January 1, 2006. The adoption of SFAS 153 did not have a material effect on our consolidated financial position, results of operations or cash flows.</w:t>
      </w:r>
    </w:p>
    <w:p>
      <w:pPr>
        <w:spacing w:after="0" w:line="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May 2005, the FASB issued SFAS No. 154, “Accounting Changes and Error Corrections” (“SFAS 154”) which replaces Accounting Principles Board Opinions No. 20 “Accounting Changes” and SFAS No. 3, “Reporting Accounting Changes in Interim Financial Statements—An Amendment of APB Opinion No. 28.” SFAS 154 provides guidance on the accounting for and reporting of accounting changes and error corrections. Unless impracticable, it establishes retrospective application, for fiscal years beginning after December 15, 2005, as the required method for reporting a change in accounting principle and the reporting of a correction of an error. SFAS 154 is effective for accounting changes and corrections of errors made in fiscal years beginning after December 15, 2005 and we were required to adopt the standard in the first quarter of fiscal 2006, beginning on January 1, 2006. The adoption of SFAS 154 did not have a material effect on our consolidated financial position, results of operations or cash flows.</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June 2005, the FASB issued FSP FAS 143-1, “Accounting for Electronic Equipment Waste Obligations” (“FSP 143-1”), which provides guidance on the accounting for certain obligations associated with the Directive on Waste Electrical and Electronic Equipment (the “Directive”), which was adopted by the European Union (“EU”). Under the Directive, the financing of historical waste held by private households is to be borne collectively by producers that are selling in the market during each measurement period (to be defined by each EU-member country). The volume of equipment that qualifies as historical waste that those producers have sold in the market prior to the measurement period is not considered. Producers will be required to contribute proportionately based on their participation in the market (for example, in proportion to their respective shares of the market by type of equipment). However, the exact method to be used to compute the respective proportions to be contributed by producers will be determined by each EU-member country. For commercial users, the waste management obligation for historical equipment (products put on the market on or prior to August 13, 2005) remains with these entities until the equipment is replaced. FSP 143-1 is required to be applied to the later of the first reporting period ending after June 8, 2005 or the date of the Directive’s adoption into law by the applicable EU member countries in which we have significant operations. The adoption of FSP 143-1 did not have a material effect on our consolidated financial position,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 January 1, 2006, we adopted the fair value recognition provisions of SFAS 123R using the modified prospective transition method and therefore have not restated results for prior periods. Our results of operations for the first quarter of 2006 were impacted by the recognition of non-cash expense related to the fair value of our stock-based compensation awards.</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Prior to the adoption of SFAS 123R, we accounted for our stock option plans in accordance with the Accounting Principle Board Opinion No. 25, Accounting for Stock Issued to Employees, and related interpretations. Accordingly, compensation expense was recorded at the date of grant only if the quoted market price of the underlying stock on that date exceeded the exercise price of the options. However, we had provided pro forma net earnings and pro forma net earnings per share disclosures as if the fair value of all stock options as of their respective grant dates were recognized as expense over the vesting periods of those options in accordance with SFAS 123, Accounting for Stock-Based Compensation.</w:t>
      </w:r>
    </w:p>
    <w:p>
      <w:pPr>
        <w:spacing w:after="0" w:line="6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adopted SFAS 123R using the modified prospective method. Under this transition method, compensation costs recognized in the three months ended March 31, 2006 includes: (i) compensation cost for all share-based payments granted prior to, but not yet vested as of January 1, 2006, based on the grant date fair value estimated in accordance with the original provisions of SFAS 123, and (ii) compensation expense for all share-based payments granted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subsequent to December 31, 2005 based on the grant-date fair value estimated in accordance with the provisions of SFAS 123R. In accordance with the modified prospective method, results for the corresponding periods of the prior year have not been restated, and we will continue to disclose the pro forma effect of option grants on net earnings and net earnings per share in our financial statement footnote disclosures.</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first quarter of 2006, we recorded $0.8 million in pre-tax stock-based compensation expense. The stock-based compensation was attributable to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r>
      <w:tr>
        <w:trPr>
          <w:trHeight w:val="439"/>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4"/>
                <w:szCs w:val="24"/>
                <w:color w:val="auto"/>
              </w:rPr>
            </w:pPr>
          </w:p>
        </w:tc>
      </w:tr>
      <w:tr>
        <w:trPr>
          <w:trHeight w:val="20"/>
        </w:trPr>
        <w:tc>
          <w:tcPr>
            <w:tcW w:w="10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total amount of compensation expense related to non-vested awards not yet recognized at March 31, 2006 was $5.8 million assuming the optionees continue to be employed by us, which will be recognized as compensation expense over a weighted-average life of 2.49 years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2006 (remaining nine months)</w:t>
            </w:r>
          </w:p>
        </w:tc>
        <w:tc>
          <w:tcPr>
            <w:tcW w:w="4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2007</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2009</w:t>
            </w:r>
          </w:p>
        </w:tc>
        <w:tc>
          <w:tcPr>
            <w:tcW w:w="4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modifications made to outstanding options prior to the adoption of SAFS 123R. Additionally, there have been no changes in the quantity or type of stock options or terms of share-based payment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the “Management’s Discussion and Analysis of Financial Condition and Results of Operations,” as well as those factors discussed in the 2005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w:t>
      </w:r>
    </w:p>
    <w:p>
      <w:pPr>
        <w:spacing w:after="0" w:line="5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New factors emerge from time to time, and it is not possible for us to predict all such factors, nor can we assess the impact of each such factor on our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of a war or terrorist activities on us or the economy;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strength of our balance sheet; our inability to continue selling our products or licensing our technologies at higher or profitable margins; the failure of the various markets and industries to grow or emerge as rapidly or as successfully as we believe;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the effect the Euro and other foreign currencies could have on our financial results; and other factors that may be listed from time to time in our press releases and filings with the Securities and Exchange Commission.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2006, we will continue to develop new products featuring our Kameleon® interface technology, a display technology that provides ease of use by illuminating only the keys needed to control each entertainment device. We are continuing development of our Nevo® technology, an embedded solution that transforms an electronic display into a sophisticated and easy-to-use wireless home control and automation device. We are continuing to seek ways to integrate these platform technologies into other forms and devices. Nevo 2.0® was launched in July of 2004 as a feature on a series of HP’s handheld devices, which reached its end of life during the third quarter of 2005. Building on this platform, we used some components of the Nevo 2.0® technology in a new product named NevoSL® which we began to ship in the second quarter of 2005. This product is designed for use in the home. In addition, we are working on product line extensions to our One For All® audio/video accessories which include digital antennas, signal boosters, television brackets and A/V cleaning products.</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Through SimpleDevices, 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2006 we look to build relationships with our customers in this category.</w:t>
      </w:r>
    </w:p>
    <w:p>
      <w:pPr>
        <w:spacing w:after="0" w:line="7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2006,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interest payable under our revolving Credit Facility with our bank is variable and based on either (i) the bank’s cost of funds or (ii) the LIBOR rate plus a fixed margin of 1.25%; the rate is affected by changes in market interest rates. At March 31, 2006, we had no borrowings on our Credit Facility. The interest rate in effect on the Credit Facility as of March 31, 2006 using the LIBOR Rate option plus a fixed margin of 1.25% was 6.08%. This Credit Facility will expire in September 2006 and we are currently negotiating an extension.</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March 31, 2006 we had wholly owned subsidiaries in The Netherlands, United Kingdom, Germany, France, Argentina, Spain and Italy.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70"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March 31, 2006, we believe that movements in foreign currency rates could have a material affect on our financial position. We estimate that if the exchange rates for the Euro and the British Pound relative to the U.S. Dollar fluctuate 10% from March 31, 2006, second quarter net income and cash flows would fluctuate by approximately $0.2 million and $4.0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13a-15(c)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not effective, as of the end of the period covered by this report, to ensure that information required to be disclosed by us in reports that we file or submit under the Exchange Act is recorded, processed, summarized and reported within the time periods specified in Securities and Exchange Commission rules and forms.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concluded that a material weakness existed in our internal controls over financial reporting that affected prior periods. The weakness resulted in a failure to correctly state finished goods inventory at the lower-of-cost-or-market.</w:t>
      </w:r>
    </w:p>
    <w:p>
      <w:pPr>
        <w:spacing w:after="0" w:line="6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our 2006 first quarter review of finished goods inventory, we determined that our control over inventory valuation was not properly designed as it did not account for changes in the pricing of conversion costs from our suppliers, and could result in a material misstatement if not corrected. Upon this discovery, we immediately modified our internal control process to correct this weakness in our internal controls over inventory.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have taken steps to improve our internal controls over accounting for inventory. These steps include the following items:</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review and update of our standard conversion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implementation of a more robust lower-of-cost-or-market calculation, to include conversion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redesign of the internal audit testing procedures surrounding the lower-of-cost-or-market calculation.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other changes in the Company’s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risk factors, see “Risk Factors” in Item 1A of Part 1, of our Annual Report on Form 10-K for the fiscal year ended December 31, 2005,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fiscal quarter ended March 31, 2006, we did not sell any equity securities that were not registered under the Securities Act of 1934. In addition, we did not purchase any shares of our common stock during the fiscal quarter ended March 31, 2006.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1520" w:type="dxa"/>
            <w:vAlign w:val="bottom"/>
          </w:tcPr>
          <w:p>
            <w:pPr>
              <w:ind w:left="420"/>
              <w:spacing w:after="0"/>
              <w:rPr>
                <w:sz w:val="20"/>
                <w:szCs w:val="20"/>
                <w:color w:val="auto"/>
              </w:rPr>
            </w:pPr>
            <w:r>
              <w:rPr>
                <w:rFonts w:ascii="Arial" w:cs="Arial" w:eastAsia="Arial" w:hAnsi="Arial"/>
                <w:sz w:val="18"/>
                <w:szCs w:val="18"/>
                <w:color w:val="auto"/>
                <w:w w:val="89"/>
              </w:rPr>
              <w:t>Rule 13a-14(a)</w:t>
            </w:r>
          </w:p>
        </w:tc>
        <w:tc>
          <w:tcPr>
            <w:tcW w:w="8580" w:type="dxa"/>
            <w:vAlign w:val="bottom"/>
          </w:tcPr>
          <w:p>
            <w:pPr>
              <w:ind w:left="20"/>
              <w:spacing w:after="0"/>
              <w:rPr>
                <w:sz w:val="20"/>
                <w:szCs w:val="20"/>
                <w:color w:val="auto"/>
              </w:rPr>
            </w:pPr>
            <w:r>
              <w:rPr>
                <w:rFonts w:ascii="Arial" w:cs="Arial" w:eastAsia="Arial" w:hAnsi="Arial"/>
                <w:sz w:val="18"/>
                <w:szCs w:val="18"/>
                <w:color w:val="auto"/>
              </w:rPr>
              <w:t>Certifications of Paul D. Arling, Chief Executive Officer of Universal Electronics Inc.</w:t>
            </w:r>
          </w:p>
        </w:tc>
      </w:tr>
      <w:tr>
        <w:trPr>
          <w:trHeight w:val="43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1520" w:type="dxa"/>
            <w:vAlign w:val="bottom"/>
          </w:tcPr>
          <w:p>
            <w:pPr>
              <w:ind w:left="420"/>
              <w:spacing w:after="0"/>
              <w:rPr>
                <w:sz w:val="20"/>
                <w:szCs w:val="20"/>
                <w:color w:val="auto"/>
              </w:rPr>
            </w:pPr>
            <w:r>
              <w:rPr>
                <w:rFonts w:ascii="Arial" w:cs="Arial" w:eastAsia="Arial" w:hAnsi="Arial"/>
                <w:sz w:val="18"/>
                <w:szCs w:val="18"/>
                <w:color w:val="auto"/>
                <w:w w:val="89"/>
              </w:rPr>
              <w:t>Rule 13a-14(a)</w:t>
            </w:r>
          </w:p>
        </w:tc>
        <w:tc>
          <w:tcPr>
            <w:tcW w:w="8580" w:type="dxa"/>
            <w:vAlign w:val="bottom"/>
          </w:tcPr>
          <w:p>
            <w:pPr>
              <w:ind w:left="20"/>
              <w:spacing w:after="0"/>
              <w:rPr>
                <w:sz w:val="20"/>
                <w:szCs w:val="20"/>
                <w:color w:val="auto"/>
              </w:rPr>
            </w:pPr>
            <w:r>
              <w:rPr>
                <w:rFonts w:ascii="Arial" w:cs="Arial" w:eastAsia="Arial" w:hAnsi="Arial"/>
                <w:sz w:val="18"/>
                <w:szCs w:val="18"/>
                <w:color w:val="auto"/>
                <w:w w:val="94"/>
              </w:rPr>
              <w:t>Certifications of Bryan Hackworth, Chief Accounting Officer (principal financial officer) of Universal Electronics Inc.</w:t>
            </w:r>
          </w:p>
        </w:tc>
      </w:tr>
    </w:tbl>
    <w:p>
      <w:pPr>
        <w:spacing w:after="0" w:line="202" w:lineRule="exact"/>
        <w:rPr>
          <w:sz w:val="20"/>
          <w:szCs w:val="20"/>
          <w:color w:val="auto"/>
        </w:rPr>
      </w:pPr>
    </w:p>
    <w:p>
      <w:pPr>
        <w:ind w:left="1160" w:hanging="115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Accounting Officer (principal financial officer) of Universal Electronics Inc. pursuant to 18 U.S.C. Section 1350</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Date: May 10, 2006</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of Universal Electronics Inc.</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Rule 13a-14(a) Certifications of Bryan Hackworth, Chief Accounting Officer (principal financial officer) of Universal Electronics Inc.</w:t>
            </w:r>
          </w:p>
        </w:tc>
      </w:tr>
    </w:tbl>
    <w:p>
      <w:pPr>
        <w:spacing w:after="0" w:line="202" w:lineRule="exact"/>
        <w:rPr>
          <w:sz w:val="20"/>
          <w:szCs w:val="20"/>
          <w:color w:val="auto"/>
        </w:rPr>
      </w:pPr>
    </w:p>
    <w:p>
      <w:pPr>
        <w:ind w:left="1160" w:right="20" w:hanging="115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Accounting Officer of Universal Electronics Inc. pursuant to 18 U.S.C. Section 1350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1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Bryan Hackworth, certify that:</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March 31, 2006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187" w:lineRule="exact"/>
        <w:rPr>
          <w:sz w:val="20"/>
          <w:szCs w:val="20"/>
          <w:color w:val="auto"/>
        </w:rPr>
      </w:pPr>
    </w:p>
    <w:p>
      <w:pPr>
        <w:spacing w:after="0"/>
        <w:tabs>
          <w:tab w:leader="none" w:pos="5080" w:val="left"/>
          <w:tab w:leader="none" w:pos="5560" w:val="left"/>
        </w:tabs>
        <w:rPr>
          <w:sz w:val="20"/>
          <w:szCs w:val="20"/>
          <w:color w:val="auto"/>
        </w:rPr>
      </w:pPr>
      <w:r>
        <w:rPr>
          <w:rFonts w:ascii="Arial" w:cs="Arial" w:eastAsia="Arial" w:hAnsi="Arial"/>
          <w:sz w:val="18"/>
          <w:szCs w:val="18"/>
          <w:color w:val="auto"/>
        </w:rPr>
        <w:t>Dated: May 10,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984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left="5100"/>
        <w:spacing w:after="0"/>
        <w:tabs>
          <w:tab w:leader="none" w:pos="5560" w:val="left"/>
        </w:tabs>
        <w:rPr>
          <w:sz w:val="20"/>
          <w:szCs w:val="20"/>
          <w:color w:val="auto"/>
        </w:rPr>
      </w:pPr>
      <w:r>
        <w:rPr>
          <w:rFonts w:ascii="Arial" w:cs="Arial" w:eastAsia="Arial" w:hAnsi="Arial"/>
          <w:sz w:val="18"/>
          <w:szCs w:val="18"/>
          <w:color w:val="auto"/>
        </w:rPr>
        <w:t>By:</w:t>
        <w:tab/>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984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officer)</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25"/>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32"/>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2019-12-13T07:43:16Z</dcterms:created>
  <dcterms:modified xsi:type="dcterms:W3CDTF">2019-12-13T07:43:16Z</dcterms:modified>
</cp:coreProperties>
</file>