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7"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5" w:lineRule="exact"/>
        <w:rPr>
          <w:sz w:val="24"/>
          <w:szCs w:val="24"/>
          <w:color w:val="auto"/>
        </w:rPr>
      </w:pPr>
    </w:p>
    <w:p>
      <w:pPr>
        <w:ind w:left="680" w:right="10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3" w:lineRule="exact"/>
        <w:rPr>
          <w:sz w:val="24"/>
          <w:szCs w:val="24"/>
          <w:color w:val="auto"/>
        </w:rPr>
      </w:pPr>
    </w:p>
    <w:p>
      <w:pPr>
        <w:ind w:left="3480"/>
        <w:spacing w:after="0"/>
        <w:rPr>
          <w:sz w:val="20"/>
          <w:szCs w:val="20"/>
          <w:color w:val="auto"/>
        </w:rPr>
      </w:pPr>
      <w:r>
        <w:rPr>
          <w:rFonts w:ascii="Arial" w:cs="Arial" w:eastAsia="Arial" w:hAnsi="Arial"/>
          <w:sz w:val="22"/>
          <w:szCs w:val="22"/>
          <w:b w:val="1"/>
          <w:bCs w:val="1"/>
          <w:color w:val="auto"/>
        </w:rPr>
        <w:t>For the quarterly period ended September 30, 2021</w:t>
      </w:r>
    </w:p>
    <w:p>
      <w:pPr>
        <w:spacing w:after="0" w:line="5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12"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5" w:lineRule="exact"/>
        <w:rPr>
          <w:sz w:val="24"/>
          <w:szCs w:val="24"/>
          <w:color w:val="auto"/>
        </w:rPr>
      </w:pPr>
    </w:p>
    <w:p>
      <w:pPr>
        <w:ind w:left="3720"/>
        <w:spacing w:after="0"/>
        <w:tabs>
          <w:tab w:leader="none" w:pos="71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1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UNIVERSAL ELECTRONICS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tbl>
      <w:tblPr>
        <w:tblLayout w:type="fixed"/>
        <w:tblInd w:w="2300" w:type="dxa"/>
        <w:tblCellMar>
          <w:top w:w="0" w:type="dxa"/>
          <w:left w:w="0" w:type="dxa"/>
          <w:bottom w:w="0" w:type="dxa"/>
          <w:right w:w="0" w:type="dxa"/>
        </w:tblCellMar>
      </w:tblPr>
      <w:tr>
        <w:trPr>
          <w:trHeight w:val="256"/>
        </w:trPr>
        <w:tc>
          <w:tcPr>
            <w:tcW w:w="3600" w:type="dxa"/>
            <w:vAlign w:val="bottom"/>
          </w:tcPr>
          <w:p>
            <w:pPr>
              <w:jc w:val="center"/>
              <w:ind w:right="1067"/>
              <w:spacing w:after="0"/>
              <w:rPr>
                <w:sz w:val="20"/>
                <w:szCs w:val="20"/>
                <w:color w:val="auto"/>
              </w:rPr>
            </w:pPr>
            <w:r>
              <w:rPr>
                <w:rFonts w:ascii="Arial" w:cs="Arial" w:eastAsia="Arial" w:hAnsi="Arial"/>
                <w:sz w:val="20"/>
                <w:szCs w:val="20"/>
                <w:b w:val="1"/>
                <w:bCs w:val="1"/>
                <w:color w:val="auto"/>
                <w:w w:val="91"/>
              </w:rPr>
              <w:t>Delaware</w:t>
            </w:r>
          </w:p>
        </w:tc>
        <w:tc>
          <w:tcPr>
            <w:tcW w:w="2600" w:type="dxa"/>
            <w:vAlign w:val="bottom"/>
          </w:tcPr>
          <w:p>
            <w:pPr>
              <w:jc w:val="center"/>
              <w:ind w:left="1087"/>
              <w:spacing w:after="0"/>
              <w:rPr>
                <w:sz w:val="20"/>
                <w:szCs w:val="20"/>
                <w:color w:val="auto"/>
              </w:rPr>
            </w:pPr>
            <w:r>
              <w:rPr>
                <w:rFonts w:ascii="Arial" w:cs="Arial" w:eastAsia="Arial" w:hAnsi="Arial"/>
                <w:sz w:val="20"/>
                <w:szCs w:val="20"/>
                <w:b w:val="1"/>
                <w:bCs w:val="1"/>
                <w:color w:val="auto"/>
                <w:w w:val="88"/>
              </w:rPr>
              <w:t>33-0204817</w:t>
            </w:r>
          </w:p>
        </w:tc>
      </w:tr>
      <w:tr>
        <w:trPr>
          <w:trHeight w:val="185"/>
        </w:trPr>
        <w:tc>
          <w:tcPr>
            <w:tcW w:w="3600" w:type="dxa"/>
            <w:vAlign w:val="bottom"/>
          </w:tcPr>
          <w:p>
            <w:pPr>
              <w:jc w:val="center"/>
              <w:ind w:right="1087"/>
              <w:spacing w:after="0" w:line="185" w:lineRule="exact"/>
              <w:rPr>
                <w:sz w:val="20"/>
                <w:szCs w:val="20"/>
                <w:color w:val="auto"/>
              </w:rPr>
            </w:pPr>
            <w:r>
              <w:rPr>
                <w:rFonts w:ascii="Arial" w:cs="Arial" w:eastAsia="Arial" w:hAnsi="Arial"/>
                <w:sz w:val="18"/>
                <w:szCs w:val="18"/>
                <w:b w:val="1"/>
                <w:bCs w:val="1"/>
                <w:color w:val="auto"/>
                <w:w w:val="91"/>
              </w:rPr>
              <w:t>(State or Other Jurisdiction of</w:t>
            </w:r>
          </w:p>
        </w:tc>
        <w:tc>
          <w:tcPr>
            <w:tcW w:w="2600" w:type="dxa"/>
            <w:vAlign w:val="bottom"/>
          </w:tcPr>
          <w:p>
            <w:pPr>
              <w:jc w:val="center"/>
              <w:ind w:left="1087"/>
              <w:spacing w:after="0" w:line="18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00" w:type="dxa"/>
            <w:vAlign w:val="bottom"/>
          </w:tcPr>
          <w:p>
            <w:pPr>
              <w:jc w:val="center"/>
              <w:ind w:right="1087"/>
              <w:spacing w:after="0"/>
              <w:rPr>
                <w:sz w:val="20"/>
                <w:szCs w:val="20"/>
                <w:color w:val="auto"/>
              </w:rPr>
            </w:pPr>
            <w:r>
              <w:rPr>
                <w:rFonts w:ascii="Arial" w:cs="Arial" w:eastAsia="Arial" w:hAnsi="Arial"/>
                <w:sz w:val="18"/>
                <w:szCs w:val="18"/>
                <w:b w:val="1"/>
                <w:bCs w:val="1"/>
                <w:color w:val="auto"/>
                <w:w w:val="93"/>
              </w:rPr>
              <w:t>Incorporation or Organization)</w:t>
            </w:r>
          </w:p>
        </w:tc>
        <w:tc>
          <w:tcPr>
            <w:tcW w:w="2600" w:type="dxa"/>
            <w:vAlign w:val="bottom"/>
          </w:tcPr>
          <w:p>
            <w:pPr>
              <w:jc w:val="center"/>
              <w:ind w:left="1087"/>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130"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2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60"/>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13,101,702 shares of Common Stock, par value $0.01 per share, of the registrant were outstanding on November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jc w:val="center"/>
              <w:ind w:right="1420"/>
              <w:spacing w:after="0"/>
              <w:rPr>
                <w:sz w:val="20"/>
                <w:szCs w:val="20"/>
                <w:color w:val="auto"/>
              </w:rPr>
            </w:pPr>
            <w:r>
              <w:rPr>
                <w:rFonts w:ascii="Arial" w:cs="Arial" w:eastAsia="Arial" w:hAnsi="Arial"/>
                <w:sz w:val="18"/>
                <w:szCs w:val="18"/>
                <w:b w:val="1"/>
                <w:bCs w:val="1"/>
                <w:color w:val="auto"/>
              </w:rPr>
              <w:t>UNIVERSAL ELECTRONICS INC.</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rPr>
              <w:t>INDEX</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Page</w:t>
            </w: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8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rPr>
              <w:t>Number</w:t>
            </w:r>
          </w:p>
        </w:tc>
      </w:tr>
      <w:tr>
        <w:trPr>
          <w:trHeight w:val="209"/>
        </w:trPr>
        <w:tc>
          <w:tcPr>
            <w:tcW w:w="20" w:type="dxa"/>
            <w:vAlign w:val="bottom"/>
          </w:tcPr>
          <w:p>
            <w:pPr>
              <w:spacing w:after="0"/>
              <w:rPr>
                <w:sz w:val="18"/>
                <w:szCs w:val="18"/>
                <w:color w:val="auto"/>
              </w:rPr>
            </w:pPr>
          </w:p>
        </w:tc>
        <w:tc>
          <w:tcPr>
            <w:tcW w:w="3020" w:type="dxa"/>
            <w:vAlign w:val="bottom"/>
            <w:gridSpan w:val="9"/>
          </w:tcPr>
          <w:p>
            <w:pPr>
              <w:spacing w:after="0"/>
              <w:rPr>
                <w:rFonts w:ascii="Arial" w:cs="Arial" w:eastAsia="Arial" w:hAnsi="Arial"/>
                <w:sz w:val="18"/>
                <w:szCs w:val="18"/>
                <w:b w:val="1"/>
                <w:bCs w:val="1"/>
                <w:color w:val="0000FF"/>
                <w:w w:val="99"/>
              </w:rPr>
            </w:pPr>
            <w:hyperlink w:anchor="page2">
              <w:r>
                <w:rPr>
                  <w:rFonts w:ascii="Arial" w:cs="Arial" w:eastAsia="Arial" w:hAnsi="Arial"/>
                  <w:sz w:val="18"/>
                  <w:szCs w:val="18"/>
                  <w:b w:val="1"/>
                  <w:bCs w:val="1"/>
                  <w:color w:val="0000FF"/>
                  <w:w w:val="99"/>
                </w:rPr>
                <w:t>PART I. FINANCIAL INFORMATION</w:t>
              </w:r>
            </w:hyperlink>
          </w:p>
        </w:tc>
        <w:tc>
          <w:tcPr>
            <w:tcW w:w="5620" w:type="dxa"/>
            <w:vAlign w:val="bottom"/>
            <w:gridSpan w:val="8"/>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12"/>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 Consolidated Financial Statements (Unaudited)</w:t>
              </w:r>
            </w:hyperlink>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1680" w:type="dxa"/>
            <w:vAlign w:val="bottom"/>
            <w:gridSpan w:val="6"/>
          </w:tcPr>
          <w:p>
            <w:pPr>
              <w:spacing w:after="0"/>
              <w:rPr>
                <w:sz w:val="18"/>
                <w:szCs w:val="18"/>
                <w:color w:val="auto"/>
              </w:rPr>
            </w:pPr>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w:t>
              </w:r>
            </w:hyperlink>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Comprehensive Income (Loss) Statements</w:t>
              </w:r>
            </w:hyperlink>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Stockholders' Equity</w:t>
              </w:r>
            </w:hyperlink>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8"/>
          </w:tcPr>
          <w:p>
            <w:pPr>
              <w:spacing w:after="0"/>
              <w:rPr>
                <w:rFonts w:ascii="Arial" w:cs="Arial" w:eastAsia="Arial" w:hAnsi="Arial"/>
                <w:sz w:val="18"/>
                <w:szCs w:val="18"/>
                <w:color w:val="0000FF"/>
                <w:w w:val="86"/>
              </w:rPr>
            </w:pPr>
            <w:hyperlink w:anchor="page7">
              <w:r>
                <w:rPr>
                  <w:rFonts w:ascii="Arial" w:cs="Arial" w:eastAsia="Arial" w:hAnsi="Arial"/>
                  <w:sz w:val="18"/>
                  <w:szCs w:val="18"/>
                  <w:color w:val="0000FF"/>
                  <w:w w:val="86"/>
                </w:rPr>
                <w:t>Consolidated Statements of Cash Flows</w:t>
              </w:r>
            </w:hyperlink>
          </w:p>
        </w:tc>
        <w:tc>
          <w:tcPr>
            <w:tcW w:w="700" w:type="dxa"/>
            <w:vAlign w:val="bottom"/>
            <w:gridSpan w:val="2"/>
          </w:tcPr>
          <w:p>
            <w:pPr>
              <w:spacing w:after="0"/>
              <w:rPr>
                <w:sz w:val="18"/>
                <w:szCs w:val="18"/>
                <w:color w:val="auto"/>
              </w:rPr>
            </w:pPr>
          </w:p>
        </w:tc>
        <w:tc>
          <w:tcPr>
            <w:tcW w:w="4920" w:type="dxa"/>
            <w:vAlign w:val="bottom"/>
            <w:gridSpan w:val="6"/>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9"/>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5280" w:type="dxa"/>
            <w:vAlign w:val="bottom"/>
            <w:gridSpan w:val="7"/>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Item 2. Management's Discussion and Analysis of Financial Condition and Results of Operations</w:t>
              </w:r>
            </w:hyperlink>
          </w:p>
        </w:tc>
        <w:tc>
          <w:tcPr>
            <w:tcW w:w="164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5">
              <w:r>
                <w:rPr>
                  <w:rFonts w:ascii="Arial" w:cs="Arial" w:eastAsia="Arial" w:hAnsi="Arial"/>
                  <w:sz w:val="18"/>
                  <w:szCs w:val="18"/>
                  <w:color w:val="0000FF"/>
                  <w:w w:val="79"/>
                </w:rPr>
                <w:t>26</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Item 3. Quantitative and Qualitative Disclosures About Market Risk</w:t>
              </w:r>
            </w:hyperlink>
          </w:p>
        </w:tc>
        <w:tc>
          <w:tcPr>
            <w:tcW w:w="3720" w:type="dxa"/>
            <w:vAlign w:val="bottom"/>
            <w:gridSpan w:val="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40" w:type="dxa"/>
            <w:vAlign w:val="bottom"/>
            <w:gridSpan w:val="1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 Controls and Procedures</w:t>
              </w:r>
            </w:hyperlink>
          </w:p>
        </w:tc>
        <w:tc>
          <w:tcPr>
            <w:tcW w:w="214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OTHER INFORMATION</w:t>
              </w:r>
            </w:hyperlink>
          </w:p>
        </w:tc>
        <w:tc>
          <w:tcPr>
            <w:tcW w:w="5860" w:type="dxa"/>
            <w:vAlign w:val="bottom"/>
            <w:gridSpan w:val="9"/>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Item 1. Legal Proceedings</w:t>
              </w:r>
            </w:hyperlink>
          </w:p>
        </w:tc>
        <w:tc>
          <w:tcPr>
            <w:tcW w:w="6740" w:type="dxa"/>
            <w:vAlign w:val="bottom"/>
            <w:gridSpan w:val="1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Item 1A. Risk Factors</w:t>
              </w:r>
            </w:hyperlink>
          </w:p>
        </w:tc>
        <w:tc>
          <w:tcPr>
            <w:tcW w:w="7040" w:type="dxa"/>
            <w:vAlign w:val="bottom"/>
            <w:gridSpan w:val="1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4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2. Unregistered Sales of Equity Securities and Use of Proceeds</w:t>
              </w:r>
            </w:hyperlink>
          </w:p>
        </w:tc>
        <w:tc>
          <w:tcPr>
            <w:tcW w:w="2140" w:type="dxa"/>
            <w:vAlign w:val="bottom"/>
            <w:gridSpan w:val="4"/>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0000FF"/>
            </w:tcBorders>
            <w:gridSpan w:val="1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6. Exhibits</w:t>
              </w:r>
            </w:hyperlink>
          </w:p>
        </w:tc>
        <w:tc>
          <w:tcPr>
            <w:tcW w:w="3740" w:type="dxa"/>
            <w:vAlign w:val="bottom"/>
            <w:gridSpan w:val="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tcBorders>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7480" w:type="dxa"/>
            <w:vAlign w:val="bottom"/>
            <w:gridSpan w:val="14"/>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40</w:t>
              </w:r>
            </w:hyperlink>
          </w:p>
        </w:tc>
        <w:tc>
          <w:tcPr>
            <w:tcW w:w="44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1600" w:type="dxa"/>
            <w:vAlign w:val="bottom"/>
          </w:tcPr>
          <w:p>
            <w:pPr>
              <w:jc w:val="right"/>
              <w:ind w:right="239"/>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202"/>
        </w:trPr>
        <w:tc>
          <w:tcPr>
            <w:tcW w:w="7480" w:type="dxa"/>
            <w:vAlign w:val="bottom"/>
            <w:tcBorders>
              <w:top w:val="single" w:sz="8" w:color="CCEEFF"/>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139,894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129,433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9,685</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123,981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120,430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receivable</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326,843</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79,199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87,285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48,614</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20,695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19,710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19,522</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12"/>
        </w:trPr>
        <w:tc>
          <w:tcPr>
            <w:tcW w:w="74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513,524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510,290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shd w:val="clear" w:color="auto" w:fill="CCEEFF"/>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83,229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Line of credit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sales discounts, rebates and royalties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10,758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income taxes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33,057</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179,510</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obligations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Contingent consideration</w:t>
            </w:r>
          </w:p>
        </w:tc>
        <w:tc>
          <w:tcPr>
            <w:tcW w:w="22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6"/>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218,286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196,989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stock, $0.01 par value, 50,000,000 shares authorized; 24,627,589 and 24,391,595 shares issued on</w:t>
            </w: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September 30, 2021 and December 31, 2020, respectively</w:t>
            </w: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Paid-in capital</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302,084</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2"/>
              </w:rPr>
              <w:t>Treasury stock, at cost, 11,476,672 and 10,618,002 shares on September 30, 2021 and December 31, 2020,</w:t>
            </w: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(339,712)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(295,495)</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336,621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324,990</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295,238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313,301</w:t>
            </w:r>
          </w:p>
        </w:tc>
        <w:tc>
          <w:tcPr>
            <w:tcW w:w="0" w:type="dxa"/>
            <w:vAlign w:val="bottom"/>
          </w:tcPr>
          <w:p>
            <w:pPr>
              <w:spacing w:after="0"/>
              <w:rPr>
                <w:sz w:val="1"/>
                <w:szCs w:val="1"/>
                <w:color w:val="auto"/>
              </w:rPr>
            </w:pPr>
          </w:p>
        </w:tc>
      </w:tr>
      <w:tr>
        <w:trPr>
          <w:trHeight w:val="213"/>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513,524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510,290</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348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155,625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458,416</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109,805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319,777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333,244</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125,172</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22,979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77,441</w:t>
            </w:r>
          </w:p>
        </w:tc>
        <w:tc>
          <w:tcPr>
            <w:tcW w:w="0" w:type="dxa"/>
            <w:vAlign w:val="bottom"/>
          </w:tcPr>
          <w:p>
            <w:pPr>
              <w:spacing w:after="0"/>
              <w:rPr>
                <w:sz w:val="1"/>
                <w:szCs w:val="1"/>
                <w:color w:val="auto"/>
              </w:rPr>
            </w:pPr>
          </w:p>
        </w:tc>
      </w:tr>
      <w:tr>
        <w:trPr>
          <w:trHeight w:val="207"/>
        </w:trPr>
        <w:tc>
          <w:tcPr>
            <w:tcW w:w="43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24,752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color w:val="auto"/>
              </w:rPr>
              <w:t>Loss on sale of Argentina subsidiary</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social insurance adjustment</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9,464</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31,681</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5,267</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in computing earnings per share: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80" w:type="dxa"/>
            <w:vAlign w:val="bottom"/>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26,414</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foreign currency translation adjustment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166"/>
        </w:trPr>
        <w:tc>
          <w:tcPr>
            <w:tcW w:w="4400" w:type="dxa"/>
            <w:vAlign w:val="bottom"/>
          </w:tcPr>
          <w:p>
            <w:pPr>
              <w:ind w:left="360"/>
              <w:spacing w:after="0" w:line="166" w:lineRule="exact"/>
              <w:rPr>
                <w:sz w:val="20"/>
                <w:szCs w:val="20"/>
                <w:color w:val="auto"/>
              </w:rPr>
            </w:pPr>
            <w:r>
              <w:rPr>
                <w:rFonts w:ascii="Arial" w:cs="Arial" w:eastAsia="Arial" w:hAnsi="Arial"/>
                <w:sz w:val="16"/>
                <w:szCs w:val="16"/>
                <w:color w:val="auto"/>
              </w:rPr>
              <w:t>Change in foreign currency translation due to sale of</w:t>
            </w:r>
          </w:p>
        </w:tc>
        <w:tc>
          <w:tcPr>
            <w:tcW w:w="10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5,425</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5,425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400" w:type="dxa"/>
            <w:vAlign w:val="bottom"/>
          </w:tcPr>
          <w:p>
            <w:pPr>
              <w:ind w:left="360"/>
              <w:spacing w:after="0"/>
              <w:rPr>
                <w:sz w:val="20"/>
                <w:szCs w:val="20"/>
                <w:color w:val="auto"/>
              </w:rPr>
            </w:pPr>
            <w:r>
              <w:rPr>
                <w:rFonts w:ascii="Arial" w:cs="Arial" w:eastAsia="Arial" w:hAnsi="Arial"/>
                <w:sz w:val="16"/>
                <w:szCs w:val="16"/>
                <w:color w:val="auto"/>
              </w:rPr>
              <w:t>Argentina subsidiary</w:t>
            </w:r>
          </w:p>
        </w:tc>
        <w:tc>
          <w:tcPr>
            <w:tcW w:w="10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top w:val="single" w:sz="8" w:color="auto"/>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11,173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23,640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and nine months ended September 30,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82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24,392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(295,495)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324,990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313,301</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6,993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6,993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166"/>
        </w:trPr>
        <w:tc>
          <w:tcPr>
            <w:tcW w:w="362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Stock options exercised</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6"/>
        </w:trPr>
        <w:tc>
          <w:tcPr>
            <w:tcW w:w="3620" w:type="dxa"/>
            <w:vAlign w:val="bottom"/>
          </w:tcPr>
          <w:p>
            <w:pPr>
              <w:ind w:left="20"/>
              <w:spacing w:after="0"/>
              <w:rPr>
                <w:sz w:val="20"/>
                <w:szCs w:val="20"/>
                <w:color w:val="auto"/>
              </w:rPr>
            </w:pPr>
            <w:r>
              <w:rPr>
                <w:rFonts w:ascii="Arial" w:cs="Arial" w:eastAsia="Arial" w:hAnsi="Arial"/>
                <w:sz w:val="16"/>
                <w:szCs w:val="16"/>
                <w:color w:val="auto"/>
              </w:rPr>
              <w:t>Balance at March 31, 2021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24,581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(306,446)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306,226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331,983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310,619</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5,593</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4,043</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(15,733)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6"/>
        </w:trPr>
        <w:tc>
          <w:tcPr>
            <w:tcW w:w="3620" w:type="dxa"/>
            <w:vAlign w:val="bottom"/>
          </w:tcPr>
          <w:p>
            <w:pPr>
              <w:ind w:left="20"/>
              <w:spacing w:after="0"/>
              <w:rPr>
                <w:sz w:val="20"/>
                <w:szCs w:val="20"/>
                <w:color w:val="auto"/>
              </w:rPr>
            </w:pPr>
            <w:r>
              <w:rPr>
                <w:rFonts w:ascii="Arial" w:cs="Arial" w:eastAsia="Arial" w:hAnsi="Arial"/>
                <w:sz w:val="16"/>
                <w:szCs w:val="16"/>
                <w:color w:val="auto"/>
              </w:rPr>
              <w:t>Balance at June 30, 2021</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24,604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(322,179)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309,072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337,576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307,368</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Change in foreign currency translation due to sale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5,425</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Argentina subsidiary</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62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(17,533)</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2021</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24,628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(339,712)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311,964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336,621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295,238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and nine months ended September 30, 2020:</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00" w:type="dxa"/>
            <w:vAlign w:val="bottom"/>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0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82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24,118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(277,817)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288,338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286,418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274,399</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5,846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5,846</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0" w:type="dxa"/>
            <w:vAlign w:val="bottom"/>
          </w:tcPr>
          <w:p>
            <w:pPr>
              <w:spacing w:after="0"/>
              <w:rPr>
                <w:sz w:val="1"/>
                <w:szCs w:val="1"/>
                <w:color w:val="auto"/>
              </w:rPr>
            </w:pPr>
          </w:p>
        </w:tc>
      </w:tr>
      <w:tr>
        <w:trPr>
          <w:trHeight w:val="166"/>
        </w:trPr>
        <w:tc>
          <w:tcPr>
            <w:tcW w:w="360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2020</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24,256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(284,108)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292,264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269,959</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14,400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14,400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166"/>
        </w:trPr>
        <w:tc>
          <w:tcPr>
            <w:tcW w:w="360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7"/>
        </w:trPr>
        <w:tc>
          <w:tcPr>
            <w:tcW w:w="3600" w:type="dxa"/>
            <w:vAlign w:val="bottom"/>
          </w:tcPr>
          <w:p>
            <w:pPr>
              <w:spacing w:after="0"/>
              <w:rPr>
                <w:sz w:val="20"/>
                <w:szCs w:val="20"/>
                <w:color w:val="auto"/>
              </w:rPr>
            </w:pPr>
            <w:r>
              <w:rPr>
                <w:rFonts w:ascii="Arial" w:cs="Arial" w:eastAsia="Arial" w:hAnsi="Arial"/>
                <w:sz w:val="16"/>
                <w:szCs w:val="16"/>
                <w:color w:val="auto"/>
              </w:rPr>
              <w:t>Balance at June 30, 2020</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24,269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(284,222)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294,007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(30,560)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306,664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286,132</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Currency translation adjustment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5,005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5,005</w:t>
            </w:r>
          </w:p>
        </w:tc>
        <w:tc>
          <w:tcPr>
            <w:tcW w:w="0" w:type="dxa"/>
            <w:vAlign w:val="bottom"/>
          </w:tcPr>
          <w:p>
            <w:pPr>
              <w:spacing w:after="0"/>
              <w:rPr>
                <w:sz w:val="1"/>
                <w:szCs w:val="1"/>
                <w:color w:val="auto"/>
              </w:rPr>
            </w:pPr>
          </w:p>
        </w:tc>
      </w:tr>
      <w:tr>
        <w:trPr>
          <w:trHeight w:val="169"/>
        </w:trPr>
        <w:tc>
          <w:tcPr>
            <w:tcW w:w="36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Purchase of treasury shares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(3,417)</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color w:val="auto"/>
              </w:rPr>
              <w:t>Balance at September 30, 2020</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24,293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(287,639)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296,674</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(25,555)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312,832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296,555</w:t>
            </w: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11,631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26,414</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22,857</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Provision for credit losses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Shares issued for employee benefit plan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Employee and director stock-based compensation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6,854</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Performance-based common stock warrants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Impairment of long-term assets</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Loss on sale of Argentina subsidiary, net of cash transferred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Accrued social insurance adjustment</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(9,464)</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Loss on sale of Ohio call center</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Accounts receivable and contract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11,556</w:t>
            </w: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30,466</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(50,507)</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2,023</w:t>
            </w:r>
          </w:p>
        </w:tc>
      </w:tr>
      <w:tr>
        <w:trPr>
          <w:trHeight w:val="207"/>
        </w:trPr>
        <w:tc>
          <w:tcPr>
            <w:tcW w:w="8260" w:type="dxa"/>
            <w:vAlign w:val="bottom"/>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43,827</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(10,864)</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Payment on sale of Ohio call center</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26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(16,618)</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Borrowings under line of credit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Repayments on line of credit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(88,000)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stock options exercised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Treasury stock purchased</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(44,217)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(9,822)</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 payments in connection with business combinations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w:t>
            </w:r>
          </w:p>
        </w:tc>
      </w:tr>
      <w:tr>
        <w:trPr>
          <w:trHeight w:val="206"/>
        </w:trPr>
        <w:tc>
          <w:tcPr>
            <w:tcW w:w="8260" w:type="dxa"/>
            <w:vAlign w:val="bottom"/>
          </w:tcPr>
          <w:p>
            <w:pPr>
              <w:ind w:left="560"/>
              <w:spacing w:after="0"/>
              <w:rPr>
                <w:sz w:val="20"/>
                <w:szCs w:val="20"/>
                <w:color w:val="auto"/>
              </w:rPr>
            </w:pPr>
            <w:r>
              <w:rPr>
                <w:rFonts w:ascii="Arial" w:cs="Arial" w:eastAsia="Arial" w:hAnsi="Arial"/>
                <w:sz w:val="16"/>
                <w:szCs w:val="16"/>
                <w:color w:val="auto"/>
              </w:rPr>
              <w:t>Net cash used for financing activities</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(10,226)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(30,913)</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(7,156)</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74,302</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67,146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1,404</w:t>
            </w: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nine months ended September 30, 2021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stock-based compensation expense and performance-based common stock warrants.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coronavirus ("COVID-19") pandemic and the mitigation efforts by governments to attempt to control its spread have created uncertainties and disruptions in the economic and financial markets. While we are not currently aware of events or circumstances that would require an update to our estimates, judgments or adjustments to the carrying values of our assets or liabilities, these estimates may change as developments occur and we obtain additional information. These future developments are highly uncertain and the outcomes are unpredictable. Actual results may differ from those estimates, and such differences may be material to the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the following policy, our significant accounting policies are unchanged from those disclosed in Note 2 to the consolidated financial statements included in our Annual Report on Form 10-K for the year ended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license our symbolic intellectual property which includes our patented technologies and database of control codes. Revenue is recognized for these licensing arrangements on an over-time basis. We record license revenue for per-unit based licenses when our customers manufacture or ship a product incorporating our intellectual property and we have a present right to payment. We record per-unit-based licenses with minimum guarantees ratably over the license period to which the minimum guarantee relates and any per-unit sales in excess of the minimum guarantee in the period in which the sale occurs. We record licenses with fixed consideration ratably over the license period. Tiered royalties are recorded on a straight-line basis according to the forecasted per-unit fees taking into account the pricing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2019, the FASB issued ASU 2019-12, "Simplifying the Accounting for Income Taxes", which,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previous guidance, an entity recognized the effects of the enacted tax law change on the effective income tax rate in the period that included the effective date of the tax law. Our adoption of this guidance on January 1, 2021 did not have a material impact on our consolidated statement of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FASB issued ASU 2020-04, "Facilitation of the Effects of Reference Rate Reform on Financial Reporting" and in January 2021, the FASB issued ASU 2021-01, "Reference Rate Reform". This guidance is intended to provide temporary optional expedients and exceptions to GAAP guidance on contract modifications and hedge accounting to ease the financial reporting burden related to the expected market transition from the London Interbank Offered Rate ("LIBOR") and other interbank offered rates to alternative reference rates. The amendments in these ASUs are elective and are effective upon issuance for all entities through December 31, 2022. These amendments are not expected to have a material impact on our consolidated statement of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213"/>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7,663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People's Republic of China ("PRC")</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(excluding the PRC)</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58,825</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Note 3 — Revenue and Accounts Receivable, Net</w:t>
            </w: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4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i w:val="1"/>
                <w:iCs w:val="1"/>
                <w:color w:val="auto"/>
              </w:rPr>
              <w:t>Revenue Details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color w:val="auto"/>
              </w:rPr>
              <w:t>The pattern of revenue recognition was as follows: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right"/>
              <w:ind w:right="51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9"/>
              </w:rPr>
              <w:t>371,921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365,902</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87"/>
              </w:rPr>
              <w:t>26,095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25,848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84,737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92,514</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153,505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w w:val="89"/>
              </w:rPr>
              <w:t>456,658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458,416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203,981</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Asia (excluding PRC)</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100,247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86,043</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72,625</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71,242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63,653</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19,462</w:t>
            </w:r>
          </w:p>
        </w:tc>
      </w:tr>
      <w:tr>
        <w:trPr>
          <w:trHeight w:val="248"/>
        </w:trPr>
        <w:tc>
          <w:tcPr>
            <w:tcW w:w="4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458,416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95" w:lineRule="exact"/>
        <w:rPr>
          <w:sz w:val="20"/>
          <w:szCs w:val="20"/>
          <w:color w:val="auto"/>
        </w:rPr>
      </w:pPr>
    </w:p>
    <w:tbl>
      <w:tblPr>
        <w:tblLayout w:type="fixed"/>
        <w:tblInd w:w="4260" w:type="dxa"/>
        <w:tblCellMar>
          <w:top w:w="0" w:type="dxa"/>
          <w:left w:w="0" w:type="dxa"/>
          <w:bottom w:w="0" w:type="dxa"/>
          <w:right w:w="0" w:type="dxa"/>
        </w:tblCellMar>
      </w:tblPr>
      <w:tr>
        <w:trPr>
          <w:trHeight w:val="192"/>
        </w:trPr>
        <w:tc>
          <w:tcPr>
            <w:tcW w:w="12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Three Months Ended September 30,</w:t>
            </w:r>
          </w:p>
        </w:tc>
        <w:tc>
          <w:tcPr>
            <w:tcW w:w="2140" w:type="dxa"/>
            <w:vAlign w:val="bottom"/>
            <w:tcBorders>
              <w:bottom w:val="single" w:sz="8" w:color="auto"/>
            </w:tcBorders>
          </w:tcPr>
          <w:p>
            <w:pPr>
              <w:spacing w:after="0"/>
              <w:rPr>
                <w:sz w:val="16"/>
                <w:szCs w:val="16"/>
                <w:color w:val="auto"/>
              </w:rPr>
            </w:pPr>
          </w:p>
        </w:tc>
      </w:tr>
      <w:tr>
        <w:trPr>
          <w:trHeight w:val="187"/>
        </w:trPr>
        <w:tc>
          <w:tcPr>
            <w:tcW w:w="1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134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b w:val="1"/>
                <w:bCs w:val="1"/>
                <w:color w:val="auto"/>
              </w:rPr>
              <w:t>2020</w:t>
            </w:r>
          </w:p>
        </w:tc>
      </w:tr>
      <w:tr>
        <w:trPr>
          <w:trHeight w:val="181"/>
        </w:trPr>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 (thousands)</w:t>
            </w:r>
          </w:p>
        </w:tc>
        <w:tc>
          <w:tcPr>
            <w:tcW w:w="1900" w:type="dxa"/>
            <w:vAlign w:val="bottom"/>
          </w:tcPr>
          <w:p>
            <w:pPr>
              <w:jc w:val="right"/>
              <w:ind w:right="228"/>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Pr>
          <w:p>
            <w:pPr>
              <w:spacing w:after="0"/>
              <w:rPr>
                <w:sz w:val="15"/>
                <w:szCs w:val="15"/>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 (thousands)</w:t>
            </w:r>
          </w:p>
        </w:tc>
        <w:tc>
          <w:tcPr>
            <w:tcW w:w="2140" w:type="dxa"/>
            <w:vAlign w:val="bottom"/>
          </w:tcPr>
          <w:p>
            <w:pPr>
              <w:jc w:val="right"/>
              <w:ind w:right="548"/>
              <w:spacing w:after="0"/>
              <w:rPr>
                <w:sz w:val="20"/>
                <w:szCs w:val="20"/>
                <w:color w:val="auto"/>
              </w:rPr>
            </w:pPr>
            <w:r>
              <w:rPr>
                <w:rFonts w:ascii="Arial" w:cs="Arial" w:eastAsia="Arial" w:hAnsi="Arial"/>
                <w:sz w:val="14"/>
                <w:szCs w:val="14"/>
                <w:b w:val="1"/>
                <w:bCs w:val="1"/>
                <w:color w:val="auto"/>
              </w:rPr>
              <w:t>% of Net Sales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60" w:type="dxa"/>
            <w:vAlign w:val="bottom"/>
            <w:tcBorders>
              <w:top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22,578</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32,533</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340" w:type="dxa"/>
            <w:vAlign w:val="bottom"/>
            <w:tcBorders>
              <w:top w:val="single" w:sz="8" w:color="CCEEFF"/>
            </w:tcBorders>
            <w:shd w:val="clear" w:color="auto" w:fill="CCEEFF"/>
          </w:tcPr>
          <w:p>
            <w:pPr>
              <w:spacing w:after="0"/>
              <w:rPr>
                <w:sz w:val="19"/>
                <w:szCs w:val="19"/>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60" w:type="dxa"/>
            <w:vAlign w:val="bottom"/>
            <w:gridSpan w:val="2"/>
          </w:tcPr>
          <w:p>
            <w:pPr>
              <w:jc w:val="right"/>
              <w:ind w:right="179"/>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20,610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13.2 %</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2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 xml:space="preserve"> (1)</w:t>
            </w:r>
          </w:p>
        </w:tc>
        <w:tc>
          <w:tcPr>
            <w:tcW w:w="140" w:type="dxa"/>
            <w:vAlign w:val="bottom"/>
          </w:tcPr>
          <w:p>
            <w:pPr>
              <w:spacing w:after="0"/>
              <w:rPr>
                <w:sz w:val="19"/>
                <w:szCs w:val="19"/>
                <w:color w:val="auto"/>
              </w:rPr>
            </w:pPr>
          </w:p>
        </w:tc>
        <w:tc>
          <w:tcPr>
            <w:tcW w:w="1800" w:type="dxa"/>
            <w:vAlign w:val="bottom"/>
            <w:gridSpan w:val="2"/>
          </w:tcPr>
          <w:p>
            <w:pPr>
              <w:ind w:left="1060"/>
              <w:spacing w:after="0" w:line="230" w:lineRule="exact"/>
              <w:rPr>
                <w:sz w:val="20"/>
                <w:szCs w:val="20"/>
                <w:color w:val="auto"/>
              </w:rPr>
            </w:pPr>
            <w:r>
              <w:rPr>
                <w:rFonts w:ascii="Arial" w:cs="Arial" w:eastAsia="Arial" w:hAnsi="Arial"/>
                <w:sz w:val="26"/>
                <w:szCs w:val="26"/>
                <w:color w:val="auto"/>
                <w:vertAlign w:val="subscript"/>
              </w:rPr>
              <w:t>— %</w:t>
            </w:r>
            <w:r>
              <w:rPr>
                <w:rFonts w:ascii="Arial" w:cs="Arial" w:eastAsia="Arial" w:hAnsi="Arial"/>
                <w:sz w:val="10"/>
                <w:szCs w:val="10"/>
                <w:color w:val="auto"/>
              </w:rPr>
              <w:t xml:space="preserve"> (1)</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Sony Corporation</w:t>
            </w:r>
          </w:p>
        </w:tc>
        <w:tc>
          <w:tcPr>
            <w:tcW w:w="36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1480" w:type="dxa"/>
            <w:vAlign w:val="bottom"/>
            <w:gridSpan w:val="4"/>
            <w:shd w:val="clear" w:color="auto" w:fill="CCEEFF"/>
          </w:tcPr>
          <w:p>
            <w:pPr>
              <w:jc w:val="right"/>
              <w:ind w:right="38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 xml:space="preserve"> (1)</w:t>
            </w:r>
          </w:p>
        </w:tc>
        <w:tc>
          <w:tcPr>
            <w:tcW w:w="1640" w:type="dxa"/>
            <w:vAlign w:val="bottom"/>
            <w:gridSpan w:val="3"/>
            <w:shd w:val="clear" w:color="auto" w:fill="CCEEFF"/>
          </w:tcPr>
          <w:p>
            <w:pPr>
              <w:ind w:left="900"/>
              <w:spacing w:after="0" w:line="230" w:lineRule="exact"/>
              <w:rPr>
                <w:sz w:val="20"/>
                <w:szCs w:val="20"/>
                <w:color w:val="auto"/>
              </w:rPr>
            </w:pPr>
            <w:r>
              <w:rPr>
                <w:rFonts w:ascii="Arial" w:cs="Arial" w:eastAsia="Arial" w:hAnsi="Arial"/>
                <w:sz w:val="26"/>
                <w:szCs w:val="26"/>
                <w:color w:val="auto"/>
                <w:vertAlign w:val="subscript"/>
              </w:rPr>
              <w:t>— %</w:t>
            </w:r>
            <w:r>
              <w:rPr>
                <w:rFonts w:ascii="Arial" w:cs="Arial" w:eastAsia="Arial" w:hAnsi="Arial"/>
                <w:sz w:val="10"/>
                <w:szCs w:val="10"/>
                <w:color w:val="auto"/>
              </w:rPr>
              <w:t xml:space="preserve">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15,927</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340" w:type="dxa"/>
            <w:vAlign w:val="bottom"/>
            <w:shd w:val="clear" w:color="auto" w:fill="CCEEFF"/>
          </w:tcPr>
          <w:p>
            <w:pPr>
              <w:spacing w:after="0"/>
              <w:rPr>
                <w:sz w:val="19"/>
                <w:szCs w:val="19"/>
                <w:color w:val="auto"/>
              </w:rPr>
            </w:pPr>
          </w:p>
        </w:tc>
      </w:tr>
      <w:tr>
        <w:trPr>
          <w:trHeight w:val="291"/>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187"/>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18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r>
      <w:tr>
        <w:trPr>
          <w:trHeight w:val="183"/>
        </w:trPr>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87"/>
              </w:rPr>
              <w:t>(thousands)</w:t>
            </w: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 Net Sales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 (thousands)</w:t>
            </w:r>
          </w:p>
        </w:tc>
        <w:tc>
          <w:tcPr>
            <w:tcW w:w="140" w:type="dxa"/>
            <w:vAlign w:val="bottom"/>
          </w:tcPr>
          <w:p>
            <w:pPr>
              <w:spacing w:after="0"/>
              <w:rPr>
                <w:sz w:val="15"/>
                <w:szCs w:val="15"/>
                <w:color w:val="auto"/>
              </w:rPr>
            </w:pPr>
          </w:p>
        </w:tc>
        <w:tc>
          <w:tcPr>
            <w:tcW w:w="180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 Net Sales</w:t>
            </w:r>
          </w:p>
        </w:tc>
      </w:tr>
      <w:tr>
        <w:trPr>
          <w:trHeight w:val="224"/>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74,478</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95,014</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340" w:type="dxa"/>
            <w:vAlign w:val="bottom"/>
            <w:tcBorders>
              <w:top w:val="single" w:sz="8" w:color="CCEEFF"/>
            </w:tcBorders>
            <w:shd w:val="clear" w:color="auto" w:fill="CCEEFF"/>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6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54,495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140" w:type="dxa"/>
            <w:vAlign w:val="bottom"/>
          </w:tcPr>
          <w:p>
            <w:pPr>
              <w:spacing w:after="0"/>
              <w:rPr>
                <w:sz w:val="20"/>
                <w:szCs w:val="20"/>
                <w:color w:val="auto"/>
              </w:rPr>
            </w:pPr>
          </w:p>
        </w:tc>
        <w:tc>
          <w:tcPr>
            <w:tcW w:w="1800" w:type="dxa"/>
            <w:vAlign w:val="bottom"/>
            <w:gridSpan w:val="2"/>
          </w:tcPr>
          <w:p>
            <w:pPr>
              <w:ind w:left="10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1"/>
                <w:szCs w:val="11"/>
                <w:color w:val="auto"/>
              </w:rPr>
              <w:t>(1)</w:t>
            </w:r>
          </w:p>
        </w:tc>
      </w:tr>
    </w:tbl>
    <w:p>
      <w:pPr>
        <w:spacing w:after="0" w:line="302"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Sales associated with this customer did not total more than 10% of our net sales for the indicated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122,828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131,067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120,655</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129,433</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540" w:right="3380" w:hanging="5208"/>
        <w:spacing w:after="0" w:line="899" w:lineRule="auto"/>
        <w:tabs>
          <w:tab w:leader="none" w:pos="646"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Other accounts receivable is primarily comprised of value added tax and supplier rebate receivables.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ectPr>
          <w:pgSz w:w="11900" w:h="16838" w:orient="portrait"/>
          <w:cols w:equalWidth="0" w:num="1">
            <w:col w:w="11240"/>
          </w:cols>
          <w:pgMar w:left="320" w:top="118"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allowance for credit losses were as follows:</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Write-offs/Foreign exchange effects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056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29"/>
        </w:trPr>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80" w:space="720"/>
            <w:col w:w="3640"/>
          </w:cols>
          <w:pgMar w:left="320" w:top="118"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this significant customer that totaled more than 10% of our accounts receivable,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ind w:right="87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460" w:type="dxa"/>
            <w:vAlign w:val="bottom"/>
            <w:gridSpan w:val="2"/>
          </w:tcPr>
          <w:p>
            <w:pPr>
              <w:jc w:val="right"/>
              <w:ind w:right="190"/>
              <w:spacing w:after="0" w:line="135" w:lineRule="exact"/>
              <w:rPr>
                <w:sz w:val="20"/>
                <w:szCs w:val="20"/>
                <w:color w:val="auto"/>
              </w:rPr>
            </w:pPr>
            <w:r>
              <w:rPr>
                <w:rFonts w:ascii="Arial" w:cs="Arial" w:eastAsia="Arial" w:hAnsi="Arial"/>
                <w:sz w:val="14"/>
                <w:szCs w:val="14"/>
                <w:b w:val="1"/>
                <w:bCs w:val="1"/>
                <w:color w:val="auto"/>
              </w:rPr>
              <w:t>% of Accounts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 (thousands)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 of Accounts</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Receivable, Net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176"/>
              <w:spacing w:after="0"/>
              <w:rPr>
                <w:sz w:val="20"/>
                <w:szCs w:val="20"/>
                <w:color w:val="auto"/>
              </w:rPr>
            </w:pPr>
            <w:r>
              <w:rPr>
                <w:rFonts w:ascii="Arial" w:cs="Arial" w:eastAsia="Arial" w:hAnsi="Arial"/>
                <w:sz w:val="14"/>
                <w:szCs w:val="14"/>
                <w:b w:val="1"/>
                <w:bCs w:val="1"/>
                <w:color w:val="auto"/>
              </w:rPr>
              <w:t>Receivable, Net</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21,517</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19,782</w:t>
            </w: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540"/>
        </w:trPr>
        <w:tc>
          <w:tcPr>
            <w:tcW w:w="4740" w:type="dxa"/>
            <w:vAlign w:val="bottom"/>
          </w:tcPr>
          <w:p>
            <w:pPr>
              <w:spacing w:after="0"/>
              <w:rPr>
                <w:sz w:val="20"/>
                <w:szCs w:val="20"/>
                <w:color w:val="auto"/>
              </w:rPr>
            </w:pPr>
            <w:r>
              <w:rPr>
                <w:rFonts w:ascii="Arial" w:cs="Arial" w:eastAsia="Arial" w:hAnsi="Arial"/>
                <w:sz w:val="18"/>
                <w:szCs w:val="18"/>
                <w:b w:val="1"/>
                <w:bCs w:val="1"/>
                <w:color w:val="auto"/>
              </w:rPr>
              <w:t>Note 4 — Inventories and Significant Suppliers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rPr>
              <w:t>Inventories were as follows: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4"/>
              </w:rPr>
              <w:t>September 30, 2021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jc w:val="right"/>
              <w:ind w:right="216"/>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42,907</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16,954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Purchases from the following supplier totaled more than 10% of our total inventory purchases: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08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200" w:type="dxa"/>
            <w:vAlign w:val="bottom"/>
          </w:tcPr>
          <w:p>
            <w:pPr>
              <w:spacing w:after="0"/>
              <w:rPr>
                <w:sz w:val="11"/>
                <w:szCs w:val="11"/>
                <w:color w:val="auto"/>
              </w:rPr>
            </w:pPr>
          </w:p>
        </w:tc>
        <w:tc>
          <w:tcPr>
            <w:tcW w:w="15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Purchases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12,064</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08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200" w:type="dxa"/>
            <w:vAlign w:val="bottom"/>
          </w:tcPr>
          <w:p>
            <w:pPr>
              <w:spacing w:after="0"/>
              <w:rPr>
                <w:sz w:val="11"/>
                <w:szCs w:val="11"/>
                <w:color w:val="auto"/>
              </w:rPr>
            </w:pPr>
          </w:p>
        </w:tc>
        <w:tc>
          <w:tcPr>
            <w:tcW w:w="15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Purchases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31,677</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29,679</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Zhejiang Zhen You Electronics Co. Ltd. totaled $9.4 million and 11.0% of our accounts payable balance at September 30, 2021. No supplier totaled 10% or more of our accounts payable balance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Long-lived 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64,197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22,410</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long-lived 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plant, and equipment are shown net of accumulated depreciation of $164.5 million and $154.2 million at September 30, 2021 and December 31,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exchange effects</w:t>
            </w: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20" w:type="dxa"/>
            <w:vAlign w:val="bottom"/>
            <w:gridSpan w:val="4"/>
          </w:tcPr>
          <w:p>
            <w:pPr>
              <w:spacing w:after="0"/>
              <w:rPr>
                <w:sz w:val="20"/>
                <w:szCs w:val="20"/>
                <w:color w:val="auto"/>
              </w:rPr>
            </w:pPr>
            <w:r>
              <w:rPr>
                <w:rFonts w:ascii="Arial" w:cs="Arial" w:eastAsia="Arial" w:hAnsi="Arial"/>
                <w:sz w:val="18"/>
                <w:szCs w:val="18"/>
                <w:color w:val="auto"/>
                <w:w w:val="95"/>
              </w:rPr>
              <w:t>The components of intangible assets, net were as follows: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2021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9"/>
                <w:szCs w:val="9"/>
                <w:b w:val="1"/>
                <w:bCs w:val="1"/>
                <w:color w:val="auto"/>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9"/>
                <w:szCs w:val="9"/>
                <w:b w:val="1"/>
                <w:bCs w:val="1"/>
                <w:color w:val="auto"/>
              </w:rPr>
              <w:t>(1)</w:t>
            </w:r>
          </w:p>
        </w:tc>
        <w:tc>
          <w:tcPr>
            <w:tcW w:w="140" w:type="dxa"/>
            <w:vAlign w:val="bottom"/>
          </w:tcPr>
          <w:p>
            <w:pPr>
              <w:spacing w:after="0"/>
              <w:rPr>
                <w:sz w:val="11"/>
                <w:szCs w:val="11"/>
                <w:color w:val="auto"/>
              </w:rPr>
            </w:pPr>
          </w:p>
        </w:tc>
        <w:tc>
          <w:tcPr>
            <w:tcW w:w="12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9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(1)</w:t>
            </w: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(1)</w:t>
            </w:r>
          </w:p>
        </w:tc>
        <w:tc>
          <w:tcPr>
            <w:tcW w:w="3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Capitalized software development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right="20" w:hanging="328"/>
        <w:spacing w:after="0" w:line="277"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table excludes the gross value of fully amortized intangible assets totaling $43.1 million and $42.7 million at September 30, 2021 and December 31, 2020,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480" w:type="dxa"/>
            <w:vAlign w:val="bottom"/>
            <w:gridSpan w:val="3"/>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338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4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70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20" w:type="dxa"/>
            <w:vAlign w:val="bottom"/>
            <w:tcBorders>
              <w:bottom w:val="single" w:sz="8" w:color="auto"/>
            </w:tcBorders>
          </w:tcPr>
          <w:p>
            <w:pPr>
              <w:spacing w:after="0"/>
              <w:rPr>
                <w:sz w:val="19"/>
                <w:szCs w:val="19"/>
                <w:color w:val="auto"/>
              </w:rPr>
            </w:pPr>
          </w:p>
        </w:tc>
      </w:tr>
      <w:tr>
        <w:trPr>
          <w:trHeight w:val="248"/>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amortization expense</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8720" w:type="dxa"/>
            <w:vAlign w:val="bottom"/>
            <w:gridSpan w:val="8"/>
          </w:tcPr>
          <w:p>
            <w:pPr>
              <w:spacing w:after="0"/>
              <w:rPr>
                <w:sz w:val="20"/>
                <w:szCs w:val="20"/>
                <w:color w:val="auto"/>
              </w:rPr>
            </w:pPr>
            <w:r>
              <w:rPr>
                <w:rFonts w:ascii="Arial" w:cs="Arial" w:eastAsia="Arial" w:hAnsi="Arial"/>
                <w:sz w:val="18"/>
                <w:szCs w:val="18"/>
                <w:color w:val="auto"/>
                <w:w w:val="92"/>
              </w:rPr>
              <w:t>Estimated future annual amortization expense related to our intangible assets at September 30, 2021, was as follows: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5"/>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3 months)</w:t>
            </w:r>
          </w:p>
        </w:tc>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20"/>
                <w:szCs w:val="20"/>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3,929</w:t>
            </w:r>
          </w:p>
        </w:tc>
        <w:tc>
          <w:tcPr>
            <w:tcW w:w="20" w:type="dxa"/>
            <w:vAlign w:val="bottom"/>
          </w:tcPr>
          <w:p>
            <w:pPr>
              <w:spacing w:after="0"/>
              <w:rPr>
                <w:sz w:val="19"/>
                <w:szCs w:val="19"/>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20" w:type="dxa"/>
            <w:vAlign w:val="bottom"/>
          </w:tcPr>
          <w:p>
            <w:pPr>
              <w:spacing w:after="0"/>
              <w:rPr>
                <w:sz w:val="19"/>
                <w:szCs w:val="19"/>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2024</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2,776</w:t>
            </w:r>
          </w:p>
        </w:tc>
        <w:tc>
          <w:tcPr>
            <w:tcW w:w="20" w:type="dxa"/>
            <w:vAlign w:val="bottom"/>
          </w:tcPr>
          <w:p>
            <w:pPr>
              <w:spacing w:after="0"/>
              <w:rPr>
                <w:sz w:val="19"/>
                <w:szCs w:val="19"/>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19"/>
                <w:szCs w:val="19"/>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20" w:type="dxa"/>
            <w:vAlign w:val="bottom"/>
          </w:tcPr>
          <w:p>
            <w:pPr>
              <w:spacing w:after="0"/>
              <w:rPr>
                <w:sz w:val="19"/>
                <w:szCs w:val="19"/>
                <w:color w:val="auto"/>
              </w:rPr>
            </w:pPr>
          </w:p>
        </w:tc>
      </w:tr>
      <w:tr>
        <w:trPr>
          <w:trHeight w:val="248"/>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20,695</w:t>
            </w:r>
          </w:p>
        </w:tc>
        <w:tc>
          <w:tcPr>
            <w:tcW w:w="20" w:type="dxa"/>
            <w:vAlign w:val="bottom"/>
          </w:tcPr>
          <w:p>
            <w:pPr>
              <w:spacing w:after="0"/>
              <w:rPr>
                <w:sz w:val="21"/>
                <w:szCs w:val="2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September 30, 2021, our operating leases had remaining lease terms of up to 39 years, including any reasonably probable extensions.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2020</w:t>
            </w:r>
          </w:p>
        </w:tc>
      </w:tr>
      <w:tr>
        <w:trPr>
          <w:trHeight w:val="21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13,681</w:t>
            </w:r>
          </w:p>
        </w:tc>
      </w:tr>
      <w:tr>
        <w:trPr>
          <w:trHeight w:val="223"/>
        </w:trPr>
        <w:tc>
          <w:tcPr>
            <w:tcW w:w="7600" w:type="dxa"/>
            <w:vAlign w:val="bottom"/>
          </w:tcPr>
          <w:p>
            <w:pPr>
              <w:ind w:left="78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9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6"/>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4,958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Operating lease right-of-use assets obtained in exchange for</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lease obligations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Non-cash release of operating lease obligations </w:t>
            </w:r>
            <w:r>
              <w:rPr>
                <w:rFonts w:ascii="Arial" w:cs="Arial" w:eastAsia="Arial" w:hAnsi="Arial"/>
                <w:sz w:val="23"/>
                <w:szCs w:val="23"/>
                <w:color w:val="auto"/>
                <w:vertAlign w:val="superscript"/>
              </w:rPr>
              <w:t>(1)</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28"/>
        <w:spacing w:after="0" w:line="227"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During the nine months ended September 30, 2021, we were released from our guarantee of the lease obligation related to our Ohio call center which was sold in February 2020.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liability term and the weighted average discount rate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2120" w:type="dxa"/>
            <w:vAlign w:val="bottom"/>
            <w:gridSpan w:val="2"/>
          </w:tcPr>
          <w:p>
            <w:pPr>
              <w:ind w:left="400"/>
              <w:spacing w:after="0"/>
              <w:rPr>
                <w:sz w:val="20"/>
                <w:szCs w:val="20"/>
                <w:color w:val="auto"/>
              </w:rPr>
            </w:pPr>
            <w:r>
              <w:rPr>
                <w:rFonts w:ascii="Arial" w:cs="Arial" w:eastAsia="Arial" w:hAnsi="Arial"/>
                <w:sz w:val="14"/>
                <w:szCs w:val="14"/>
                <w:b w:val="1"/>
                <w:bCs w:val="1"/>
                <w:color w:val="auto"/>
              </w:rPr>
              <w:t>September 30, 2021</w:t>
            </w:r>
          </w:p>
        </w:tc>
        <w:tc>
          <w:tcPr>
            <w:tcW w:w="2000" w:type="dxa"/>
            <w:vAlign w:val="bottom"/>
          </w:tcPr>
          <w:p>
            <w:pPr>
              <w:jc w:val="right"/>
              <w:ind w:right="336"/>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lease liability term (in years)</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20" w:type="dxa"/>
            <w:vAlign w:val="bottom"/>
          </w:tcPr>
          <w:p>
            <w:pPr>
              <w:jc w:val="right"/>
              <w:spacing w:after="0"/>
              <w:rPr>
                <w:sz w:val="20"/>
                <w:szCs w:val="20"/>
                <w:color w:val="auto"/>
              </w:rPr>
            </w:pPr>
            <w:r>
              <w:rPr>
                <w:rFonts w:ascii="Arial" w:cs="Arial" w:eastAsia="Arial" w:hAnsi="Arial"/>
                <w:sz w:val="18"/>
                <w:szCs w:val="18"/>
                <w:color w:val="auto"/>
              </w:rPr>
              <w:t>3.34 %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3.84 %</w:t>
            </w:r>
          </w:p>
        </w:tc>
      </w:tr>
    </w:tbl>
    <w:p>
      <w:pPr>
        <w:spacing w:after="0" w:line="3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September 30, 2021. The reconciliation excludes short-term leases that are not recorded on the balance sheet.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September 30, 2021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3 months)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5,585</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2,687</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r>
      <w:tr>
        <w:trPr>
          <w:trHeight w:val="223"/>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18,115</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2021, we had four operating leases with four-year terms that had not yet commenced. The total initial lease liability, which is immaterial to the balance sheet, is not reflected within the above maturity schedule.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2022.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September 30, 2021 and December 31, 2020. On October 25, 2021, we executed an amendment to extend the term of our Second Amended Credit Agreement to November 1, 2023.</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 In conjunction with the amendment to our Second Amended Credit Agreement executed on October 25, 2021, the pledge of 65% ownership interest in Enson Assets Limited was terminated and was replaced with a guaranty of the Credit Line by our wholly-owned subsidiary, Universal Electronics BV.</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September 30, 2021 and December 31, 2020 were 1.33% and 1.39%, respectively. There are no commitment fees or unused line fees under the Second Amended Credit Agreement.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31, 2021, the process of cessation of LIBOR as a reference rate will begin. LIBOR may continue to be used for new and existing borrowings on the Credit Line through December 31, 2021. After that date, new borrowings will no longer use LIBOR as a reference rate. Instead, these borrowings will be subject to an interest rate based on either the Secured Overnight Financing Rate ("SOFR"), which is deemed a replacement benchmark for LIBOR under the Second Amended Credit Agreement, or an alternate index to be agreed upon. Between December 31, 2021 and June 30, 2023, any legacy borrowings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may continue to use LIBOR as the basis for interest rates. After June 30, 2023, all borrowings will be based on SOFR or the alternate index.</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At September 30, 2021, we were in compliance with the covenants and conditions of the Second Amended Credit Agreement.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2021 and December 31, 2020, we had $53.0 million and $20.0 million outstanding under the Credit Line, respectively. Our total interest expense on borrowings was $0.2 million and $0.3 million during the three months ended September 30, 2021 and 2020, respectively. Our total interest expense on borrowings was $0.6 million and $1.4 million during the nine months ended September 30, 2021 and 2020,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recorded income tax expense of $3.4 million and $2.2 million for the three months ended September 30, 2021 and 2020, respectively. We recorded income tax expense of $8.3 million and $5.3 million for the nine months ended September 30, 2021 and 2020, respectively. The increase in income tax expense for the nine months ended September 30, 2021 is primarily due to a loss without benefit related to the sale of our Argentina subsidiary. In addition, during the nine months ended September 30, 2020, we recognized a reversal of uncertain tax positions related to our Guangzhou entity, which was sold in June 2018. The indemnification agreement related to the sale of our Guangzhou entity expired in June 2020.</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2020,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2020, we had a three-year cumulative operating loss for our U.S. operations and accordingly, have provided a full valuation allowance on our U.S. federal and state deferred tax assets. During the nine months ended September 30, 2021, there was no change to our valuation allowance position.</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September 30, 2021, we had gross unrecognized tax benefits of $3.2 million, including interest and penalties, which, if not for the state Research and Experimentation income tax credit valuation allowance, would affect the annual effective tax rate if these tax benefits are realized. Further, we are unaware of any positions for which it is reasonably possible that the total amounts of unrecognized tax benefits will significantly increase within the next twelve months. Based on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are immaterial at September 30, 2021 and December 31, 2020 and are included in the unrecognized tax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2018, we sold our Guangzhou 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by the amount associated with the Guangzhou entity, which was approximately $9.5 million.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salary/wages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7,375</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compensation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660" w:hanging="328"/>
        <w:spacing w:after="0" w:line="238" w:lineRule="auto"/>
        <w:tabs>
          <w:tab w:leader="none" w:pos="64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on September 30, 2021 and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Expense associated with fulfilled performance obligations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and handling fees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6,094</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claims costs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3,794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value added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Short-term contingent consideration</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other accrued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33,057</w:t>
            </w: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$0.3 million of contract liabilities at September 30, 2021 and December 31,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claims costs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 September 30,</w:t>
            </w:r>
          </w:p>
        </w:tc>
      </w:tr>
      <w:tr>
        <w:trPr>
          <w:trHeight w:val="23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gain (loss)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Inter Partes Review ("IPR") requests (see discussion below). This lawsuit continues to be stayed until such time as the IPR requests and all appeals with respect to them have concluded.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released TCL, Hisense and Funai from this investigation as they removed our technology from their televisions. On July 9, 2021, the Administrative Law Judge issued his Initial Determination (the "ID") finding that Roku is infringing our patents and as a result is in violation of §337 of the Tariff Act of 1930, as amended. On July 23, 2021, Roku and we filed petitions to appeal certain portions of the ID. This ID, including those matters for which we and Roku appealed, is being reviewed by the full ITC with the ITC's final determination expected to be released by November 9,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Lawsuit</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and continue to be stayed pending the final results of the ITC investigation mentioned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eleven times, granted Roku's request seven times and we are awaiting the PTAB's institution decision with respect to the remaining two IPR requests. Of the seven IPR requests granted by the PTAB, the results were mixed, with the PTAB validating many of our patent claims and invalidating others. We have and will appeal any PTAB decision that resulted in an invalidation of our patent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Request Made by Roku against UEI and certain UEI Customers</w:t>
      </w:r>
    </w:p>
    <w:p>
      <w:pPr>
        <w:spacing w:after="0" w:line="5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April 8, 2021, Roku made a request to the ITC to initiate an investigation against us and certain of our customers claiming that certain of our and those customers' remote control devices and televisions infringe two of Roku's recently acquired patents. On May 10, 2021, the ITC announced its decision to initiate the requested investigation. We will vigorously defend against the allegations made by Roku in this investigation and to this end, we have entered</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into a joint defense agreement with our customers wherein we will lead the defense of this investigation. Discovery recently commenced with discovery cutoff set for November 21, 2021, the trial set for January 19, 2022, the ID set for June 28, 2022 and the full commission review set for October 28, 2022. As a companion to its ITC request, Roku also filed a lawsuit against us and certain of our customers in Federal District Court in the Central District of California alleging that we are infringing the same patents they alleged being infringed in the ITC investigation explained above. This District Court case has been and will continue to be stayed pending the conclusion of the ITC investigation.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this complaint, we, Ecolink and RCS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We, Ecolink and RCS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Ecolink and RCS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us, Ecolink and RCS; to permanently enjoin the U.S. government from applying Lists 3 and 4A duties against us, Ecolink and RCS; and award us, Ecolink and RCS our costs and reasonable attorney's fees.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Treasury Stock</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our Board of Directors authorizes management to repurchase shares of our issued and outstanding common stock. On July 28, 2021, our Board approved a share repurchase program with an effective date of August 10, 2021 (the "August 2021 Program"). Pursuant to the August 2021 Program, we have been authorized to repurchase up to 400,000 shares of our common stock at predetermined prices until the earlier of the repurchase of all 400,000 shares or November 4, 2021. The August 2021 Program was completed in October 2021, upon repurchase by us of all 400,000 shares as authorized. On October 20, 2021, our Board approved a new share repurchase program with an effective date of November 9, 2021 (the "November 2021 Program"). Pursuant to the November 2021 Program, we have been authorized to repurchase up to 300,000 shares of our common stock at predetermined prices until the earlier of the repurchase of all 300,000 shares or February 17, 2022. We may utilize various methods to effect the repurchases, which may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44,217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9,822</w:t>
            </w:r>
          </w:p>
        </w:tc>
      </w:tr>
    </w:tbl>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1,555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5,285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4,695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1,202</w:t>
            </w:r>
          </w:p>
        </w:tc>
        <w:tc>
          <w:tcPr>
            <w:tcW w:w="0" w:type="dxa"/>
            <w:vAlign w:val="bottom"/>
          </w:tcPr>
          <w:p>
            <w:pPr>
              <w:spacing w:after="0"/>
              <w:rPr>
                <w:sz w:val="1"/>
                <w:szCs w:val="1"/>
                <w:color w:val="auto"/>
              </w:rPr>
            </w:pPr>
          </w:p>
        </w:tc>
      </w:tr>
      <w:tr>
        <w:trPr>
          <w:trHeight w:val="155"/>
        </w:trPr>
        <w:tc>
          <w:tcPr>
            <w:tcW w:w="4600" w:type="dxa"/>
            <w:vAlign w:val="bottom"/>
          </w:tcPr>
          <w:p>
            <w:pPr>
              <w:ind w:left="20"/>
              <w:spacing w:after="0" w:line="156" w:lineRule="exact"/>
              <w:rPr>
                <w:sz w:val="20"/>
                <w:szCs w:val="20"/>
                <w:color w:val="auto"/>
              </w:rPr>
            </w:pPr>
            <w:r>
              <w:rPr>
                <w:rFonts w:ascii="Arial" w:cs="Arial" w:eastAsia="Arial" w:hAnsi="Arial"/>
                <w:sz w:val="18"/>
                <w:szCs w:val="18"/>
                <w:color w:val="auto"/>
              </w:rPr>
              <w:t>Total employee and director stock-based compensation</w:t>
            </w:r>
          </w:p>
        </w:tc>
        <w:tc>
          <w:tcPr>
            <w:tcW w:w="1060" w:type="dxa"/>
            <w:vAlign w:val="bottom"/>
            <w:vMerge w:val="restart"/>
          </w:tcPr>
          <w:p>
            <w:pPr>
              <w:jc w:val="right"/>
              <w:ind w:right="877"/>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3"/>
                <w:szCs w:val="13"/>
                <w:color w:val="auto"/>
              </w:rPr>
            </w:pPr>
          </w:p>
        </w:tc>
        <w:tc>
          <w:tcPr>
            <w:tcW w:w="1100" w:type="dxa"/>
            <w:vAlign w:val="bottom"/>
            <w:vMerge w:val="restart"/>
          </w:tcPr>
          <w:p>
            <w:pPr>
              <w:jc w:val="right"/>
              <w:ind w:right="915"/>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7"/>
              </w:rPr>
              <w:t>2,260</w:t>
            </w:r>
          </w:p>
        </w:tc>
        <w:tc>
          <w:tcPr>
            <w:tcW w:w="100" w:type="dxa"/>
            <w:vAlign w:val="bottom"/>
          </w:tcPr>
          <w:p>
            <w:pPr>
              <w:spacing w:after="0"/>
              <w:rPr>
                <w:sz w:val="13"/>
                <w:szCs w:val="13"/>
                <w:color w:val="auto"/>
              </w:rPr>
            </w:pPr>
          </w:p>
        </w:tc>
        <w:tc>
          <w:tcPr>
            <w:tcW w:w="1000" w:type="dxa"/>
            <w:vAlign w:val="bottom"/>
            <w:vMerge w:val="restart"/>
          </w:tcPr>
          <w:p>
            <w:pPr>
              <w:jc w:val="right"/>
              <w:ind w:right="817"/>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7,516</w:t>
            </w:r>
          </w:p>
        </w:tc>
        <w:tc>
          <w:tcPr>
            <w:tcW w:w="120" w:type="dxa"/>
            <w:vAlign w:val="bottom"/>
          </w:tcPr>
          <w:p>
            <w:pPr>
              <w:spacing w:after="0"/>
              <w:rPr>
                <w:sz w:val="13"/>
                <w:szCs w:val="13"/>
                <w:color w:val="auto"/>
              </w:rPr>
            </w:pPr>
          </w:p>
        </w:tc>
        <w:tc>
          <w:tcPr>
            <w:tcW w:w="980" w:type="dxa"/>
            <w:vAlign w:val="bottom"/>
            <w:vMerge w:val="restart"/>
          </w:tcPr>
          <w:p>
            <w:pPr>
              <w:jc w:val="right"/>
              <w:ind w:right="795"/>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8"/>
              </w:rPr>
              <w:t>6,854</w:t>
            </w:r>
          </w:p>
        </w:tc>
        <w:tc>
          <w:tcPr>
            <w:tcW w:w="0" w:type="dxa"/>
            <w:vAlign w:val="bottom"/>
          </w:tcPr>
          <w:p>
            <w:pPr>
              <w:spacing w:after="0"/>
              <w:rPr>
                <w:sz w:val="1"/>
                <w:szCs w:val="1"/>
                <w:color w:val="auto"/>
              </w:rPr>
            </w:pPr>
          </w:p>
        </w:tc>
      </w:tr>
      <w:tr>
        <w:trPr>
          <w:trHeight w:val="208"/>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expense</w:t>
            </w:r>
          </w:p>
        </w:tc>
        <w:tc>
          <w:tcPr>
            <w:tcW w:w="10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Number of Options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Contractual Term</w:t>
            </w:r>
          </w:p>
        </w:tc>
        <w:tc>
          <w:tcPr>
            <w:tcW w:w="180" w:type="dxa"/>
            <w:vAlign w:val="bottom"/>
          </w:tcPr>
          <w:p>
            <w:pPr>
              <w:spacing w:after="0"/>
              <w:rPr>
                <w:sz w:val="11"/>
                <w:szCs w:val="11"/>
                <w:color w:val="auto"/>
              </w:rPr>
            </w:pPr>
          </w:p>
        </w:tc>
        <w:tc>
          <w:tcPr>
            <w:tcW w:w="120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September 30, 2021 </w:t>
            </w:r>
            <w:r>
              <w:rPr>
                <w:rFonts w:ascii="Arial" w:cs="Arial" w:eastAsia="Arial" w:hAnsi="Arial"/>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Vested and expected to vest at September 30, 2021 </w:t>
            </w:r>
            <w:r>
              <w:rPr>
                <w:rFonts w:ascii="Arial" w:cs="Arial" w:eastAsia="Arial" w:hAnsi="Arial"/>
                <w:sz w:val="23"/>
                <w:szCs w:val="23"/>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44.56</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7,436</w:t>
            </w:r>
          </w:p>
        </w:tc>
        <w:tc>
          <w:tcPr>
            <w:tcW w:w="0" w:type="dxa"/>
            <w:vAlign w:val="bottom"/>
          </w:tcPr>
          <w:p>
            <w:pPr>
              <w:spacing w:after="0" w:line="20" w:lineRule="exact"/>
              <w:rPr>
                <w:sz w:val="1"/>
                <w:szCs w:val="1"/>
                <w:color w:val="auto"/>
              </w:rPr>
            </w:pPr>
          </w:p>
        </w:tc>
      </w:tr>
      <w:tr>
        <w:trPr>
          <w:trHeight w:val="204"/>
        </w:trPr>
        <w:tc>
          <w:tcPr>
            <w:tcW w:w="53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832</w:t>
            </w:r>
          </w:p>
        </w:tc>
        <w:tc>
          <w:tcPr>
            <w:tcW w:w="22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Exercisable at September 30, 2021 </w:t>
            </w:r>
            <w:r>
              <w:rPr>
                <w:rFonts w:ascii="Arial" w:cs="Arial" w:eastAsia="Arial" w:hAnsi="Arial"/>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660" w:hanging="328"/>
        <w:spacing w:after="0" w:line="249" w:lineRule="auto"/>
        <w:tabs>
          <w:tab w:leader="none" w:pos="64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third quarter of 2021 and the exercise price, multiplied by the number of in-the-money options) that would have been received by the option holders had they all exercised their options on September 30, 2021. This amount will change based on the fair market value of our stock.</w:t>
      </w: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224"/>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grants</w:t>
            </w: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17.70</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43.95 %</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we expect to recognize $2.7 million of total unrecognized pre-tax stock-based compensation expense related to non-vested stock options over a remaining weighted-average life of 1.8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w:t>
            </w:r>
          </w:p>
        </w:tc>
      </w:tr>
      <w:tr>
        <w:trPr>
          <w:trHeight w:val="188"/>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Grant Date Fair Value</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400" w:type="dxa"/>
            <w:vAlign w:val="bottom"/>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57.32</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37.85</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we expect to recognize $10.8 million of total unrecognized pre-tax stock-based compensation expense related to non-vested restricted stock awards over a weighted-average life of 1.8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9,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potential number of warrants to vest in each period based upon achieving the purchase levels.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Aggregate Level of Purchases by Comcast and Affiliates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$260 million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$300 million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$340 million</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Maximum Potential Warrants Earned by Comcast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Potential Warrants To Vest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2016 -</w:t>
            </w:r>
          </w:p>
        </w:tc>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2018 -</w:t>
            </w:r>
          </w:p>
        </w:tc>
        <w:tc>
          <w:tcPr>
            <w:tcW w:w="1640" w:type="dxa"/>
            <w:vAlign w:val="bottom"/>
            <w:tcBorders>
              <w:top w:val="single" w:sz="8" w:color="auto"/>
            </w:tcBorders>
          </w:tcPr>
          <w:p>
            <w:pPr>
              <w:jc w:val="right"/>
              <w:ind w:right="196"/>
              <w:spacing w:after="0" w:line="141" w:lineRule="exact"/>
              <w:rPr>
                <w:sz w:val="20"/>
                <w:szCs w:val="20"/>
                <w:color w:val="auto"/>
              </w:rPr>
            </w:pPr>
            <w:r>
              <w:rPr>
                <w:rFonts w:ascii="Arial" w:cs="Arial" w:eastAsia="Arial" w:hAnsi="Arial"/>
                <w:sz w:val="14"/>
                <w:szCs w:val="14"/>
                <w:b w:val="1"/>
                <w:bCs w:val="1"/>
                <w:color w:val="auto"/>
              </w:rPr>
              <w:t>January 1, 2020 -</w:t>
            </w:r>
          </w:p>
        </w:tc>
      </w:tr>
      <w:tr>
        <w:trPr>
          <w:trHeight w:val="188"/>
        </w:trPr>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640" w:type="dxa"/>
            <w:vAlign w:val="bottom"/>
          </w:tcPr>
          <w:p>
            <w:pPr>
              <w:jc w:val="right"/>
              <w:ind w:right="156"/>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6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23"/>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w:t>
            </w: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-633730</wp:posOffset>
            </wp:positionV>
            <wp:extent cx="71151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-334010</wp:posOffset>
            </wp:positionV>
            <wp:extent cx="711517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118" w:right="339" w:bottom="1440" w:gutter="0" w:footer="0" w:header="0"/>
          <w:type w:val="continuous"/>
        </w:sectPr>
      </w:pP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would count toward aggregate purchases in the following two-year period. This threshold was not met in either the first or second two-year period. For the two-year period ended December 31, 2017, Comcast earned and vested in 175,000 out of the maximum potential 250,000 warrants. For the two-year period ended December 31, 2019, Comcast earned and vested in 100,000 out of the maximum potential 250,000 warrants. At September 30, 2021, 275,000 vested warrants were outstanding. To fully vest in the rights to purchase all of the remaining unearned 225,000 underlying shares, Comcast and its affiliates must purchase an aggregate of $340 million in goods and services from us during the period January 1, 2020 through December 31, 2021.</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the warrants contain performance criteria under which Comcast must achieve specified aggregate purchase levels for the warrants to vest, as detailed above, the measurement date for the warrants for the first two successive two-year periods was the date on which the warrants vested.</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FASB issued guidance in November 2019 that clarifies the accounting for share-based payments issued as sales incentives to customers. The guidance requires that stock-based compensation expense be recorded as a reduction in the transaction price on the basis of the grant-date fair value. The transition provisions require that equity-classified awards be measured at the adoption date fair value if the measurement date has not been established prior to the adoption date.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using the Black-Scholes option pricing model. Through September 30, 2021, none of the warrants had vested for the two-year period beginning January 1, 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grant-date fair value of the warrants as of January 1, 2020 were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35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17.19</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3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52.21</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48.86 %</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3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to net sales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120" w:type="dxa"/>
            <w:vAlign w:val="bottom"/>
          </w:tcPr>
          <w:p>
            <w:pPr>
              <w:jc w:val="right"/>
              <w:ind w:right="93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r>
    </w:tbl>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the number of warrants that will vest based on projected future purchases that will be made by Comcast and its affiliates. These estimates may increase or decrease based on actual future purchases. The aggregate estimated fair value of the warrants is recognized as a reduction to revenue over the related two-year vesting period. At September 30, 2021, the aggregate unrecognized estimated fair value of warrants we estimate will vest was $0.2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 Net and Loss on Sale of Argentina Subsidiary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51"/>
        </w:trPr>
        <w:tc>
          <w:tcPr>
            <w:tcW w:w="5100" w:type="dxa"/>
            <w:vAlign w:val="bottom"/>
            <w:shd w:val="clear" w:color="auto" w:fill="CCEEFF"/>
          </w:tcPr>
          <w:p>
            <w:pPr>
              <w:ind w:left="20"/>
              <w:spacing w:after="0" w:line="252"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Net gain (loss) on foreign currency exchange transactions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7, 2021, we completed the sale of our subsidiary, One For All Argentina S.R.L, to an unrelated party, recording a loss on sale of $6.1 million. Upon divestiture, the successor entity, OFA Express S.R.L., will serve as an authorized distributor of certain of our products in Argentina. OFA Express, S.R.L. is not a related party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8"/>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13,392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13,928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13,622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13,935</w:t>
            </w: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Dilutive effect of stock options, restricted stock and common stock</w:t>
            </w:r>
          </w:p>
        </w:tc>
        <w:tc>
          <w:tcPr>
            <w:tcW w:w="2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2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14,189</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4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18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5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Fair Value Measurement Using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3"/>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4"/>
                <w:szCs w:val="4"/>
                <w:color w:val="auto"/>
              </w:rPr>
            </w:pPr>
          </w:p>
        </w:tc>
        <w:tc>
          <w:tcPr>
            <w:tcW w:w="90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4"/>
                <w:szCs w:val="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foreign currency exchange contracts, which resulted in a net pre-tax gain of $0.7 million and a net pre-tax loss of $0.1 million for the three months ended September 30, 2021 and 2020, respectively. For the nine months ended September 30, 2021 and 2020, we had a net pre-tax gain of $2.2 million and a net pre-tax loss of $0.5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Gain/(Loss)</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9"/>
              </w:rPr>
              <w:t>Recorded at Balance</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Notional Value</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Sheet</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Date Held</w:t>
            </w:r>
          </w:p>
        </w:tc>
        <w:tc>
          <w:tcPr>
            <w:tcW w:w="2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Position Held</w:t>
            </w:r>
          </w:p>
        </w:tc>
        <w:tc>
          <w:tcPr>
            <w:tcW w:w="1220" w:type="dxa"/>
            <w:vAlign w:val="bottom"/>
            <w:gridSpan w:val="3"/>
            <w:vMerge w:val="continue"/>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Forward Rate</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Date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89"/>
        </w:trPr>
        <w:tc>
          <w:tcPr>
            <w:tcW w:w="198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88"/>
              </w:rPr>
              <w:t>(in thousands)</w:t>
            </w:r>
            <w:r>
              <w:rPr>
                <w:rFonts w:ascii="Arial" w:cs="Arial" w:eastAsia="Arial" w:hAnsi="Arial"/>
                <w:sz w:val="18"/>
                <w:szCs w:val="18"/>
                <w:b w:val="1"/>
                <w:bCs w:val="1"/>
                <w:color w:val="auto"/>
                <w:w w:val="88"/>
                <w:vertAlign w:val="superscript"/>
              </w:rPr>
              <w:t>(1)</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USD/Chinese Yuan Renminbi</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CNY</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29, 2021</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September 30, 2021</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1.1589</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October 29, 2021</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USD/Chinese Yuan Renminbi</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5.1714</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USD/Mexican Peso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20.1915</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right="180" w:hanging="328"/>
        <w:spacing w:after="0" w:line="227"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that are sold primarily to video service providers (cable, satellite, Internet Protocol television ("IPTV") and Over the Top ("OTT") services), original equipment manufacturers ("OEMs"), retailers, and private label customers;</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spacing w:after="0" w:line="8"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controllers and other consumer electronic and smart home devices to wirelessly connect and interact with home networks and interactive services to control and deliver home entertainment, smart home services and device or system information;</w:t>
      </w:r>
    </w:p>
    <w:p>
      <w:pPr>
        <w:spacing w:after="0" w:line="3"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 with billions of transactions per year in device and data management;</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software development companies, private label customers, and video service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hotels and hospitality system integrators; and</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graph. Since our beginning in 1986, we have compiled an extensive device control knowledge library that includes over 12,800 brands comprising over 960,000 device models across AV and smart home platforms, supported by many common smart home protocols, including IR, HDMI-CEC, Zigbee (Rf4CE) Z-Wave, and IP as well as Home Network and Cloud Control.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nearly 19.4 million unique device fingerprints across both AV and Smart Home devices.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devices. These control codes are captured directly from original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a number of patents in the United States and abroad related to our products and technology, and have filed domestic and foreign applications for other patents that are pending. At September 30, 2021, we had 615 issued and pending U.S. patents related to remote control, home security, safety and automation as well as hundreds of foreign counterpart patents and applications in various territories around the world.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two domestic subsidiaries and 25 international subsidiaries located in Brazil, British Virgin Islands, Cayman Islands, France, Germany, Hong Kong (3), India, Italy, Japan, Korea, Mexico (2), the Netherlands, People's Republic of China (the "PRC") (7), Singapore, Spain and the 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September 30, 2021:</w:t>
      </w:r>
    </w:p>
    <w:p>
      <w:pPr>
        <w:spacing w:after="0" w:line="252" w:lineRule="exact"/>
        <w:rPr>
          <w:sz w:val="20"/>
          <w:szCs w:val="20"/>
          <w:color w:val="auto"/>
        </w:rPr>
      </w:pPr>
    </w:p>
    <w:p>
      <w:pPr>
        <w:ind w:left="980" w:right="2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increased 1.4% to $155.6 million for the three months ended September 30, 2021 from $153.5 million for the three months ended September 30, 2020.</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gross margin percentage increased to 29.4% for the three months ended September 30, 2021 from 28.8% for the three months ended September 30, 2020.</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expenses, as a percentage of net sales, increased to 23.7% for the three months ended September 30, 2021 from 22.1% for the three months ended September 30, 2020.</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income decreased to $8.9 million for the three months ended September 30, 2021 from $10.2 million for the three months ended September 30, 2020. Our operating income percentage decreased to 5.7% for the three months ended September 30, 2021 from 6.7% for the three months ended September 30, 2020.</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expense increased to $3.4 million for the three months ended September 30, 2021 from $2.2 million for the three months ended September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2021 include the following:</w:t>
      </w:r>
    </w:p>
    <w:p>
      <w:pPr>
        <w:spacing w:after="0" w:line="25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and market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broaden our home control and home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expand our software and service offerings to deliver a complete managed service platform;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penetration of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3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global spread of COVID-19 has been and continues to be a complex and rapidly-evolving situation, with governments, public institutions and other organizations imposing or recommending, and businesses and individuals implementing, at various times and to varying degrees, restrictions on various activities or other actions to combat its spread, such as restrictions and bans on travel or transportation, limitations on the size of gatherings, closures of or occupancy or other operating limitations on ports, work facilities, schools, public buildings and businesses, cancellation of events, including sporting events, conferences and meetings, and quarantines and lock-downs. The COVID-19 pandemic and its consequences have and will continue to impact our business, operations, and financial results. The extent to which the COVID-19 pandemic impacts our business, operations, and financial results, including the duration and magnitude of such effects, will depend on numerous evolving factors that we may not be able to accurately predict or assess, including the duration and scope of the COVID-19 pandemic (including the location and extent of resurgences of the virus and the availability of effective treatments or vaccines); the negative impact the COVID-19 pandemic has on global and regional economies and economic activity, including the duration and magnitude of its impact on unemployment rates and consumer discretionary spending. Because the severity, magnitude and duration of the COVID-19 pandemic are uncertain, rapidly changing, and difficult to predict, the pandemic's impact on our operations and financial performance, as well as its impact on our ability to successfully execute our business strategy and initiatives, remains uncertain. As the COVID-19 pandemic continues, the full extent of this outbreak and the related governmental, business and travel restrictions in order to contain the COVID-19 pandemic are continuing to evolve globally. Our COVID-19 task force, which includes a cross-functional group of senior-level executives, continues to manage and respond to the ever-changing health and safety requirements across the globe and communicate our responses and recommended course of action to our global factory and office leaders.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continue to maintain safety measures for all our employees across the globe as pandemic conditions require, including implementing work-from-home arrangements, restricting travel except where essential and approved in advance, frequent office and factory sanitation, temperature scans upon entry, hand sanitizer stations located throughout our facilities and offices, mask wearing, social distancing measures in gathering places and restricting visitor access. All factories are up to or near labor capacity as of the issuance of this report.</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 we continue to monitor and follow suggested guidelines by the Centers for Disease Control and Prevention, the World Health Organization, and local governmental orders and recommendations. The continued safety and welfare of our employees will remain at the forefront of all decision-making.</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anticipate that these actions and the global health crisis caused by the COVID-19 pandemic will continue to negatively impact business activity across the globe, including our business. We expect our sales demand to be negatively impacted into, at least, the first half of 2022 given the global reach and economic impact of the COVID-19 pandemic and the various quarantine and social distancing measures put in place to contain the spread of the COVID-19 pandemic. We have also seen disruptions in our supply chain, due to difficulty in obtaining ICs and substantial delays in the transportation and the onloading and offloading of our product due to significant congestion at ports throughout the world. This, in turn, causes significant congestion in other downstream transportation, such as via trucks and rail. As such, these congestions have caused and continue to cause difficulty and delays in our ability to fulfill customer orders. In addition, a closure of one of our factories for a sustained period of time would, in the short run, impact our ability to meet customer demand and would negatively impact our results.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actively monitor these situations and may take further actions altering our business operations as necessary or as required by federal, state, or local authorities. The potential effects of any such alterations or modifications may have a material adverse impact on our business during 2021. Even after the COVID-19 pandemic subsides or effective treatments or vaccines become available, our business, markets, growth prospects and business model could be materially impacted or altered.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Integrated Circuit Shortage Impact</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experiencing difficulty in ordering ICs for future use and that difficulty is expected to continue into 2022. The global shortage of ICs is affecting a multitude of industries and we expect it to continue to affect our business. While we are identifying other sources of ICs and taking other production and inventory control steps in order to mitigate the effects caused by this shortage, we cannot guarantee that we will find alternative sources to meet our short- and longer-term IC needs and/or without experiencing increases in the prices we pay for these components. If we are not able to find alternative sources of ICs or are not able to purchase sufficient quantities of ICs from our current and alternative suppliers, we may not be able to produce sufficient quantities of products to meet our customers' demands. This, in turn, may affect our ability to meet our quarterly revenue targets. Further, we may incur additional freight costs to meet the delivery demands of our customers. In addition, many of our products are paired with certain of our customers' products, like set-top boxes or televisions. If those customers are not able to obtain sufficient quantities of ICs for their products, their demand for our products may decrease.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Qinzhou, China Facility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Reuters published an article indicating that individuals from China's Uyghur minority, originally resident in the PRC region of Xinjiang, were working in a facility in Qinzhou, Guangxi operated by our Chinese subsidiary, Gemstar Technology (Qinzhou) Co. Ltd. ("Gemstar"). The article alleged that the presence of these workers in Guangxi was indicative of "a transfer program described by some rights groups as forced labor." Shortly after publication of the Reuters article, three U.S. Senators wrote jointly to us seeking information regarding these workers and the terms of their work at the Qinzhou facility.</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take all allegations regarding working conditions seriously, and have committed to take a cooperative approach to responding to the Senators' letter. We have reviewed and confirmed that Gemstar compensated these individuals for their work at the same rates as workers of other ethnicities who had comparable skills and roles, and at a level that was above the local minimum wage. Although our review has not identified any instances in which individuals were obliged or in any other way forced to work at the Qinzhou facility or were paid less than their promised wage, Gemstar, which engaged these workers through a third-party labor agency, terminated its relationship with that agency, ended its arrangement with these workers, and paid all outstanding wages and severance directly and individually to each of the workers in question. Nonetheless, the perception that we or an entity affiliated with us might have had associations with a program described by some as involving forced labor could result in reputational damage as well as lost revenue. To date, as a result of this perception, some customers have advised us that they have stopped doing business with us or have put further business with us on hold. As of now, the amount of revenue at issue from the aforementioned customer decisions is immaterial; however, should additional customers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cease doing business with us, the loss of revenue could become material, which would have an adverse effect on our business, results of operations and financial condition. Additionally, we intend to cooperate fully with the Senators' inquiry and have provided the Senators with a timely response, however, we are unable to predict the outcome or impact of this inquiry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nine months ended September 30, 2021 to the items that we disclosed as our critical accounting policies and estimates in Item 7, "Management's Discussion and Analysis of Financial Condition and Results of Operations" contained in our Annual Report on Form 10-K for our fiscal year ended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16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502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72.7</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27.3</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5.0</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16.9</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5.4</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Loss on sale of Argentina subsidiary</w:t>
            </w:r>
          </w:p>
        </w:tc>
        <w:tc>
          <w:tcPr>
            <w:tcW w:w="1480" w:type="dxa"/>
            <w:vAlign w:val="bottom"/>
          </w:tcPr>
          <w:p>
            <w:pPr>
              <w:ind w:left="9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social insurance adjustment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14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(0.3)</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4"/>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versus Three Months Ended September 30, 2020</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three months ended September 30, 2021 were $155.6 million, a slight increase compared to $153.5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We continue to experience growth in our HVAC channel, particularly in the APAC region, as consumers demand higher-end solutions. Our customers in the HVAC channel began incorporating our technology in their high-end products and are now including these advanced solutions in a variety of models. In addition, royalty revenue has increased as a few of the largest TV OEMs in the world are embedding our technology in their devices. Partially offsetting these positive trends is a decrease in sales in our subscription broadcast channel, primarily in North America.</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September 30, 2021 was $45.8 million compared to $44.2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Gross profit as a percentage of sales increased to 29.4% for the three months ended September 30, 2021 from 28.8% for the three months ended September 30, 2020. Gross profit as a percentage of sales was favorably impacted by a mix shift toward higher margin revenue streams such as royalties, as a few of the largest consumer electronic companies in the world are embedding our technology in their devices. In addition, we sold through inventories to a certain customer that were partially reserved yielding margin on an incremental basis that is higher than normal. The favorable mix shift was partially offset by the weakening of the U.S. Dollar versus the Chinese Yuan Renminbi and Mexican Peso as well as the onset of higher commodity and transportation costs.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declined to $7.4 million for the three months ended September 30, 2021, from $7.7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 year period.</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SG&amp;A expenses increased to $29.5 million for the three months ended September 30, 2021 from</w:t>
      </w:r>
      <w:r>
        <w:rPr>
          <w:rFonts w:ascii="Arial" w:cs="Arial" w:eastAsia="Arial" w:hAnsi="Arial"/>
          <w:sz w:val="16"/>
          <w:szCs w:val="16"/>
          <w:i w:val="1"/>
          <w:iCs w:val="1"/>
          <w:color w:val="auto"/>
        </w:rPr>
        <w:t xml:space="preserve"> </w:t>
      </w:r>
      <w:r>
        <w:rPr>
          <w:rFonts w:ascii="Arial" w:cs="Arial" w:eastAsia="Arial" w:hAnsi="Arial"/>
          <w:sz w:val="16"/>
          <w:szCs w:val="16"/>
          <w:color w:val="auto"/>
        </w:rPr>
        <w:t>$26.2 million for the three months ended September 30, 2020, primarily due to an increase in outside legal expenses related to specific legal matters.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net decreased to $0.2 million for the three months ended September 30, 2021 from $0.3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2020, as a result of a lower average loan balance and a lower interest rate.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Loss on sale of Argentina subsidiary. </w:t>
      </w:r>
      <w:r>
        <w:rPr>
          <w:rFonts w:ascii="Arial" w:cs="Arial" w:eastAsia="Arial" w:hAnsi="Arial"/>
          <w:sz w:val="17"/>
          <w:szCs w:val="17"/>
          <w:color w:val="auto"/>
        </w:rPr>
        <w:t>During the three months ended September 30, 2021, we completed the sale of our subsidiary, One For All Argentina</w:t>
      </w:r>
      <w:r>
        <w:rPr>
          <w:rFonts w:ascii="Arial" w:cs="Arial" w:eastAsia="Arial" w:hAnsi="Arial"/>
          <w:sz w:val="17"/>
          <w:szCs w:val="17"/>
          <w:i w:val="1"/>
          <w:iCs w:val="1"/>
          <w:color w:val="auto"/>
        </w:rPr>
        <w:t xml:space="preserve"> </w:t>
      </w:r>
      <w:r>
        <w:rPr>
          <w:rFonts w:ascii="Arial" w:cs="Arial" w:eastAsia="Arial" w:hAnsi="Arial"/>
          <w:sz w:val="17"/>
          <w:szCs w:val="17"/>
          <w:color w:val="auto"/>
        </w:rPr>
        <w:t>S.R.L, recording a loss on sale of $6.1 million. The loss was primarily attributable to the weakening of the Argentinian Peso versus the U.S. Dollar resulting in a loss in equity value in our Argentina subsidiary and ultimately sales proceeds that were significantly less than the invested capital.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was $0.2 million for the three months ended September 30, 2021 and $1.6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as a result of net foreign currency losses.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$3.4 million for the three months ended September 30, 2021, representing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138.4% compared to an income tax expense of $2.2 million for the three months ended September 30, 2020, representing an effective tax rate of 26.0%. Our effective tax rate for the three months ended September 30, 2021 increased significantly due to the recording of a loss without benefit from the sale of our Argentina subsidiary. This increase was partially offset by the receipt of a $0.5 million tax incentive in China in the three months ended September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versus Nine Months Ended September 30, 2020</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the nine months ended September 30, 2021 were $456.7 million, a slight decrease compared to $458.4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Sales in our subscription broadcast channel, primarily in North America, are lower than in the prior year period. Offsetting this decrease is growth in our HVAC channel, particularly in the APAC region, as consumers demand higher-end solutions. Our customers in the HVAC channel began incorporating our technology in their high-end products and are now including these advanced solutions in a variety of models. In addition, royalty revenue has increased as a few of the largest TV OEMs in the world are embedding our technology in their devices.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nine months ended September 30, 2021 was $136.9 million compared to $125.2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Gross profit as a percentage of sales increased to 30.0% for the nine months ended September 30, 2021 from 27.3% for the nine months ended September 30, 2020. Gross profit as a percentage of sales was favorably impacted by a mix shift toward higher margin revenue streams such as royalties, as a few of the largest consumer electronic companies in the world are embedding our technology in their devices. The gross margin increase due to mix shift was partially offset by the weakening of the U.S. Dollar versus the Chinese Yuan Renminbi and Mexican Peso.</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R&amp;D expenses remained consistent at $23.0 million for each of the nine months ended September 30, 2021 and 2020.</w:t>
      </w:r>
    </w:p>
    <w:p>
      <w:pPr>
        <w:spacing w:after="0" w:line="2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to $87.3 million for the nine months ended September 30, 2021 from $77.4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2020, primarily due to an increase in outside legal expenses related to specific legal matters.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net decreased to $0.4 million for the nine months ended September 30, 2021 from $1.3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as a result of a lower average loan balance and a lower interest rate.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Loss on sale of Argentina subsidiary. </w:t>
      </w:r>
      <w:r>
        <w:rPr>
          <w:rFonts w:ascii="Arial" w:cs="Arial" w:eastAsia="Arial" w:hAnsi="Arial"/>
          <w:sz w:val="17"/>
          <w:szCs w:val="17"/>
          <w:color w:val="auto"/>
        </w:rPr>
        <w:t>During the nine months ended September 30, 2021, we completed the sale of our subsidiary, One For All Argentina</w:t>
      </w:r>
      <w:r>
        <w:rPr>
          <w:rFonts w:ascii="Arial" w:cs="Arial" w:eastAsia="Arial" w:hAnsi="Arial"/>
          <w:sz w:val="17"/>
          <w:szCs w:val="17"/>
          <w:i w:val="1"/>
          <w:iCs w:val="1"/>
          <w:color w:val="auto"/>
        </w:rPr>
        <w:t xml:space="preserve"> </w:t>
      </w:r>
      <w:r>
        <w:rPr>
          <w:rFonts w:ascii="Arial" w:cs="Arial" w:eastAsia="Arial" w:hAnsi="Arial"/>
          <w:sz w:val="17"/>
          <w:szCs w:val="17"/>
          <w:color w:val="auto"/>
        </w:rPr>
        <w:t>S.R.L, recording a loss on sale of $6.1 million. The loss was primarily attributable to the weakening of the Argentinian Peso versus the U.S. Dollar resulting in a loss in equity value in our Argentina subsidiary and ultimately sales proceeds that were significantly less than the invested capital.</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Accrued social insurance adjustment. </w:t>
      </w:r>
      <w:r>
        <w:rPr>
          <w:rFonts w:ascii="Arial" w:cs="Arial" w:eastAsia="Arial" w:hAnsi="Arial"/>
          <w:sz w:val="18"/>
          <w:szCs w:val="18"/>
          <w:color w:val="auto"/>
        </w:rPr>
        <w:t>During the nine months ended September 30, 2020, we reversed approximately $9.5 million of accrued social</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In June 2018, we sold all of the outstanding stock of our Guangzhou entity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amount associated with the Guangzhou entity which was approximately $9.5 million.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was $0.2 million for the nine months ended September 30, 2021, as a result of net foreign currency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miscellaneous non-operating gains, compared to other expense, net of $1.3 million for the nine months ended September 30, 2020, as a result of net foreign currency losses.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$8.3 million for the nine months ended September 30, 2021, representing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41.5% compared to $5.3 million for the nine months ended September 30, 2020, representing an effective tax rate of 16.6%. The main drivers of the increase in our effective tax rate were the recording of a loss without benefit resulting from the sale of our Argentina subsidiary in 2021 and the prior year reversal of a reserve approximating $1.3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340" w:type="dxa"/>
            <w:vAlign w:val="bottom"/>
          </w:tcPr>
          <w:p>
            <w:pPr>
              <w:spacing w:after="0"/>
              <w:rPr>
                <w:sz w:val="16"/>
                <w:szCs w:val="16"/>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24"/>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Cash used for investing activities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(16,618)</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for financing activities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 2021</w:t>
            </w:r>
          </w:p>
        </w:tc>
        <w:tc>
          <w:tcPr>
            <w:tcW w:w="34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24"/>
                <w:szCs w:val="24"/>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5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136,133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147,333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was $22.9 million during the nine months ended September 30, 2021 compared to $43.8 million during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2020. Net income was $11.6 million for the nine months ended September 30, 2021 compared to net income of $26.4 million for the nine months ended September 30, 2020. Accounts payable and accrued liabilities resulted in net cash outflows of $7.4 million during the nine months ended September 30, 2021 compared to $50.5 million during the nine months ended September 30, 2020, largely as a result of a significant decrease in inventories during the prior year period as well as a decrease in accrued compensation and contingent consideration payments. Changes in accounts receivable and contract assets resulted in cash outflows of $12.1 million during the nine months ended September 30, 2021 compared to cash inflows of $11.6 million during the nine months ended September 30, 2020 largely as a result of the timing of sales during the quarter. Days sales outstanding were 77 days at September 30, 2021 compared to 75 days at September 30, 2020. Inventories increased by $4.5 million during the nine months ended September 30, 2021 as a result of our management of the global shortage of integrated circuits compared to a decrease of $30.5 million during the nine months ended September 30, 2020 as result of lower sales volume in 2020 compared to 2019.</w:t>
      </w:r>
    </w:p>
    <w:p>
      <w:pPr>
        <w:spacing w:after="0" w:line="2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Net cash used for investing activities </w:t>
      </w:r>
      <w:r>
        <w:rPr>
          <w:rFonts w:ascii="Arial" w:cs="Arial" w:eastAsia="Arial" w:hAnsi="Arial"/>
          <w:sz w:val="16"/>
          <w:szCs w:val="16"/>
          <w:color w:val="auto"/>
        </w:rPr>
        <w:t>during the nine months ended September 30, 2021 was $12.4 million, of which $8.8 million and $3.6 million was</w:t>
      </w:r>
      <w:r>
        <w:rPr>
          <w:rFonts w:ascii="Arial" w:cs="Arial" w:eastAsia="Arial" w:hAnsi="Arial"/>
          <w:sz w:val="16"/>
          <w:szCs w:val="16"/>
          <w:i w:val="1"/>
          <w:iCs w:val="1"/>
          <w:color w:val="auto"/>
        </w:rPr>
        <w:t xml:space="preserve"> </w:t>
      </w:r>
      <w:r>
        <w:rPr>
          <w:rFonts w:ascii="Arial" w:cs="Arial" w:eastAsia="Arial" w:hAnsi="Arial"/>
          <w:sz w:val="16"/>
          <w:szCs w:val="16"/>
          <w:color w:val="auto"/>
        </w:rPr>
        <w:t>used for capital expenditures and the development of patents, respectively. Net cash used for investing activities during the nine months ended September 30, 2020 was $16.6 million of which $10.9 million and $5.3 million was used for capital expenditures and the development of patents, respectively.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$10.2 million during the nine months ended September 30, 2021 compared to $30.9 million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The decrease in cash used for financing activities was driven primarily by borrowing and repayment activity on our line of credit. During the nine months ended September 30, 2021, we had net borrowings of $33.0 million compared to net repayments of $18.0 million during the nine months ended September 30, 2020.</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2021, we repurchased 858,670 shares of our common stock at a cost of $44.2 million compared to our repurchase of 263,164 shares at a cost of $9.8 million during the nine months ended September 30, 2020. We hold these shares as treasury stock and they are available for reissue. Presently, we have no plans to utilize these shares, although we may change these plans if necessary to fulfill our on-going business objectives. See Note 13 contained in "Notes to Consolidated Financial Statements" for further information regarding our share repurchase programs.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Payments Due by Period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57"/>
              <w:spacing w:after="0" w:line="135"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377"/>
              <w:spacing w:after="0" w:line="135"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7"/>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7"/>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hanging="328"/>
        <w:spacing w:after="0" w:line="227"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Purchase obligations primarily consist of contractual payments to purchase inventory; property, plant and equipment; and payments for a fixed-fee software license.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Intelligent Technology, Inc.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Our liquidity is subject to various risks including the risks discussed under "Item 3. Quantitative and Qualitative Disclosures about Market Risk."</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Pr>
          <w:p>
            <w:pPr>
              <w:spacing w:after="0"/>
              <w:rPr>
                <w:sz w:val="16"/>
                <w:szCs w:val="16"/>
                <w:color w:val="auto"/>
              </w:rPr>
            </w:pPr>
          </w:p>
        </w:tc>
        <w:tc>
          <w:tcPr>
            <w:tcW w:w="182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Available borrowing resources</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69,300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102,300</w:t>
            </w:r>
          </w:p>
        </w:tc>
      </w:tr>
    </w:tbl>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30, 2021, we had $7.6 million, $14.6 million, $11.9 million, $15.2 million and $9.5 million of cash and cash equivalents in the United States, the PRC, Asia (excluding the PRC), Europe, and South America, respectively. On December 31, 2020, we had $9.8 million, $14.3 million, $13.5 million, $10.9 million, and $8.7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2022.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September 30, 2021. On October 25, 2021, we executed an amendment to extend the term of our Second Amended Credit Agreement to November 1, 2023.</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 In conjunction with the amendment to our Second Amended Credit Agreement executed on October 25, 2021, the pledge of 65% ownership interest in Enson Assets Limited was terminated and was replaced with a guaranty of the Credit Line by our wholly-owned subsidiary, Universal Electronics BV.</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September 30, 2021 and December 31, 2020 were 1.33% and 1.39%, respectively. There are no commitment fees or unused line fees under the Second Amended Credit Agreement.</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2021, the process of cessation of LIBOR as a reference rate will begin. LIBOR may continue to be used for new and existing borrowings on the Credit Line through December 31, 2021. After that date, new borrowings will no longer use LIBOR as a reference rate. Instead, these borrowings will be subject to an interest rate based on either the Secured Overnight Financing Rate ("SOFR"), which is deemed a replacement benchmark for LIBOR under the Second Amended Credit Agreement, or an alternate index to be agreed upon. Between December 31, 2021 and June 30, 2023, any legacy borrowings may continue to use LIBOR as the basis for interest rates. After June 30, 2023, all borrowings will be based on SOFR or the alternate index.</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September 30, 2021, we were in compliance with the covenants and conditions of the Second Amended Credit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we had an outstanding balance of $53.0 million on our Credit Line and $69.3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2020 Annual Report on Form 10-K, or in our other reports filed from time to time with the Securities and Exchange Commission ("SEC")),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impact of the COVID-19 pandemic on our business, results of operations, financial position and liquidity; the impact to our quarterly revenue, margins and operating profits due to our inability to continue to obtain adequate quantities of component parts, including ICs; potential inability to timely deliver products to our customers due to the substantial delays in the transportation and the onloading and offloading of our product resulting from the significant congestion at ports throughout the world and other downstream transportation, such as via trucks and rail;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decision to purchase their products from an alternative or second source supplier, their efforts to refocus their operations to broadband and OTT versus traditional linear video, their failure to grow as we anticipated, their internal inventory control measures,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 cable, satellite, consumer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electronics, retail, and digital media and interactive technology; our inability to add profitable complementary products which are accepted by the marketplace; our inability to attract and retain a quality workforce at adequate levels in all regions of the world, and particularly those jurisdictions 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and other factors listed from time to time in our press releases and filings with the Securities and Exchange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$0.4 million annual impact on net income based on our outstanding Credit Line balance at September 30, 2021.</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September 30, 2021, we had wholly-owned subsidiaries in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Hong Kong Dollar, Brazilian Real, Japanese Yen and Korean Won.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September 30, 2021, we believe that movements in foreign currency rates may have a material effect on our financial position and results of operations. We estimate that if the exchange rates for the Chinese Yuan Renminbi, Euro, British Pound, Mexican Peso, Indian Rupee, Brazilian Real, and Japanese Yen relative to the U.S. Dollar fluctuate 10% from September 30, 2021, net income in the fourth quarter of 2021 would fluctuate by approximately $8.6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12"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Difficulty in ordering ICs and increases in commodities and freight costs have adversely affected and will continue to adversely affect our business.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experiencing difficulty in ordering ICs for future use and that difficulty is expected to continue into 2022. The global shortage of ICs is affecting a multitude of industries and we expect it to continue to adversely affect our business. While we are identifying other sources of ICs and taking other production and inventory control steps in order to mitigate the effects caused by this shortage, we cannot guarantee that we will find alternative sources to meet our short- and longer-term IC needs and/or without experiencing increases in the prices we pay for these components. If we are not able to find these alternative sources of ICs or are not able to purchase sufficient quantities of ICs from our current and alternative suppliers, we may not be able to produce sufficient quantities of products to meet our customers' demands. This, in turn, may affect our ability to meet our quarterly revenue targets. In addition, many of our products are paired with certain of our customers' products, like set-top boxes and televisions. If those customers are not able to obtain sufficient quantities of ICs for their products, their demand for our products may decrease. Also, we are beginning to experience increases in commodities and freight costs which could adversely affect our margins. Further, we may incur additional freight costs to meet the delivery demands of our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Doing Business in the PRC – Availability of adequate workforce levels</w:t>
      </w:r>
    </w:p>
    <w:p>
      <w:pPr>
        <w:spacing w:after="0" w:line="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Presently, the vast majority of workers at our PRC factories are obtained from third-party employment agencies. As the labor laws, social insurance and wage levels continue to grow and the workers become more sophisticated, our costs to employ these and other workers in the PRC may grow beyond that anticipated by management.</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October 2021, Reuters published an article indicating that individuals from China's Uyghur minority, originally resident in the PRC region of Xinjiang, were working in a facility in Qinzhou, Guangxi operated by our Chinese subsidiary, Gemstar. The article alleged that the presence of these workers in Guangxi was indicative of "a transfer program described by some rights groups as forced labor." We have reviewed and confirmed that Gemstar compensated these individuals for their work at the same rates as workers of other ethnicities who had comparable skills and roles, and at a level that was above the local minimum wage. Although our review has not identified any instances in which individuals were obliged or in any other way forced to work at the Qinzhou facility or were paid less than their promised wage, Gemstar, which engaged these workers through a third-party labor agency, terminated its relationship with that agency, ended its arrangement with these workers, and paid all outstanding wages and severance directly and individually to each of the workers in question. Nonetheless, the perception that we or an entity affiliated with us might have had associations with a program described by some as involving forced labor could result in reputational damage as well as lost revenue. To date, as a result of this perception, some customers have advised us that they have stopped doing business with us or have put further business with us on hold. As of now, the amount of revenue at issue from the aforementioned customer decisions is immaterial; however, should additional customers cease doing business with us, the loss of revenue could become material, which would have an adverse effect on our business, results of operations and financial condition.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Shortly after publication of the Reuters article, three U.S. Senators wrote jointly to us seeking information regarding these workers and the terms of their work at the Qinzhou facility. We intend to cooperate fully with the Senators' inquiry and have provided the Senators with a timely response, however, we are unable to predict the outcome or impact of this inquiry on our business, results of operations and financial condition.</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Additionally, the U.S. government has recently expanded regulatory and enforcement activity related to a long-existing ban on U.S. importation of products produced with forced labor. Section 307 of the U.S. Tariff Act of 1930, as amended ("Section 307") prohibits U.S. importation of goods that are produced or manufactured, wholly or in part, in any non-U.S. country by forced or indentured labor. While we do not believe we or any of our affiliates have used forced labor, and Gemstar has terminated its relationship with the third-party labor agency, ended its arrangement with these workers in question, and paid all outstanding wages and severance directly and individually to each of these workers, we cannot guarantee that the relevant U.S. authorities will not decide that forced labor exists or existed in the manufacturing of our products or in our supply chain and, pursuant to Section 307, prohibit or otherwise penalize U.S. imports of certain of our products, which would have an adverse effect on our business, results of operations and financial condition. In addition, if any new legislation or regulatory action with respect to the alleged use of forced labor or the import of products sourced from China were to be enacted in the United States or in other regions where we do business that impose additional restrictions or requirements on importation of goods that are produced or manufactured in the PRC,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reader should carefully consider, in connection with the other information in this report, the risk factors discussed in "Part I, Item 1A: Risk Factors" of the Company's 2020 Annual Report on Form 10-K. These factors may cause our actual results to differ materially from those stated in forward-looking statements contained in this document and elsewhere.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September 30, 2021, our total stock repurchases, average price paid per share and the maximum number of shares that may yet be purchased on the open market under our plans or programs: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1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2160" w:type="dxa"/>
            <w:vAlign w:val="bottom"/>
          </w:tcPr>
          <w:p>
            <w:pPr>
              <w:jc w:val="center"/>
              <w:ind w:left="38"/>
              <w:spacing w:after="0" w:line="135"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89"/>
        </w:trPr>
        <w:tc>
          <w:tcPr>
            <w:tcW w:w="4180" w:type="dxa"/>
            <w:vAlign w:val="bottom"/>
            <w:gridSpan w:val="2"/>
            <w:vMerge w:val="continue"/>
          </w:tcPr>
          <w:p>
            <w:pPr>
              <w:spacing w:after="0"/>
              <w:rPr>
                <w:sz w:val="16"/>
                <w:szCs w:val="16"/>
                <w:color w:val="auto"/>
              </w:rPr>
            </w:pPr>
          </w:p>
        </w:tc>
        <w:tc>
          <w:tcPr>
            <w:tcW w:w="1440" w:type="dxa"/>
            <w:vAlign w:val="bottom"/>
          </w:tcPr>
          <w:p>
            <w:pPr>
              <w:jc w:val="right"/>
              <w:ind w:right="16"/>
              <w:spacing w:after="0" w:line="189" w:lineRule="exact"/>
              <w:rPr>
                <w:sz w:val="20"/>
                <w:szCs w:val="20"/>
                <w:color w:val="auto"/>
              </w:rPr>
            </w:pPr>
            <w:r>
              <w:rPr>
                <w:rFonts w:ascii="Arial" w:cs="Arial" w:eastAsia="Arial" w:hAnsi="Arial"/>
                <w:sz w:val="14"/>
                <w:szCs w:val="14"/>
                <w:b w:val="1"/>
                <w:bCs w:val="1"/>
                <w:color w:val="auto"/>
                <w:w w:val="93"/>
              </w:rPr>
              <w:t xml:space="preserve">Shares Purchased </w:t>
            </w:r>
            <w:r>
              <w:rPr>
                <w:rFonts w:ascii="Arial" w:cs="Arial" w:eastAsia="Arial" w:hAnsi="Arial"/>
                <w:sz w:val="18"/>
                <w:szCs w:val="18"/>
                <w:b w:val="1"/>
                <w:bCs w:val="1"/>
                <w:color w:val="auto"/>
                <w:w w:val="93"/>
                <w:vertAlign w:val="superscript"/>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8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2160" w:type="dxa"/>
            <w:vAlign w:val="bottom"/>
          </w:tcPr>
          <w:p>
            <w:pPr>
              <w:jc w:val="center"/>
              <w:ind w:left="18"/>
              <w:spacing w:after="0" w:line="189" w:lineRule="exact"/>
              <w:rPr>
                <w:sz w:val="20"/>
                <w:szCs w:val="20"/>
                <w:color w:val="auto"/>
              </w:rPr>
            </w:pPr>
            <w:r>
              <w:rPr>
                <w:rFonts w:ascii="Arial" w:cs="Arial" w:eastAsia="Arial" w:hAnsi="Arial"/>
                <w:sz w:val="14"/>
                <w:szCs w:val="14"/>
                <w:b w:val="1"/>
                <w:bCs w:val="1"/>
                <w:color w:val="auto"/>
                <w:w w:val="91"/>
              </w:rPr>
              <w:t xml:space="preserve">Under the Plans or Programs </w:t>
            </w:r>
            <w:r>
              <w:rPr>
                <w:rFonts w:ascii="Arial" w:cs="Arial" w:eastAsia="Arial" w:hAnsi="Arial"/>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2021 - July 31, 2021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August 1, 2021 - August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136,970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49.83</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133,192</w:t>
            </w:r>
          </w:p>
        </w:tc>
        <w:tc>
          <w:tcPr>
            <w:tcW w:w="2160" w:type="dxa"/>
            <w:vAlign w:val="bottom"/>
          </w:tcPr>
          <w:p>
            <w:pPr>
              <w:jc w:val="right"/>
              <w:spacing w:after="0"/>
              <w:rPr>
                <w:sz w:val="20"/>
                <w:szCs w:val="20"/>
                <w:color w:val="auto"/>
              </w:rPr>
            </w:pPr>
            <w:r>
              <w:rPr>
                <w:rFonts w:ascii="Arial" w:cs="Arial" w:eastAsia="Arial" w:hAnsi="Arial"/>
                <w:sz w:val="18"/>
                <w:szCs w:val="18"/>
                <w:color w:val="auto"/>
              </w:rPr>
              <w:t>266,808</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2021 - September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210,137</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56,671</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347,955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50.39</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343,329</w:t>
            </w:r>
          </w:p>
        </w:tc>
        <w:tc>
          <w:tcPr>
            <w:tcW w:w="2160" w:type="dxa"/>
            <w:vAlign w:val="bottom"/>
          </w:tcPr>
          <w:p>
            <w:pPr>
              <w:jc w:val="right"/>
              <w:spacing w:after="0"/>
              <w:rPr>
                <w:sz w:val="20"/>
                <w:szCs w:val="20"/>
                <w:color w:val="auto"/>
              </w:rPr>
            </w:pPr>
            <w:r>
              <w:rPr>
                <w:rFonts w:ascii="Arial" w:cs="Arial" w:eastAsia="Arial" w:hAnsi="Arial"/>
                <w:sz w:val="18"/>
                <w:szCs w:val="18"/>
                <w:color w:val="auto"/>
              </w:rPr>
              <w:t>56,671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hanging="328"/>
        <w:spacing w:after="0" w:line="227" w:lineRule="auto"/>
        <w:tabs>
          <w:tab w:leader="none" w:pos="64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Of the repurchases in July and August, 848 and 3,778 shares, respectively, represent common shares of the Company that were owned and tendered by employees to satisfy tax withholding obligations in connection with the vesting of restricted shares.</w:t>
      </w:r>
    </w:p>
    <w:p>
      <w:pPr>
        <w:spacing w:after="0" w:line="40" w:lineRule="exact"/>
        <w:rPr>
          <w:rFonts w:ascii="Arial" w:cs="Arial" w:eastAsia="Arial" w:hAnsi="Arial"/>
          <w:sz w:val="23"/>
          <w:szCs w:val="23"/>
          <w:color w:val="auto"/>
          <w:vertAlign w:val="superscript"/>
        </w:rPr>
      </w:pPr>
    </w:p>
    <w:p>
      <w:pPr>
        <w:jc w:val="both"/>
        <w:ind w:left="660" w:hanging="328"/>
        <w:spacing w:after="0" w:line="261" w:lineRule="auto"/>
        <w:tabs>
          <w:tab w:leader="none" w:pos="64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On July 28, 2021, our Board approved a share repurchase program with an effective date of August 10, 2021 (the "August 2021 Program"). Pursuant to the August 2021 Program, we have been authorized to repurchase up to 400,000 shares of our common stock at predetermined prices until the earlier of the repurchase of all 400,000 shares or November 4, 2021. The August 2021 Program was completed in October 2021, upon repurchase by us of all 400,000 shares as authorized. On October 20, 2021, our Board approved a new share repurchase program with an effective date of November 9, 2021 (the "November 2021 Program"). Pursuant to the November 2021 Program, we have been authorized to repurchase up to 300,000 shares of our common stock at predetermined prices until the earlier of the repurchase of all 300,000 shares or February 17, 2022. We may utilize various methods to effect the repurchases, which may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20" w:type="dxa"/>
            <w:vAlign w:val="bottom"/>
            <w:gridSpan w:val="3"/>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31.1</w:t>
            </w:r>
          </w:p>
        </w:tc>
        <w:tc>
          <w:tcPr>
            <w:tcW w:w="940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41">
              <w:r>
                <w:rPr>
                  <w:rFonts w:ascii="Arial" w:cs="Arial" w:eastAsia="Arial" w:hAnsi="Arial"/>
                  <w:sz w:val="18"/>
                  <w:szCs w:val="18"/>
                  <w:color w:val="0000FF"/>
                  <w:w w:val="93"/>
                </w:rPr>
                <w:t>Rule 13a-14(a) Certifications of Paul D. Arling, Chief Executive Officer (principal executive officer) of Universal Electronics Inc.</w:t>
              </w:r>
            </w:hyperlink>
          </w:p>
        </w:tc>
        <w:tc>
          <w:tcPr>
            <w:tcW w:w="280" w:type="dxa"/>
            <w:vAlign w:val="bottom"/>
            <w:gridSpan w:val="2"/>
          </w:tcPr>
          <w:p>
            <w:pPr>
              <w:spacing w:after="0"/>
              <w:rPr>
                <w:sz w:val="24"/>
                <w:szCs w:val="24"/>
                <w:color w:val="auto"/>
              </w:rPr>
            </w:pPr>
          </w:p>
        </w:tc>
      </w:tr>
      <w:tr>
        <w:trPr>
          <w:trHeight w:val="263"/>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31.2</w:t>
            </w:r>
          </w:p>
        </w:tc>
        <w:tc>
          <w:tcPr>
            <w:tcW w:w="9680" w:type="dxa"/>
            <w:vAlign w:val="bottom"/>
            <w:gridSpan w:val="4"/>
          </w:tcPr>
          <w:p>
            <w:pPr>
              <w:spacing w:after="0"/>
              <w:rPr>
                <w:rFonts w:ascii="Arial" w:cs="Arial" w:eastAsia="Arial" w:hAnsi="Arial"/>
                <w:sz w:val="18"/>
                <w:szCs w:val="18"/>
                <w:color w:val="0000FF"/>
                <w:w w:val="96"/>
              </w:rPr>
            </w:pPr>
            <w:hyperlink w:anchor="page42">
              <w:r>
                <w:rPr>
                  <w:rFonts w:ascii="Arial" w:cs="Arial" w:eastAsia="Arial" w:hAnsi="Arial"/>
                  <w:sz w:val="18"/>
                  <w:szCs w:val="18"/>
                  <w:color w:val="0000FF"/>
                  <w:w w:val="96"/>
                </w:rPr>
                <w:t>Rule 13a-14(a) Certifications of Bryan M. Hackworth, Chief Financial Officer (principal financial officer and principal accounting</w:t>
              </w:r>
            </w:hyperlink>
          </w:p>
        </w:tc>
      </w:tr>
      <w:tr>
        <w:trPr>
          <w:trHeight w:val="156"/>
        </w:trPr>
        <w:tc>
          <w:tcPr>
            <w:tcW w:w="1380" w:type="dxa"/>
            <w:vAlign w:val="bottom"/>
          </w:tcPr>
          <w:p>
            <w:pPr>
              <w:spacing w:after="0"/>
              <w:rPr>
                <w:sz w:val="13"/>
                <w:szCs w:val="13"/>
                <w:color w:val="auto"/>
              </w:rPr>
            </w:pPr>
          </w:p>
        </w:tc>
        <w:tc>
          <w:tcPr>
            <w:tcW w:w="2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42">
              <w:r>
                <w:rPr>
                  <w:rFonts w:ascii="Arial" w:cs="Arial" w:eastAsia="Arial" w:hAnsi="Arial"/>
                  <w:sz w:val="18"/>
                  <w:szCs w:val="18"/>
                  <w:color w:val="0000FF"/>
                  <w:w w:val="93"/>
                </w:rPr>
                <w:t>officer) of Universal Electronics Inc.</w:t>
              </w:r>
            </w:hyperlink>
          </w:p>
        </w:tc>
        <w:tc>
          <w:tcPr>
            <w:tcW w:w="70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80" w:lineRule="exact"/>
        <w:rPr>
          <w:sz w:val="20"/>
          <w:szCs w:val="20"/>
          <w:color w:val="auto"/>
        </w:rPr>
      </w:pPr>
    </w:p>
    <w:p>
      <w:pPr>
        <w:jc w:val="both"/>
        <w:ind w:left="1540" w:hanging="1372"/>
        <w:spacing w:after="0" w:line="224" w:lineRule="auto"/>
        <w:tabs>
          <w:tab w:leader="none" w:pos="1540" w:val="left"/>
        </w:tabs>
        <w:numPr>
          <w:ilvl w:val="0"/>
          <w:numId w:val="17"/>
        </w:numPr>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Section 1350 Certifications of Paul D. Arling, Chief Executive Officer (principal executive officer) of Universal Electronics Inc., and</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Bryan M. Hackworth, Chief Financial Officer (principal financial officer and principal accounting officer) of Universal Electronics</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Inc., pursuant to 18 U.S.C. Section 1350</w:t>
        </w:r>
      </w:hyperlink>
    </w:p>
    <w:p>
      <w:pPr>
        <w:spacing w:after="0" w:line="55" w:lineRule="exact"/>
        <w:rPr>
          <w:rFonts w:ascii="Arial" w:cs="Arial" w:eastAsia="Arial" w:hAnsi="Arial"/>
          <w:sz w:val="18"/>
          <w:szCs w:val="18"/>
          <w:u w:val="single" w:color="auto"/>
          <w:color w:val="0000FF"/>
        </w:rPr>
      </w:pPr>
    </w:p>
    <w:tbl>
      <w:tblPr>
        <w:tblLayout w:type="fixed"/>
        <w:tblInd w:w="1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Instance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tcPr>
          <w:p>
            <w:pPr>
              <w:ind w:left="34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tcPr>
          <w:p>
            <w:pPr>
              <w:ind w:left="34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300" w:type="dxa"/>
            <w:vAlign w:val="bottom"/>
          </w:tcPr>
          <w:p>
            <w:pPr>
              <w:ind w:left="34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53" w:lineRule="exact"/>
        <w:rPr>
          <w:rFonts w:ascii="Arial" w:cs="Arial" w:eastAsia="Arial" w:hAnsi="Arial"/>
          <w:sz w:val="18"/>
          <w:szCs w:val="18"/>
          <w:u w:val="single" w:color="auto"/>
          <w:color w:val="0000FF"/>
        </w:rPr>
      </w:pPr>
    </w:p>
    <w:p>
      <w:pPr>
        <w:ind w:left="1540" w:hanging="1372"/>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4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color w:val="auto"/>
              </w:rPr>
              <w:t>Dated:   November 4, 2021</w:t>
            </w:r>
          </w:p>
        </w:tc>
        <w:tc>
          <w:tcPr>
            <w:tcW w:w="7460" w:type="dxa"/>
            <w:vAlign w:val="bottom"/>
            <w:gridSpan w:val="2"/>
          </w:tcPr>
          <w:p>
            <w:pPr>
              <w:ind w:left="1680"/>
              <w:spacing w:after="0"/>
              <w:rPr>
                <w:sz w:val="20"/>
                <w:szCs w:val="20"/>
                <w:color w:val="auto"/>
              </w:rPr>
            </w:pPr>
            <w:r>
              <w:rPr>
                <w:rFonts w:ascii="Arial" w:cs="Arial" w:eastAsia="Arial" w:hAnsi="Arial"/>
                <w:sz w:val="18"/>
                <w:szCs w:val="18"/>
                <w:b w:val="1"/>
                <w:bCs w:val="1"/>
                <w:color w:val="auto"/>
              </w:rPr>
              <w:t>UNIVERSAL ELECTRONICS INC.</w:t>
            </w:r>
          </w:p>
        </w:tc>
      </w:tr>
      <w:tr>
        <w:trPr>
          <w:trHeight w:val="283"/>
        </w:trPr>
        <w:tc>
          <w:tcPr>
            <w:tcW w:w="3720" w:type="dxa"/>
            <w:vAlign w:val="bottom"/>
          </w:tcPr>
          <w:p>
            <w:pPr>
              <w:spacing w:after="0"/>
              <w:rPr>
                <w:sz w:val="24"/>
                <w:szCs w:val="24"/>
                <w:color w:val="auto"/>
              </w:rPr>
            </w:pPr>
          </w:p>
        </w:tc>
        <w:tc>
          <w:tcPr>
            <w:tcW w:w="2400" w:type="dxa"/>
            <w:vAlign w:val="bottom"/>
          </w:tcPr>
          <w:p>
            <w:pPr>
              <w:ind w:left="16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22"/>
        </w:trPr>
        <w:tc>
          <w:tcPr>
            <w:tcW w:w="37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37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30"/>
        </w:trPr>
        <w:tc>
          <w:tcPr>
            <w:tcW w:w="37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340" w:firstLine="154"/>
        <w:spacing w:after="0" w:line="342" w:lineRule="auto"/>
        <w:tabs>
          <w:tab w:leader="none" w:pos="715"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340" w:firstLine="154"/>
        <w:spacing w:after="0" w:line="334" w:lineRule="auto"/>
        <w:tabs>
          <w:tab w:leader="none" w:pos="715"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8"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ind w:left="20"/>
        <w:spacing w:after="0" w:line="203" w:lineRule="auto"/>
        <w:rPr>
          <w:sz w:val="20"/>
          <w:szCs w:val="20"/>
          <w:color w:val="auto"/>
        </w:rPr>
      </w:pPr>
      <w:r>
        <w:rPr>
          <w:rFonts w:ascii="Arial" w:cs="Arial" w:eastAsia="Arial" w:hAnsi="Arial"/>
          <w:sz w:val="18"/>
          <w:szCs w:val="18"/>
          <w:color w:val="auto"/>
        </w:rPr>
        <w:t>(principal financial officer</w:t>
      </w:r>
    </w:p>
    <w:p>
      <w:pPr>
        <w:ind w:left="2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2021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November 4, 2021</w:t>
            </w:r>
          </w:p>
        </w:tc>
        <w:tc>
          <w:tcPr>
            <w:tcW w:w="6080" w:type="dxa"/>
            <w:vAlign w:val="bottom"/>
            <w:gridSpan w:val="2"/>
          </w:tcPr>
          <w:p>
            <w:pPr>
              <w:ind w:left="2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D. Arling</w:t>
            </w:r>
          </w:p>
        </w:tc>
      </w:tr>
      <w:tr>
        <w:trPr>
          <w:trHeight w:val="222"/>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D. Arling</w:t>
            </w:r>
          </w:p>
        </w:tc>
      </w:tr>
      <w:tr>
        <w:trPr>
          <w:trHeight w:val="230"/>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9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960" w:type="dxa"/>
            <w:vAlign w:val="bottom"/>
          </w:tcPr>
          <w:p>
            <w:pPr>
              <w:spacing w:after="0"/>
              <w:rPr>
                <w:sz w:val="24"/>
                <w:szCs w:val="24"/>
                <w:color w:val="auto"/>
              </w:rPr>
            </w:pPr>
          </w:p>
        </w:tc>
        <w:tc>
          <w:tcPr>
            <w:tcW w:w="6080" w:type="dxa"/>
            <w:vAlign w:val="bottom"/>
            <w:gridSpan w:val="2"/>
          </w:tcPr>
          <w:p>
            <w:pPr>
              <w:ind w:left="2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M. Hackworth</w:t>
            </w:r>
          </w:p>
        </w:tc>
      </w:tr>
      <w:tr>
        <w:trPr>
          <w:trHeight w:val="222"/>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49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49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32"/>
    </w:lvl>
  </w:abstractNum>
  <w:abstractNum w:abstractNumId="17">
    <w:nsid w:val="7C83E458"/>
    <w:multiLevelType w:val="hybridMultilevel"/>
    <w:lvl w:ilvl="0">
      <w:lvlJc w:val="left"/>
      <w:lvlText w:val="%1"/>
      <w:numFmt w:val="decimal"/>
      <w:start w:val="10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2021-11-05T05:21:31Z</dcterms:created>
  <dcterms:modified xsi:type="dcterms:W3CDTF">2021-11-05T05:21:31Z</dcterms:modified>
</cp:coreProperties>
</file>