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1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20"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41" w:lineRule="exact"/>
        <w:rPr>
          <w:sz w:val="24"/>
          <w:szCs w:val="24"/>
          <w:color w:val="auto"/>
        </w:rPr>
      </w:pPr>
    </w:p>
    <w:p>
      <w:pPr>
        <w:ind w:left="680" w:right="500" w:hanging="641"/>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160"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For the fiscal year ended December 31, 2024</w:t>
      </w:r>
    </w:p>
    <w:p>
      <w:pPr>
        <w:spacing w:after="0" w:line="98"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25" w:lineRule="exact"/>
        <w:rPr>
          <w:sz w:val="24"/>
          <w:szCs w:val="24"/>
          <w:color w:val="auto"/>
        </w:rPr>
      </w:pPr>
    </w:p>
    <w:p>
      <w:pPr>
        <w:ind w:left="680" w:right="80" w:hanging="654"/>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60" w:lineRule="exact"/>
        <w:rPr>
          <w:sz w:val="24"/>
          <w:szCs w:val="24"/>
          <w:color w:val="auto"/>
        </w:rPr>
      </w:pPr>
    </w:p>
    <w:p>
      <w:pPr>
        <w:ind w:left="460"/>
        <w:spacing w:after="0"/>
        <w:tabs>
          <w:tab w:leader="none" w:pos="3880" w:val="left"/>
        </w:tabs>
        <w:rPr>
          <w:sz w:val="20"/>
          <w:szCs w:val="20"/>
          <w:color w:val="auto"/>
        </w:rPr>
      </w:pPr>
      <w:r>
        <w:rPr>
          <w:rFonts w:ascii="Times New Roman" w:cs="Times New Roman" w:eastAsia="Times New Roman" w:hAnsi="Times New Roman"/>
          <w:sz w:val="22"/>
          <w:szCs w:val="22"/>
          <w:b w:val="1"/>
          <w:bCs w:val="1"/>
          <w:color w:val="auto"/>
        </w:rPr>
        <w:t>For the transition period from</w:t>
      </w:r>
      <w:r>
        <w:rPr>
          <w:sz w:val="20"/>
          <w:szCs w:val="20"/>
          <w:color w:val="auto"/>
        </w:rPr>
        <w:tab/>
      </w:r>
      <w:r>
        <w:rPr>
          <w:rFonts w:ascii="Times New Roman" w:cs="Times New Roman" w:eastAsia="Times New Roman" w:hAnsi="Times New Roman"/>
          <w:sz w:val="21"/>
          <w:szCs w:val="21"/>
          <w:b w:val="1"/>
          <w:bCs w:val="1"/>
          <w:color w:val="auto"/>
        </w:rPr>
        <w:t>to</w:t>
      </w:r>
    </w:p>
    <w:p>
      <w:pPr>
        <w:spacing w:after="0" w:line="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Commission File Number: 0-21044</w:t>
      </w:r>
    </w:p>
    <w:p>
      <w:pPr>
        <w:spacing w:after="0" w:line="71"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UNIVERSAL ELECTRONICS INC.</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09" w:lineRule="exact"/>
        <w:rPr>
          <w:sz w:val="24"/>
          <w:szCs w:val="24"/>
          <w:color w:val="auto"/>
        </w:rPr>
      </w:pPr>
    </w:p>
    <w:tbl>
      <w:tblPr>
        <w:tblLayout w:type="fixed"/>
        <w:tblInd w:w="1740" w:type="dxa"/>
        <w:tblCellMar>
          <w:top w:w="0" w:type="dxa"/>
          <w:left w:w="0" w:type="dxa"/>
          <w:bottom w:w="0" w:type="dxa"/>
          <w:right w:w="0" w:type="dxa"/>
        </w:tblCellMar>
      </w:tblPr>
      <w:tr>
        <w:trPr>
          <w:trHeight w:val="227"/>
        </w:trPr>
        <w:tc>
          <w:tcPr>
            <w:tcW w:w="4060" w:type="dxa"/>
            <w:vAlign w:val="bottom"/>
          </w:tcPr>
          <w:p>
            <w:pPr>
              <w:jc w:val="center"/>
              <w:ind w:right="20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center"/>
              <w:ind w:left="2062"/>
              <w:spacing w:after="0"/>
              <w:rPr>
                <w:sz w:val="20"/>
                <w:szCs w:val="20"/>
                <w:color w:val="auto"/>
              </w:rPr>
            </w:pPr>
            <w:r>
              <w:rPr>
                <w:rFonts w:ascii="Times New Roman" w:cs="Times New Roman" w:eastAsia="Times New Roman" w:hAnsi="Times New Roman"/>
                <w:sz w:val="18"/>
                <w:szCs w:val="18"/>
                <w:b w:val="1"/>
                <w:bCs w:val="1"/>
                <w:color w:val="auto"/>
                <w:w w:val="98"/>
              </w:rPr>
              <w:t>33-0204817</w:t>
            </w:r>
          </w:p>
        </w:tc>
      </w:tr>
      <w:tr>
        <w:trPr>
          <w:trHeight w:val="148"/>
        </w:trPr>
        <w:tc>
          <w:tcPr>
            <w:tcW w:w="4060" w:type="dxa"/>
            <w:vAlign w:val="bottom"/>
          </w:tcPr>
          <w:p>
            <w:pPr>
              <w:jc w:val="center"/>
              <w:ind w:right="20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80" w:type="dxa"/>
            <w:vAlign w:val="bottom"/>
          </w:tcPr>
          <w:p>
            <w:pPr>
              <w:jc w:val="center"/>
              <w:ind w:left="20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60" w:type="dxa"/>
            <w:vAlign w:val="bottom"/>
          </w:tcPr>
          <w:p>
            <w:pPr>
              <w:jc w:val="center"/>
              <w:ind w:right="206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80" w:type="dxa"/>
            <w:vAlign w:val="bottom"/>
          </w:tcPr>
          <w:p>
            <w:pPr>
              <w:jc w:val="center"/>
              <w:ind w:left="20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15147 N. Scottsdale Road, Suite H300, Scottsdale, Arizona 85254-2494</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(480) 530-3000</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3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3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3740" w:type="dxa"/>
            <w:vAlign w:val="bottom"/>
            <w:tcBorders>
              <w:top w:val="single" w:sz="8" w:color="auto"/>
              <w:left w:val="single" w:sz="8" w:color="auto"/>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520" w:type="dxa"/>
            <w:vAlign w:val="bottom"/>
            <w:tcBorders>
              <w:top w:val="single" w:sz="8" w:color="auto"/>
              <w:bottom w:val="single" w:sz="8" w:color="auto"/>
              <w:right w:val="single" w:sz="8" w:color="auto"/>
            </w:tcBorders>
          </w:tcPr>
          <w:p>
            <w:pPr>
              <w:spacing w:after="0"/>
              <w:rPr>
                <w:sz w:val="19"/>
                <w:szCs w:val="19"/>
                <w:color w:val="auto"/>
              </w:rPr>
            </w:pP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00" w:type="dxa"/>
            <w:vAlign w:val="bottom"/>
            <w:tcBorders>
              <w:top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740" w:type="dxa"/>
            <w:vAlign w:val="bottom"/>
            <w:tcBorders>
              <w:left w:val="single" w:sz="8" w:color="auto"/>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520" w:type="dxa"/>
            <w:vAlign w:val="bottom"/>
            <w:tcBorders>
              <w:bottom w:val="single" w:sz="8" w:color="auto"/>
              <w:right w:val="single" w:sz="8" w:color="auto"/>
            </w:tcBorders>
          </w:tcPr>
          <w:p>
            <w:pPr>
              <w:spacing w:after="0"/>
              <w:rPr>
                <w:sz w:val="19"/>
                <w:szCs w:val="19"/>
                <w:color w:val="auto"/>
              </w:rPr>
            </w:pP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UEIC</w:t>
            </w:r>
          </w:p>
        </w:tc>
        <w:tc>
          <w:tcPr>
            <w:tcW w:w="480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610"/>
        </w:trPr>
        <w:tc>
          <w:tcPr>
            <w:tcW w:w="8620" w:type="dxa"/>
            <w:vAlign w:val="bottom"/>
            <w:gridSpan w:val="4"/>
          </w:tcPr>
          <w:p>
            <w:pPr>
              <w:jc w:val="center"/>
              <w:ind w:left="2550"/>
              <w:spacing w:after="0"/>
              <w:rPr>
                <w:sz w:val="20"/>
                <w:szCs w:val="20"/>
                <w:color w:val="auto"/>
              </w:rPr>
            </w:pPr>
            <w:r>
              <w:rPr>
                <w:rFonts w:ascii="Times New Roman" w:cs="Times New Roman" w:eastAsia="Times New Roman" w:hAnsi="Times New Roman"/>
                <w:sz w:val="18"/>
                <w:szCs w:val="18"/>
                <w:color w:val="auto"/>
                <w:w w:val="99"/>
              </w:rPr>
              <w:t>Securities registered pursuant to Section 12(g) of the Act:</w:t>
            </w:r>
          </w:p>
        </w:tc>
        <w:tc>
          <w:tcPr>
            <w:tcW w:w="7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34"/>
        </w:trPr>
        <w:tc>
          <w:tcPr>
            <w:tcW w:w="3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None</w:t>
            </w:r>
          </w:p>
        </w:tc>
        <w:tc>
          <w:tcPr>
            <w:tcW w:w="2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83"/>
        </w:trPr>
        <w:tc>
          <w:tcPr>
            <w:tcW w:w="3740" w:type="dxa"/>
            <w:vAlign w:val="bottom"/>
          </w:tcPr>
          <w:p>
            <w:pPr>
              <w:spacing w:after="0"/>
              <w:rPr>
                <w:sz w:val="24"/>
                <w:szCs w:val="24"/>
                <w:color w:val="auto"/>
              </w:rPr>
            </w:pPr>
          </w:p>
        </w:tc>
        <w:tc>
          <w:tcPr>
            <w:tcW w:w="4880" w:type="dxa"/>
            <w:vAlign w:val="bottom"/>
            <w:gridSpan w:val="3"/>
          </w:tcPr>
          <w:p>
            <w:pPr>
              <w:jc w:val="center"/>
              <w:ind w:right="1070"/>
              <w:spacing w:after="0"/>
              <w:rPr>
                <w:sz w:val="20"/>
                <w:szCs w:val="20"/>
                <w:color w:val="auto"/>
              </w:rPr>
            </w:pPr>
            <w:r>
              <w:rPr>
                <w:rFonts w:ascii="Times New Roman" w:cs="Times New Roman" w:eastAsia="Times New Roman" w:hAnsi="Times New Roman"/>
                <w:sz w:val="18"/>
                <w:szCs w:val="18"/>
                <w:color w:val="auto"/>
              </w:rPr>
              <w:t>_______________________________________</w:t>
            </w:r>
          </w:p>
        </w:tc>
        <w:tc>
          <w:tcPr>
            <w:tcW w:w="7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39"/>
        </w:trPr>
        <w:tc>
          <w:tcPr>
            <w:tcW w:w="8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7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94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378"/>
        </w:trPr>
        <w:tc>
          <w:tcPr>
            <w:tcW w:w="86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194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bl>
    <w:p>
      <w:pPr>
        <w:spacing w:after="0" w:line="116" w:lineRule="exact"/>
        <w:rPr>
          <w:sz w:val="24"/>
          <w:szCs w:val="24"/>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w:t>
      </w:r>
      <w:r>
        <w:rPr>
          <w:rFonts w:ascii="Times New Roman" w:cs="Times New Roman" w:eastAsia="Times New Roman" w:hAnsi="Times New Roman"/>
          <w:sz w:val="18"/>
          <w:szCs w:val="18"/>
          <w:color w:val="211D1E"/>
        </w:rPr>
        <w:t>"</w:t>
      </w:r>
      <w:r>
        <w:rPr>
          <w:rFonts w:ascii="Times New Roman" w:cs="Times New Roman" w:eastAsia="Times New Roman" w:hAnsi="Times New Roman"/>
          <w:sz w:val="18"/>
          <w:szCs w:val="18"/>
          <w:color w:val="auto"/>
        </w:rPr>
        <w:t xml:space="preserve"> in Rule 12b-2 of the Exchange Act.</w:t>
      </w:r>
    </w:p>
    <w:p>
      <w:pPr>
        <w:spacing w:after="0" w:line="338" w:lineRule="exact"/>
        <w:rPr>
          <w:sz w:val="24"/>
          <w:szCs w:val="24"/>
          <w:color w:val="auto"/>
        </w:rPr>
      </w:pPr>
    </w:p>
    <w:tbl>
      <w:tblPr>
        <w:tblLayout w:type="fixed"/>
        <w:tblInd w:w="2680" w:type="dxa"/>
        <w:tblCellMar>
          <w:top w:w="0" w:type="dxa"/>
          <w:left w:w="0" w:type="dxa"/>
          <w:bottom w:w="0" w:type="dxa"/>
          <w:right w:w="0" w:type="dxa"/>
        </w:tblCellMar>
      </w:tblPr>
      <w:tr>
        <w:trPr>
          <w:trHeight w:val="303"/>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7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7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60"/>
          </w:cols>
          <w:pgMar w:left="320" w:top="223" w:right="319" w:bottom="0" w:gutter="0" w:footer="0" w:header="0"/>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7"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98" w:lineRule="exact"/>
        <w:rPr>
          <w:sz w:val="20"/>
          <w:szCs w:val="20"/>
          <w:color w:val="auto"/>
        </w:rPr>
      </w:pPr>
    </w:p>
    <w:p>
      <w:pPr>
        <w:jc w:val="both"/>
        <w:spacing w:after="0" w:line="25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98" w:lineRule="exact"/>
        <w:rPr>
          <w:sz w:val="20"/>
          <w:szCs w:val="20"/>
          <w:color w:val="auto"/>
        </w:rPr>
      </w:pPr>
    </w:p>
    <w:p>
      <w:pPr>
        <w:jc w:val="both"/>
        <w:spacing w:after="0" w:line="25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76" w:lineRule="exact"/>
        <w:rPr>
          <w:sz w:val="20"/>
          <w:szCs w:val="20"/>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on June 28, 2024, the last business day of the registrant's most recently completed second fiscal quarter, was $124,876,933 based upon the closing sale price of the Company's common stock as reported on the NASDAQ Stock Market for that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7, 2025, 13,111,653 shares of Common Stock, par value $.01 per share, of the registrant were outstanding.</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Portions of the registrant's notice of annual meeting of shareholders and proxy statement to be filed pursuant to Regulation 14A within 120 days after registrant's fiscal year end of December 31, 2024 are incorporated by reference into Part III of this Form 10-K. The Proxy Statement will be filed with the Securities and Exchange Commission no later than April 30,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stated, the information contained in this Form 10-K is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120" w:type="dxa"/>
            <w:vAlign w:val="bottom"/>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UNIVERSAL ELECTRONICS INC.</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120" w:type="dxa"/>
            <w:vAlign w:val="bottom"/>
            <w:gridSpan w:val="7"/>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980" w:type="dxa"/>
            <w:vAlign w:val="bottom"/>
            <w:gridSpan w:val="8"/>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2024</w:t>
            </w: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20" w:type="dxa"/>
            <w:vAlign w:val="bottom"/>
            <w:gridSpan w:val="6"/>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8"/>
        </w:trPr>
        <w:tc>
          <w:tcPr>
            <w:tcW w:w="20" w:type="dxa"/>
            <w:vAlign w:val="bottom"/>
          </w:tcPr>
          <w:p>
            <w:pPr>
              <w:spacing w:after="0"/>
              <w:rPr>
                <w:sz w:val="24"/>
                <w:szCs w:val="24"/>
                <w:color w:val="auto"/>
              </w:rPr>
            </w:pPr>
          </w:p>
        </w:tc>
        <w:tc>
          <w:tcPr>
            <w:tcW w:w="1044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7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60"/>
        </w:trPr>
        <w:tc>
          <w:tcPr>
            <w:tcW w:w="20" w:type="dxa"/>
            <w:vAlign w:val="bottom"/>
          </w:tcPr>
          <w:p>
            <w:pPr>
              <w:spacing w:after="0"/>
              <w:rPr>
                <w:sz w:val="13"/>
                <w:szCs w:val="13"/>
                <w:color w:val="auto"/>
              </w:rPr>
            </w:pPr>
          </w:p>
        </w:tc>
        <w:tc>
          <w:tcPr>
            <w:tcW w:w="10440" w:type="dxa"/>
            <w:vAlign w:val="bottom"/>
            <w:gridSpan w:val="25"/>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780" w:type="dxa"/>
            <w:vAlign w:val="bottom"/>
            <w:gridSpan w:val="5"/>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r>
      <w:tr>
        <w:trPr>
          <w:trHeight w:val="250"/>
        </w:trPr>
        <w:tc>
          <w:tcPr>
            <w:tcW w:w="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80" w:type="dxa"/>
            <w:vAlign w:val="bottom"/>
            <w:gridSpan w:val="5"/>
          </w:tcPr>
          <w:p>
            <w:pPr>
              <w:jc w:val="center"/>
              <w:ind w:right="442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5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553"/>
        </w:trPr>
        <w:tc>
          <w:tcPr>
            <w:tcW w:w="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0000FF"/>
              </w:rPr>
              <w:t>1</w:t>
            </w:r>
          </w:p>
        </w:tc>
        <w:tc>
          <w:tcPr>
            <w:tcW w:w="1032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1A Risk Factors</w:t>
            </w:r>
          </w:p>
        </w:tc>
        <w:tc>
          <w:tcPr>
            <w:tcW w:w="9260" w:type="dxa"/>
            <w:vAlign w:val="bottom"/>
            <w:gridSpan w:val="18"/>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14</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4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1B Unresolved Staff Comments</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1C Cybersecurity</w:t>
            </w:r>
          </w:p>
        </w:tc>
        <w:tc>
          <w:tcPr>
            <w:tcW w:w="1020" w:type="dxa"/>
            <w:vAlign w:val="bottom"/>
            <w:gridSpan w:val="6"/>
          </w:tcPr>
          <w:p>
            <w:pPr>
              <w:spacing w:after="0"/>
              <w:rPr>
                <w:sz w:val="18"/>
                <w:szCs w:val="18"/>
                <w:color w:val="auto"/>
              </w:rPr>
            </w:pPr>
          </w:p>
        </w:tc>
        <w:tc>
          <w:tcPr>
            <w:tcW w:w="8140" w:type="dxa"/>
            <w:vAlign w:val="bottom"/>
            <w:gridSpan w:val="11"/>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0000FF"/>
              </w:rPr>
              <w:t>2</w:t>
            </w:r>
          </w:p>
        </w:tc>
        <w:tc>
          <w:tcPr>
            <w:tcW w:w="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5"/>
              </w:rPr>
              <w:t>Properties</w:t>
            </w:r>
          </w:p>
        </w:tc>
        <w:tc>
          <w:tcPr>
            <w:tcW w:w="400" w:type="dxa"/>
            <w:vAlign w:val="bottom"/>
            <w:gridSpan w:val="3"/>
          </w:tcPr>
          <w:p>
            <w:pPr>
              <w:spacing w:after="0"/>
              <w:rPr>
                <w:sz w:val="18"/>
                <w:szCs w:val="18"/>
                <w:color w:val="auto"/>
              </w:rPr>
            </w:pPr>
          </w:p>
        </w:tc>
        <w:tc>
          <w:tcPr>
            <w:tcW w:w="9160" w:type="dxa"/>
            <w:vAlign w:val="bottom"/>
            <w:gridSpan w:val="17"/>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0000FF"/>
              </w:rPr>
              <w:t>3</w:t>
            </w:r>
          </w:p>
        </w:tc>
        <w:tc>
          <w:tcPr>
            <w:tcW w:w="13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960" w:type="dxa"/>
            <w:vAlign w:val="bottom"/>
            <w:gridSpan w:val="16"/>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0000FF"/>
              </w:rPr>
              <w:t>4</w:t>
            </w:r>
          </w:p>
        </w:tc>
        <w:tc>
          <w:tcPr>
            <w:tcW w:w="1032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40" w:type="dxa"/>
            <w:vAlign w:val="bottom"/>
          </w:tcPr>
          <w:p>
            <w:pPr>
              <w:spacing w:after="0"/>
              <w:rPr>
                <w:sz w:val="18"/>
                <w:szCs w:val="18"/>
                <w:color w:val="auto"/>
              </w:rPr>
            </w:pPr>
          </w:p>
        </w:tc>
      </w:tr>
      <w:tr>
        <w:trPr>
          <w:trHeight w:val="615"/>
        </w:trPr>
        <w:tc>
          <w:tcPr>
            <w:tcW w:w="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80" w:type="dxa"/>
            <w:vAlign w:val="bottom"/>
            <w:gridSpan w:val="5"/>
          </w:tcPr>
          <w:p>
            <w:pPr>
              <w:jc w:val="center"/>
              <w:ind w:right="442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553"/>
        </w:trPr>
        <w:tc>
          <w:tcPr>
            <w:tcW w:w="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0000FF"/>
              </w:rPr>
              <w:t>5</w:t>
            </w:r>
          </w:p>
        </w:tc>
        <w:tc>
          <w:tcPr>
            <w:tcW w:w="808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2240" w:type="dxa"/>
            <w:vAlign w:val="bottom"/>
          </w:tcPr>
          <w:p>
            <w:pPr>
              <w:spacing w:after="0"/>
              <w:rPr>
                <w:sz w:val="24"/>
                <w:szCs w:val="24"/>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0000FF"/>
              </w:rPr>
              <w:t>6</w:t>
            </w:r>
          </w:p>
        </w:tc>
        <w:tc>
          <w:tcPr>
            <w:tcW w:w="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88"/>
              </w:rPr>
              <w:t>[Reserved]</w:t>
            </w:r>
          </w:p>
        </w:tc>
        <w:tc>
          <w:tcPr>
            <w:tcW w:w="7320" w:type="dxa"/>
            <w:vAlign w:val="bottom"/>
            <w:gridSpan w:val="19"/>
          </w:tcPr>
          <w:p>
            <w:pPr>
              <w:spacing w:after="0"/>
              <w:rPr>
                <w:sz w:val="18"/>
                <w:szCs w:val="18"/>
                <w:color w:val="auto"/>
              </w:rPr>
            </w:pPr>
          </w:p>
        </w:tc>
        <w:tc>
          <w:tcPr>
            <w:tcW w:w="224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0000FF"/>
              </w:rPr>
              <w:t>7</w:t>
            </w:r>
          </w:p>
        </w:tc>
        <w:tc>
          <w:tcPr>
            <w:tcW w:w="646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860" w:type="dxa"/>
            <w:vAlign w:val="bottom"/>
            <w:gridSpan w:val="3"/>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7A Quantitative and Qualitative Disclosures About Market Risk</w:t>
            </w:r>
          </w:p>
        </w:tc>
        <w:tc>
          <w:tcPr>
            <w:tcW w:w="3860" w:type="dxa"/>
            <w:vAlign w:val="bottom"/>
            <w:gridSpan w:val="3"/>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0000FF"/>
              </w:rPr>
              <w:t>8</w:t>
            </w:r>
          </w:p>
        </w:tc>
        <w:tc>
          <w:tcPr>
            <w:tcW w:w="45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5820" w:type="dxa"/>
            <w:vAlign w:val="bottom"/>
            <w:gridSpan w:val="6"/>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0000FF"/>
              </w:rPr>
              <w:t>9</w:t>
            </w:r>
          </w:p>
        </w:tc>
        <w:tc>
          <w:tcPr>
            <w:tcW w:w="646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FF"/>
                <w:w w:val="98"/>
              </w:rPr>
              <w:t>Changes in and Disagreements with Accountants on Accounting and Financial Disclosure</w:t>
            </w:r>
          </w:p>
        </w:tc>
        <w:tc>
          <w:tcPr>
            <w:tcW w:w="3860" w:type="dxa"/>
            <w:vAlign w:val="bottom"/>
            <w:gridSpan w:val="3"/>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80</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7"/>
              </w:rPr>
              <w:t>9A Controls and Procedures</w:t>
            </w:r>
          </w:p>
        </w:tc>
        <w:tc>
          <w:tcPr>
            <w:tcW w:w="4560" w:type="dxa"/>
            <w:vAlign w:val="bottom"/>
            <w:gridSpan w:val="9"/>
          </w:tcPr>
          <w:p>
            <w:pPr>
              <w:spacing w:after="0"/>
              <w:rPr>
                <w:sz w:val="18"/>
                <w:szCs w:val="18"/>
                <w:color w:val="auto"/>
              </w:rPr>
            </w:pPr>
          </w:p>
        </w:tc>
        <w:tc>
          <w:tcPr>
            <w:tcW w:w="3860" w:type="dxa"/>
            <w:vAlign w:val="bottom"/>
            <w:gridSpan w:val="3"/>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80</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9B Other Information</w:t>
            </w:r>
          </w:p>
        </w:tc>
        <w:tc>
          <w:tcPr>
            <w:tcW w:w="440" w:type="dxa"/>
            <w:vAlign w:val="bottom"/>
            <w:gridSpan w:val="3"/>
          </w:tcPr>
          <w:p>
            <w:pPr>
              <w:spacing w:after="0"/>
              <w:rPr>
                <w:sz w:val="18"/>
                <w:szCs w:val="18"/>
                <w:color w:val="auto"/>
              </w:rPr>
            </w:pPr>
          </w:p>
        </w:tc>
        <w:tc>
          <w:tcPr>
            <w:tcW w:w="8420" w:type="dxa"/>
            <w:vAlign w:val="bottom"/>
            <w:gridSpan w:val="12"/>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82</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4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9C Disclosure Regarding Foreign Jurisdictions that Prevent Inspections</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82</w:t>
            </w:r>
          </w:p>
        </w:tc>
        <w:tc>
          <w:tcPr>
            <w:tcW w:w="40" w:type="dxa"/>
            <w:vAlign w:val="bottom"/>
          </w:tcPr>
          <w:p>
            <w:pPr>
              <w:spacing w:after="0"/>
              <w:rPr>
                <w:sz w:val="18"/>
                <w:szCs w:val="18"/>
                <w:color w:val="auto"/>
              </w:rPr>
            </w:pPr>
          </w:p>
        </w:tc>
      </w:tr>
      <w:tr>
        <w:trPr>
          <w:trHeight w:val="615"/>
        </w:trPr>
        <w:tc>
          <w:tcPr>
            <w:tcW w:w="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280" w:type="dxa"/>
            <w:vAlign w:val="bottom"/>
            <w:gridSpan w:val="5"/>
          </w:tcPr>
          <w:p>
            <w:pPr>
              <w:jc w:val="center"/>
              <w:ind w:right="4420"/>
              <w:spacing w:after="0"/>
              <w:rPr>
                <w:sz w:val="20"/>
                <w:szCs w:val="20"/>
                <w:color w:val="auto"/>
              </w:rPr>
            </w:pPr>
            <w:r>
              <w:rPr>
                <w:rFonts w:ascii="Times New Roman" w:cs="Times New Roman" w:eastAsia="Times New Roman" w:hAnsi="Times New Roman"/>
                <w:sz w:val="18"/>
                <w:szCs w:val="18"/>
                <w:b w:val="1"/>
                <w:bCs w:val="1"/>
                <w:color w:val="auto"/>
                <w:w w:val="99"/>
              </w:rPr>
              <w:t>PART III</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553"/>
        </w:trPr>
        <w:tc>
          <w:tcPr>
            <w:tcW w:w="20" w:type="dxa"/>
            <w:vAlign w:val="bottom"/>
          </w:tcPr>
          <w:p>
            <w:pPr>
              <w:spacing w:after="0"/>
              <w:rPr>
                <w:sz w:val="24"/>
                <w:szCs w:val="24"/>
                <w:color w:val="auto"/>
              </w:rPr>
            </w:pPr>
          </w:p>
        </w:tc>
        <w:tc>
          <w:tcPr>
            <w:tcW w:w="104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10 Directors, Executive Officers and Corporate Governance</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82</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11 Executive Compensation</w:t>
            </w:r>
          </w:p>
        </w:tc>
        <w:tc>
          <w:tcPr>
            <w:tcW w:w="6120" w:type="dxa"/>
            <w:vAlign w:val="bottom"/>
            <w:gridSpan w:val="7"/>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82</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4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12 Security Ownership of Certain Beneficial Owners and Management and Related Stockholder Matters</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82</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13 Certain Relationships and Related Transactions, and Director Independence</w:t>
            </w:r>
          </w:p>
        </w:tc>
        <w:tc>
          <w:tcPr>
            <w:tcW w:w="2920" w:type="dxa"/>
            <w:vAlign w:val="bottom"/>
            <w:gridSpan w:val="2"/>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83</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14 Principal Accountant Fees and Services</w:t>
            </w:r>
          </w:p>
        </w:tc>
        <w:tc>
          <w:tcPr>
            <w:tcW w:w="4760" w:type="dxa"/>
            <w:vAlign w:val="bottom"/>
            <w:gridSpan w:val="4"/>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83</w:t>
            </w:r>
          </w:p>
        </w:tc>
        <w:tc>
          <w:tcPr>
            <w:tcW w:w="40" w:type="dxa"/>
            <w:vAlign w:val="bottom"/>
          </w:tcPr>
          <w:p>
            <w:pPr>
              <w:spacing w:after="0"/>
              <w:rPr>
                <w:sz w:val="18"/>
                <w:szCs w:val="18"/>
                <w:color w:val="auto"/>
              </w:rPr>
            </w:pPr>
          </w:p>
        </w:tc>
      </w:tr>
      <w:tr>
        <w:trPr>
          <w:trHeight w:val="615"/>
        </w:trPr>
        <w:tc>
          <w:tcPr>
            <w:tcW w:w="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80" w:type="dxa"/>
            <w:vAlign w:val="bottom"/>
            <w:gridSpan w:val="5"/>
          </w:tcPr>
          <w:p>
            <w:pPr>
              <w:jc w:val="center"/>
              <w:ind w:right="442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553"/>
        </w:trPr>
        <w:tc>
          <w:tcPr>
            <w:tcW w:w="20" w:type="dxa"/>
            <w:vAlign w:val="bottom"/>
          </w:tcPr>
          <w:p>
            <w:pPr>
              <w:spacing w:after="0"/>
              <w:rPr>
                <w:sz w:val="24"/>
                <w:szCs w:val="24"/>
                <w:color w:val="auto"/>
              </w:rPr>
            </w:pPr>
          </w:p>
        </w:tc>
        <w:tc>
          <w:tcPr>
            <w:tcW w:w="104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15 Exhibits and Financial Statement Schedules</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83</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7060" w:type="dxa"/>
            <w:vAlign w:val="bottom"/>
            <w:gridSpan w:val="9"/>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16 Form 10-K Summary</w:t>
            </w:r>
          </w:p>
        </w:tc>
        <w:tc>
          <w:tcPr>
            <w:tcW w:w="7060" w:type="dxa"/>
            <w:vAlign w:val="bottom"/>
            <w:gridSpan w:val="9"/>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86</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8660" w:type="dxa"/>
            <w:vAlign w:val="bottom"/>
            <w:gridSpan w:val="14"/>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87</w:t>
            </w:r>
          </w:p>
        </w:tc>
        <w:tc>
          <w:tcPr>
            <w:tcW w:w="40" w:type="dxa"/>
            <w:vAlign w:val="bottom"/>
          </w:tcPr>
          <w:p>
            <w:pPr>
              <w:spacing w:after="0"/>
              <w:rPr>
                <w:sz w:val="18"/>
                <w:szCs w:val="18"/>
                <w:color w:val="auto"/>
              </w:rPr>
            </w:pPr>
          </w:p>
        </w:tc>
      </w:tr>
      <w:tr>
        <w:trPr>
          <w:trHeight w:val="1472"/>
        </w:trPr>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Universal Electronics Inc. ("UEI" or the "Company") was incorporated under the laws of Delaware in 1986 and began operations in 1987. The principal executive offices are located at 15147 N. Scottsdale Road, Suite H300, Scottsdale, Arizona 85254. As used herein, the terms "we", "us" and "our" refer to UEI and its subsidiaries unless the context indicates the contrary.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 information regarding UEI may be obtained at www.uei.com. Our website address is not intended to function as a hyperlink and the information available at our website address is not incorporated by reference into this Annual Report on Form 10-K. We make our periodic and current reports, together with amendments to these reports, available on our website, free of charge, as soon as reasonably practicable after such material is electronically filed with, or furnished to, the U.S. Securities and Exchange Commission ("SEC"). The SEC maintains a website at www.sec.gov that contains the reports, proxy and other information that we file electronically with the SEC.</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comprised of one reportable segment. We have one domestic subsidiary and 24 international subsidiaries located in Brazil, British Virgin Islands, France, Germany, Hong Kong (3), India, Italy, Japan, Korea, Mexico (2), the Netherlands, the People's Republic of China (the "PRC") (6), Singapore, Spain, United Kingdom and Vietnam.</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mission is to create a user centric, smart home experience through innovative control products that provide the simplest way to interact with technology in the home. We aim to provide universal and interoperable control solutions that automatically set up and deliver consistent and intuitive control of connected devices, content and services.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design, develop, manufacture, ship and support home entertainment control products, technology and software solutions, climate control solutions, wireless sensor and smart home control products and audio-video ("AV") accessories, that are used by the world's leading brands in the home entertainment, climate control, consumer electronics, security, home automation and home appliance markets. Our product and technology offerings include:</w:t>
      </w:r>
    </w:p>
    <w:p>
      <w:pPr>
        <w:spacing w:after="0" w:line="257" w:lineRule="exact"/>
        <w:rPr>
          <w:sz w:val="20"/>
          <w:szCs w:val="20"/>
          <w:color w:val="auto"/>
        </w:rPr>
      </w:pPr>
    </w:p>
    <w:p>
      <w:pPr>
        <w:jc w:val="both"/>
        <w:ind w:left="660" w:hanging="328"/>
        <w:spacing w:after="0" w:line="25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Home Entertainment Products: </w:t>
      </w:r>
      <w:r>
        <w:rPr>
          <w:rFonts w:ascii="Times New Roman" w:cs="Times New Roman" w:eastAsia="Times New Roman" w:hAnsi="Times New Roman"/>
          <w:sz w:val="18"/>
          <w:szCs w:val="18"/>
          <w:color w:val="auto"/>
        </w:rPr>
        <w:t>Our industry-leading portfolio includes radio frequency ("RF") capable, voice-enabled universal remote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low-power RF and energy-harvesting microcontrollers, as well as, embedded and Cloud software for AV and smart home device and content discovery and control. These solutions are sold primarily to video service providers and consumer electronics original equipment manufacturer ("OEM") customers. We also distribute a broad portfolio of replacement remote controls, powerful free-to-air antennae and television and soundbar wall mounts direct to retailers worldwide under the One For All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Climate Control Solutions: </w:t>
      </w:r>
      <w:r>
        <w:rPr>
          <w:rFonts w:ascii="Times New Roman" w:cs="Times New Roman" w:eastAsia="Times New Roman" w:hAnsi="Times New Roman"/>
          <w:sz w:val="18"/>
          <w:szCs w:val="18"/>
          <w:color w:val="auto"/>
        </w:rPr>
        <w:t>Our innovative climate control solutions include wall-mounted and handheld thermostat controllers and connected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accessories for smart energy management systems. These products are primarily sold to OEM customers, as well as hotels, hospitality and system integrators. Our UEI TIDE family of climate control solutions feature advanced technologies such as Wi-Fi, BLE, Zigbee and Matter, along with sensors for temperature, humidity, proximity, occupancy and carbon dioxide sensing.</w:t>
      </w:r>
    </w:p>
    <w:p>
      <w:pPr>
        <w:spacing w:after="0" w:line="2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Smart Home and Security Products: </w:t>
      </w:r>
      <w:r>
        <w:rPr>
          <w:rFonts w:ascii="Times New Roman" w:cs="Times New Roman" w:eastAsia="Times New Roman" w:hAnsi="Times New Roman"/>
          <w:sz w:val="18"/>
          <w:szCs w:val="18"/>
          <w:color w:val="auto"/>
        </w:rPr>
        <w:t>We offer proprietary and standards-based RF sensors designed for residential security, safety and home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automation applications. Our integrated circuits, on which our software and universal control database is embedded, are sold primarily to OEMs, video service providers, smart home dealers and private label customers.</w:t>
      </w:r>
    </w:p>
    <w:p>
      <w:pPr>
        <w:spacing w:after="0" w:line="8"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Software and Cloud Services: </w:t>
      </w:r>
      <w:r>
        <w:rPr>
          <w:rFonts w:ascii="Times New Roman" w:cs="Times New Roman" w:eastAsia="Times New Roman" w:hAnsi="Times New Roman"/>
          <w:sz w:val="18"/>
          <w:szCs w:val="18"/>
          <w:color w:val="auto"/>
        </w:rPr>
        <w:t>Our software, firmware and technology solutions enable devices such as smart TVs, hybrid set-top boxes, audio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systems, smart speakers, game consoles and other consumer electronic and smart home devices to wirelessly connect and interoperate within home networks. These solutions support control and delivery of home entertainment application services and content, smart home services and device or system information. New features include private, on-premise user presence and occupancy detection to enhance user experiences with their connected devices.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Intellectual Property and Licensing: </w:t>
      </w:r>
      <w:r>
        <w:rPr>
          <w:rFonts w:ascii="Times New Roman" w:cs="Times New Roman" w:eastAsia="Times New Roman" w:hAnsi="Times New Roman"/>
          <w:sz w:val="18"/>
          <w:szCs w:val="18"/>
          <w:color w:val="auto"/>
        </w:rPr>
        <w:t>We license our intellectual property primarily to OEMs and video service providers. Our cloud-enabled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software provides reliable firmware update provisioning and digital rights management validation services to major consumer electronics brands. We offer regular control library database and software updates to our licensing customers to ensure their systems are compatible with the latest devices entering the home.</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Over the past few years, our strategic focus has been towards expanding our presence in the climate control market. This focus is driven by the growing demand for energy-efficient and smart climate control solutions in both residential and commercial applications.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serve a diverse range of markets, including consumer electronics, video services, climate control, security, home automation and hospitality. We have a strong presence in the global market, with a top-tier customer base that includes four of the top five global smart TV brands and five of the top ten HVAC OEM brands. Our products are used by major video service providers, consumer electronics companies and home automation and security brands.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sales channel strategy is to partner with customers who are leaders in their respective industries: in consumer electronics, we count Samsung Electronics Co., Sony Group Corporation and LG Electronics as long-term accounts that represent a significant share of their industry; in cable video services, Comcast Corporation, Liberty Global and Vodafone Group rank amongst the largest video service providers in their respective markets; in Satellite services, Dish Network Corporation, Sky plc, Bharti Airtel Limited and DIRECTV represent the majority of global service providers; in climate control, Daikin Industries Ltd., Trane Technologies and Carrier Global Corporation are customers that represent top market share leaders in the global HVAC industry; and in security, safety and home automation, Vivint Smart Home, Somfy SA, Ring LLC and Hunter Douglas NV are channel leaders in their respective connected home markets.</w:t>
      </w:r>
    </w:p>
    <w:p>
      <w:pPr>
        <w:spacing w:after="0" w:line="2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Distribution methods for our control solutions vary depending on the sales channel. We distribute remote control devices, connected thermostats, integrated circuits ("ICs"), home security sensors and AV accessories directly to video and security service providers and OEMs, both domestically and internationally. We distribute connected thermostats and home security sensors to pro-security installers and hospitality system integrators in the United States and Europe through a network of national and regional distributors and dealers. Additionally, we sell our wireless control devices and AV accessories under the One For All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Ecolink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private label brand names to retailers in key markets, such as in the United States, United Kingdom, Germany, France and Spain. We utilize third-party distributors for the retail channel in countries where we do not have subsidiaries.</w:t>
      </w: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our sales to Daikin Industries Ltd. accounted for 13.3%, 14.0% and 14.4% of our net sales, respectively. For the year ended December 31, 2022, our sales to Comcast Corporation accounted for 14.0% of our net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Technology</w:t>
      </w:r>
    </w:p>
    <w:p>
      <w:pPr>
        <w:spacing w:after="0" w:line="25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flagship product, QuickSet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("QuickSet") is a software solution that is primarily delivered as a cloud-based service, but is also embedded in many entertainment and smart home platforms worldwide, to enable universal device and content discovery system setup, device interoperability and system control. QuickSet and QuickSet Cloud utilize data transmitted over various communication protocols including HDMI, low power RF (such as Bluetooth or Zigbee, including Zigbee 3.0 and Zigbee RF4CE), Thread, Matter, Internet Protocol ("IP"), Consumer Electronics Control ("CEC") and infrared to detect various attributes of connected devices, including services (apps), content history and whole home audio. They enable user access and control across all their smart, connected devices as well as their legacy (non-connected) devices enhancing the user's experience across their smart home landscape. With QuickSet and QuickSet Cloud, OEM customers can deliver seamless user experiences allowing consumers to switch easily between entertainment and smart home activities and reliably access and view content with a single touch. A QuickSet and QuickSet Cloud user experience can be delivered via a tactile remote, touchscreen interface, on-screen graphical user interface or voice-enabled system.</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QuickSet's expanded functionality includes entertainment and whole home audio use cases to provide deeper device and content history across an ever-increasing landscape of devices and services in the home. The latest release of QuickSet, QuickSet homeSense, serves as a foundational block for home intelligence that learns and adapts to home environments to unlock personalized experiences in energy management, entertainment control and advertising. Our privacy-first approach in capturing user preferences across devices helps increase engagement through enhanced personalized recommendations for a better end-user experience.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QuickSet Widgets and QuickSet Widget Pro provide fully managed Internet of Things ("IoT") capability to non-connected electronic devices for fast time-to-market and enable digital transformation of end-user interaction. The multi-protocol modules enable advanced connectivity with dual-band Wi-Fi 6, Bluetooth 5.3 and support for Matter, Zigbee and Open Thread Border Router host services. They include native support of Matter across the QuickSet Widget family with Virtual Agent-assisted easy onboarding. This enables products powered by the QuickSet Widget including the UEI TIDE family of smart thermostats to be Cloud-ready and Matter-capable.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UEI Virtual Agent is, an innovative self-service support solution, that simplifies device onboarding by allowing customers to seamlessly hand-off the set-up process from a large screen (SmartTV) to a smaller one (mobile phone). Integrated into the latest version of QuickSet, UEI Virtual Agent provides automated steps for onboarding, feature discovery and troubleshooting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capabilities and is available both as a web-based application and a TV app for integration into existing infrastructures. UEI Virtual Agent, when bundled with our newest set of UEI NetReady services for remote diagnostics and customer support, further enhance the support experience for products already deployed in the home.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Licensees of QuickSet and/or QuickSet Cloud products and support services, include service providers such as Comcast Corporation, Charter Communications, TiVo, DIRECTV and DISH Network Corporation; smart TV manufacturers such as Sony Group Corporation, LG Electronics and Samsung Electronics Co.; leading game console manufacturers Sony and Microsoft on their respective gaming consoles; and has grown to include HVAC and emerging home automation customers.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latest release of QuickSet, supporting device and content discovery, QuickSet homeSense and whole home audio, is currently in proof of concept evaluation on broadband gateway platforms from major telcos in the U.S. and Europe.</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leading portfolio of home entertainment products include our Emmy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award-winning voice remote controls that have become a staple of the home entertainment control industry. This technology, powered by our proprietary silicon platform, allows users to use voice to interact with their video services and content through the remote control while using low power RF standards, such as Bluetooth LE (BLE) and Zigbee to provide the bandwidth needed for voice transmission to the set-top box or television. We also ship ultra-low power SOCs for use in Samsung's flagship remote control to power their energy-harvesting photo-voltaic (PV) cells.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our commitment to create environmentally sustainable solutions that do not compromise but enhance product performance, we offer UEI Eterna, a line of voice-enabled control solutions designed with our new generation of Extreme Low-Power System-on-Chip and energy harvesting technologies to deliver increased processing capability while using significantly less power compared to prior generations. The energy-harvesting version features our "Battery-4-Life" technology that relies on collecting energy from the environment's ambient light and radio frequencies to deliver a control solution that requires no battery replacement over the useful life of the product. Our ultra-low power remotes are now shipping with Liberty Global's latest video service platform offering.</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UEI TIDE family, including UEI TIDE Dial, Touch and Bridge, have been developed and deployed as white label smart thermostat platforms under major HVAC OEMs, as well as, hospitality and smart home-branded customers. These products are designed to provide intelligent climate control solutions that enhance user comfort and energy efficiency through a complete energy management platform that seamlessly integrates with both central, hybrid and space HVAC systems. The platform is capable of supporting energy insight capabilities through our software-defined occupancy and presence detection technology, QuickSet homeSense, with recommendations to optimize cost and comfort for users. In addition, the UEI TIDE family products offer native cloud connectivity and feature our latest device management and lifecycle support services which simplify setup and control and allows interoperability with a variety of smart home devices and ecosystems. The smart thermostat line includes all the necessary connectivity technologies to address the evolving smart home, including seamless connection to the cloud over Wi-Fi plus local device connectivity via Bluetooth Smart, Zigbee and Infrared, and includes support for Matter, the industry's latest smart home connectivity standard. We continue to enhance our UEI TIDE family of products to provide enhancements and new features for the everchanging home environment.</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smart home, UEI Butler smart hubs, powered by QuickSet Cloud, align with our product and technology strategy to enable discovery, control and interaction across disparate connected devices in the home to create smarter living for a growing list of smart home B2B customers. This family of smart home hubs, complemented by our complete range of Zigbee sensors and accessories, enables customers to deliver tailored and managed experiences for their products while allowing for greater interoperability with other brands and ecosystems consumers have in their homes. The hubs bring interoperability covering a wide range of wireless protocols including legacy IR for entertainment and air conditioning devices, Zigbee, Bluetooth and IP devices, as well as, the fast-growing Matter-compatible device category.</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full-featured hubs deliver seamless interoperability, including i) pre-integration support for a complete range of Zigbee sensors and thermostats to create tailored kits for energy management, climate control, smart lighting and more; ii) built-in Zigbee radios, powerful IR Blasters and support for Wi-Fi or ethernet configuration for flexible placement in any room in the home; iii) Matter bridging capability for control of non-matter devices via built-in iOS and Android home apps; iv) Matter controller and multi-admin capability to work alongside other Matter controllers for a seamless end-user experience, or to create a new Matter environment in a home; v) built-in support for nevo.ai virtual agent for a seamless onboarding experience, personalization and troubleshooting when help is needed; and vi) option for far-field voice to add hands-free control to any smart TV, streaming or cable/satellite set-top box or audio device.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complete family of Butler Smart Home hubs leverage QuickSet Cloud’s powerful device discovery and configuration abilities, and work with any Zigbee-enabled nodes or UEI-developed sensors with complete rule-based automation and scene creation features.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home security, safety and automation, we offer universal sub-gigahertz products that are compatible with the top security panel manufacturers, such as Honeywell, GE, Tyco/DSC and 2GIG. In the Do-It-Yourself ("DIY") residential security channel, we offer sensor-based products using industry standard Z-Wave and Zigbee protocols.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 and Competition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recent years, we have seen a significant change in our markets with the rise of the direct-to-consumer streaming video apps that are enabled on smart TVs and streaming devices as well as advanced set-top boxes. This has resulted in a change in mix in our customer base, especially in the U.S., where our traditional customers in cable and satellite have been complemented with new customers in the digital media streaming domain. Today our portfolio includes universal control products compatible with Apple's tvOS and Google's AndroidTV platforms designed for the Multichannel Video Programming Distributor market allowing subscribers access to subscription-based channels through hybrid and Over the Top ("OTT") streaming platforms.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some of our current customers have successfully introduced media streaming services and expanded their footprint to new end-users. Comcast-Charter's Xumo TV, Tivo Stream, Comcast's Flex, Sky Glass and DISH Sling are examples of current customer offerings of these types of services. Additionally, these brands, along with our OEM customers in consumer electronics, such as LG with their WebOS, are expanding their customer footprints through distribution of their OS platforms that include our QuickSet technologies, allowing us to grow our global technology footprint and grow our licensing revenue in those channels.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same time, we have seen our markets in Home Entertainment OEM, and especially our smart TV OEMs, successfully upgrade to streaming service aggregators. The advanced TV interfaces on smart TVs and related streaming devices offer platforms for personalized advertising and smart home services which is expected to ensure demand for our wireless and wired control products, microcontrollers and software technology.</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Over the past few years, the climate control industry has experienced a rise in demand due to the growing focus on the implementation of advanced HVAC equipment, such as heat pumps, driven by government subsidies and incentives aimed at promoting energy-efficient technologies. The consumer demand to upgrade to smart thermostats is driven by the integration of intelligent climate control solutions for enhanced user comfort and energy efficiency, increased cloud connectivity, support for smart home ecosystems and the adoption of energy management platforms utilizing occupancy and presence detection technology. Furthermore, our OEM customers are equally motivated to bring these cloud-connected capabilities to their thermostat products as the benefits gained in accessing system data for preventive and predictive maintenance of the HVAC systems, far outweigh the added investments in these more advanced (smart) thermostats.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Leveraging our scale and expertise in low-power RF microcontrollers, we continue to pursue further penetration of our traditional OEM consumer electronics markets as well as newer product categories in the smart home and IoT markets including smart lighting, smart and motorized shades, as well as smart toilets and faucets, which rely on smart connectivity and control technologies to reduce water use and improve user experience. Customers in these markets integrate our connectivity and cloud-based solutions, services and technology into their products to enhance their consumer lifestyle ecosystems. Growth in these markets has been driven by the increasing demand for more energy efficient homes, consumer convenience and the increasing proliferation of connected devices.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principal competitors in the home entertainment market are Remote Solutions, Home Control International, SMK, Ohsung, Tech4Home and Ruwido. In the climate control market, we compete with regional specialists and global companies such as Resideo, Emerson and Venstar, as well as Far East based OEM manufacturers such as Computime, who compete with us on customer RFQs. In the connected smart home market, we compete with the OEMs themselves as well as wireless manufacturers in North America, such as Nice, and several original design manufacturers in Asia, as well as technology system providers such as Tuya. In the home security, safety and automation market, we compete with offshore-based, original design and built-to-print hardware manufacturers, such as Leedarson and Xavi Technologies. In the international retail and private label markets for wireless controls we compete primarily with a variety of accessory trading and branding companies like Jasco and Hama, as well as various manufacturers of AV accessories in Asia.</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compete in our markets on the basis of product quality, enhanced features, intellectual property, local design and development expertise, local development support and end-user support for our OFA branded products. We believe that we will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need to continue to introduce new and innovative products and software solutions to remain competitive and to recruit and retain competent personnel to successfully accomplish our future objectives.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Locations and Subsidiaries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on a global scale with research and development ("R&amp;D") teams in the U.S., Europe, the PRC and India. The company has diversified manufacturing facilities in Vietnam, the PRC, Mexico and Brazil. This global presence allows us to leverage our scale and reach to deliver innovative products and solutions to customers worldwide.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25 domestic and international subsidiaries are the following:</w:t>
      </w:r>
    </w:p>
    <w:p>
      <w:pPr>
        <w:spacing w:after="0" w:line="252"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C.G. Development Ltd., established in Hong Kong;</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CG Mexico Distribution Co., S. de R.L. de C.V., established in Mexico;</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CG Mexico Remote Controls, S. de R.L. de C.V., established in Mexico;</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Ecolink Intelligent Technology, Inc.; established under the laws of Delaware;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Enson Assets Ltd., established in the British Virgin Islands;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Gemstar Polyfirst Ltd., established in Hong Kong;</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Gemstar Technology (Qinzhou) Co. Ltd., established in the PRC;</w:t>
      </w:r>
    </w:p>
    <w:p>
      <w:pPr>
        <w:spacing w:after="0" w:line="9"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Gemstar Technology (Yangzhou) Co. Ltd., established in the PRC;</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Guangzhou Universal Electronics Service Co., Ltd., established in the PRC;</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For All France S.A.S., established in France;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For All GmbH, established in Germany;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For All Iberia S.L., established in Spain;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For All UK Ltd., established in the United Kingdom;</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Qinzhou Universal Trading Co. Ltd., established in the PRC;</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UE Japan Ltd., established in Japan;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UE Korea Ltd., established in South Korea;</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UE Singapore Pte. Ltd., established in Singapore;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UE Vietnam Company Limited, established in Vietnam;</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UEI Electronics Pte. Ltd., established in India;</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UEI Hong Kong Pte. Ltd., established in Hong Kong;</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Universal Electronics B.V., established in the Netherlands;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Universal Electronics Italia S.R.L., established in Italy;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Universal Electronics Yangzhou Co. Ltd., established in the PRC;</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Universal Electronics do Brasil Ltda., established in Brazil;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Yangzhou Universal Trading Co. Ltd., established in the PRC.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Resources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Engineering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development resources include approximately 540 engineering and R&amp;D team members worldwide, who are dedicated to designing and developing cutting-edge consumer control products, technologies and software services. We invest heavily in technology and product innovation, focusing on creating smarter living solutions for our customers.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Extensive engineering resources were directed at completing the development and testing of our UEI TIDE family of products, including development and sales support to secure design wins across our HVAC OEM, multi-dwelling unit (MDU) and utilities customers. These platforms are key to our ability to penetrate the climate control OEM market and our ability to introduce unique features and capabilities in these platforms to promote and demonstrate our differentiated features in customer-specific products.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Leading up to the International Consumer Electronics (CES) show in January 2025, our engineers worked on integrating, and demonstrating, new features on our UEI TIDE platforms, such as Matter, QuickSet homeSense, energy insights, and a device-based rules engine. We believe that these features were well received by existing and new customers and will serve us well for new design wins in 2025 and new product introductions in 2026 and beyond.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expanded UEI TIDE family portfolio includes the UEI TIDE Dial, Touch and Bridge available in various SKUs to cater to different market needs. The UEI TIDE Dial (US24) and UEI TIDE Dial (EU24/EUUSB) models now support Zigbee Coordinator functionality, enabling a complete energy management platform seamlessly integrated with HVAC systems, energy</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insight capabilities, and new software-defined occupancy and presence detection technology, QuickSet homeSense. These models also offer Matter support, allowing for wide interoperability with major smart home ecosystems.</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One of the key features of the UEI TIDE Family is its ability to manage both central and space HVAC systems, providing optimized climate control and energy savings. Users can control hybrid systems that mix central and mini-split systems from a single thermostat through support for IR, making it easier to manage the whole home climate. UEI TIDE Dial and Touch also support nevo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.ai, our AI-powered agent that offers support for on-boarding, remote control and built-in tier 0 support, enhancing user convenience and control throughout the lifecycle of the product.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CES, we also offered customers a sneak-peak at our next generation smart thermostat platform (UEI TIDE Pro). Built from the ground up with a new architecture, this upcoming platform will feature a larger, higher-resolution display, support for on-device AI processing, Thread and Open Thread Border Router (OTBR), and QuickSet 7 support with a built-in Matter Controller with Multi-Admin capabilities. The new platform will also introduce an advanced software framework, allowing for the development of operating system and graphical user interfaces under a limited power budget.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2024, our development teams successfully completed and released new products in the connected home space for customers such as Daikin, Carrier, Mitsubishi, Somfy and Vivint, the majority of which launched in the back half of the year.</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2024, our advanced engineering efforts focused on further developing our existing products, services and technologies. We released a host of unique QuickSet Cloud features such as QuickSet homeSense for occupancy and presence detection, video and audio content and app history, and support for Thread, as well as continued development initiatives around existing and emerging technologies, such as Zigbee 3.0, Bluetooth Smart, WiFi and Matter, a unifying, IP-based connectivity protocol built on proven technologies designed to connect smart home devices reliably and securely across disparate IoT ecosystems. We continued to evolve the capabilities of our service platform (UEI Virtual Agent) on our UEI TIDE and UEI Eterna product platforms for easier device onboarding, identification and troubleshooting.</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contributor to the Matter specification, we continue to be an active participant in several working groups and Plugfest events to help bring the full interoperability potential of the Matter standard to market.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general, our technical staff are involved in various industry organizations and bodies, which are in the process of setting standards for IR and RF communication and networking in the home. Our participation ensures comprehensive understanding of the technical specifications being developed that can affect the deployment and proliferation of future standards and technologies in the home.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of the nature of R&amp;D activities, there can be no assurance that any of our R&amp;D projects will be successfully completed or ultimately achieve commercial success.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Intellectual Property and Technology</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key factor in creating products and software for home entertainment and smart home device control is our proprietary device knowledge libraries. Each year our device and content discovery control libraries and HVAC engine continue to grow across the smart home landscape, supporting common and emerging smart home and HVAC control protocols, including IR, HDMI-CEC, Bluetooth and its variants, Zigbee (Rf4CE), Z-Wave, Thread, Matter and IP networks.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HVAC engine includes software that delivers logic and sequence control of relays in smart thermostats for efficient operation of a variety of heating and cooling equipment such as heat pumps, single, dual and multi-fuel (gas, oil and electric) HVAC systems. Additionally, we maintain libraries of proprietary software protocols used by many of the leading HVAC OEM brands worldwide that enable bi-directional communication of control and diagnostic data for efficient and optimized HVAC system operation.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developed a broad portfolio of patented technologies and the industry's leading database of device and content discovery, setup and control software. We ship integrated circuits, on which our software and control libraries are embedded and that connect to our cloud services, directly to manufacturers for inclusion in their products. In addition, we license our software and technology to manufacturers.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technology also includes other remote controlled home entertainment devices and home automation control modules, as well as wired CEC and wireless IP control protocols commonly found on many of the latest HDMI and internet connected devices. Our proprietary software automatically detects, identifies and enables the appropriate control infrastructure for many home entertainment and automation devices in the home. Our libraries are continuously updated using knowledge captured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directly from the original device or from the manufacturers' written specifications to ensure the accuracy and integrity of the libraries.</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hold and apply for patents in the United States and abroad related to our discovery, setup and control technologies across climate control, residential safety and security and smart home automation applications. Our patents have remaining lives ranging from less than one to 18 years. We have also obtained copyright registration and claim copyright protection for certain proprietary software and libraries of our device control libraries. Additionally, the names of many of our products are registered, or are being registered, as trademarks in the United States Patent and Trademark Office and in most of the other countries in which such products are sold. These registrations are valid for terms ranging up to 20 years and may be renewed as long as the trademarks continue to be used and are deemed by management to be important to our operations. While we follow the practice of obtaining patent, copyright and trademark registrations on new developments whenever advisable, in certain cases we have elected common law trade secret protection in lieu of obtaining such other protection.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and Supply</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vertically integrated across design, development, and manufacturing. Our manufacturing capabilities include high-quality surface mount technology, zero-gap, plastic injection, acoustic design, painting, keypad, robot soldering, and laser etching. We currently operate manufacturing and assembly factories in the PRC, Vietnam, Mexico and Brazil, which allows us to produce in the regional markets. We also use selected third-party manufacturers and suppliers in Asia and India.</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long-term factory planning strategy is to de-risk our reliance on a PRC-based supply chain by (1) reducing our manufacturing concentration in the PRC, (2) pursuing lower cost jurisdictions for manufacturing to help ensure market competitive products and (3) offering customers a flexible and globally diverse manufacturing footprint to provide a reliable and cost-efficient supply chain. As part of the execution of this strategy, we (1) opened a new factory in Vietnam, which commenced operations in June 2023, (2) stopped production activities in our southwestern PRC factory in the third quarter 2023 and completed its shutdown in the first quarter 2024, (3) stopped production activities and shutdown operations of our smaller eastern PRC factory during the fourth quarter 2024 and (4) downsized and streamlined our Mexico operations throughout 2024. We continue to evaluate our global factory footprint to identify ways to operate more efficiently.</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regard to the potential for recent tariff activities related to our products sourced globally, our global supply chain team is actively monitoring, reviewing and assessing any potential impact to our products and supply chain across the world. We have strategically developed a global manufacturing footprint to enhance efficiency and mitigate risks associated with international trade policies to better serve our global customer base.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though we operate one factory in the PRC, one factory in Vietnam and manufacturing and assembly plants in Mexico and Brazil, respectively, we continue to evaluate additional third-party manufacturers and sources of supply. During 2024, we utilized multiple third-party manufacturers and maintained duplicate tooling for certain of our products. Where possible, we utilize standard parts and components, which are available from multiple sources.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large consumer of integrated circuits, including low-power, RF chips and modules that are used throughout our products. We continually seek additional sources to reduce our dependence on our integrated circuit suppliers. To further manage our integrated system on a chip supplier dependence, we include microcontroller technology which incorporates non-volatile, reprogrammable flash memory in most of our products. Flash memory-based microcontrollers have shorter lead times than microcontrollers using other memory technologies and may be reprogrammed. This allows us flexibility to use a given component on many different products, has the added benefit of potentially reducing excess and obsolete inventory exposure and allows us to update our product functionality in the field. This diversification lessens our dependence on any one supplier and allows us to negotiate more favorable terms. Our largest integrated circuit supplier, Qorvo International Pte Ltd., provided 11.5% of our total inventory purchases in 2022. We did not have any suppliers that represented over 10% of our inventory purchases in 2024 or 2023.</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manufacturing process consists of plastic injection molding, keypad molding, coating or painting, surface mount technology, assembly, software programming, functional testing, packaging, and quality control. We conduct operations utilizing a formal, documented quality management system to ensure that our products and services satisfy customer needs and expectations. Our manufacturing facilities are certified to the ISO 9001:2015 International Standard for quality management. Testing and quality control are applied to components, parts, sub-assemblies and systems obtained from third-party suppliers. Our manufacturing facility in Yangzhou, PRC is certified to the TL 9000 Standard, which is the telecom industry's unique extension to ISO 9001:2015. All of our manufacturing facilities are certified to the ISO 14001:2015 International Standard for environmental management systems. In addition, our manufacturing facilities in Vietnam, Mexico and Yangzhou, PRC have also achieved ISO 45001 International Standard for safety and health management systems.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focused on reducing the environmental impact of our operations. Our manufacturing facility in Yangzhou, PRC hosts an on-site solar renewable energy system and we are evaluating the use of renewable energy in other locations. Our teams continue to examine practices and processes throughout our facilities to identify opportunities for greater energy efficiency. Each of our manufacturing facilities has standing policies and targets for the monitoring and management of waste generation and energy consumption and is focused on reducing electricity consumption, water usage and greenhouse gas emissions. In April 2024, we signed our Commitment Letter to the Science Based Targets Initiative ("SBTi"), showcasing our dedication to establishing an approved science based target for reducing greenhouse gas emissions.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committed to complying with applicable labor laws and regulations of the countries in which we operate and supporting ethical labor practices that do not infringe on human rights. We are a regular member of the Responsible Business Alliance ("RBA"), an industry coalition dedicated to driving sustainable value for workers in global supply chains, among other things. As a regular member of the RBA, we have adopted the RBA Code of Conduct, which establishes standards to ensure that working conditions are safe, that employees are treated with respect and dignity and that business operations are environmentally responsible and conducted ethically. The RBA Code of Conduct has been reflected in our employee policies and procedures. We conduct regular internal audits in line with RBA and have engaged in third-party Sedex Members Ethical Trade Audits ("SMETA") and RBA audits in our factories and regularly monitor ethics-related key performance indicators. In July 2024, our manufacturing facility in Vietnam successfully completed the RBA Validated Assessment Program ("VAP") audit achieving a Silver VAP Recognition Level.</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Human Rights Due Diligence procedure incorporates international labor and human rights standards, as well the RBA Code of Conduct, into our social and ethical management systems. This includes evaluating and addressing human rights concerns in our supply chain. We follow RBA guidelines for the supplier risk assessment process. We require all major suppliers, as defined by the RBA, to complete the RBA self-assessment questionnaire. We engage third-party due diligence platforms to screen major suppliers for sustainability and ethics concerns. As part of our Quality Management System, we conduct on-site audits of our suppliers, as a part of our supplier onboarding and annual recertification process, to ensure quality and compliance across our supply chain. A key component of these audits is evaluating alignment with the RBA VAP Standard. Based on the results of these risk assessments, we require that 50% of high-risk suppliers complete an on-site third-party RBA VAP audit. We require suppliers to adhere to our Global Supplier Code of Conduct ("Supplier Code of Conduct"), which is available on our website. Our Supplier Code of Conduct sets forth our global expectations in the areas of fair dealing, legal compliance, business integrity, labor practices, health and safety and environmental management. Among other things, we require our suppliers to respect human rights and to not engage in any form of involuntary or forced labor and to fully comply with all laws and regulations pertaining to the appropriate and dignified treatment of all workers.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Global Human Rights Policy is aligned with internationally recognized human rights principles defined by the Universal Declaration of Human Rights and the United Nations Guiding Principles on Business and Human Rights. We provide training to all employees to help identify and report any signs of forced labor or other unlawful labor practices. We have a third-party confidential ethics hotline ("the UEI Ethics Line") to enable our employees or other stakeholders to anonymously report any suspected violations of applicable laws, policies or human rights violations. We are committed to investigating all communications received on the UEI Ethics Line.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Environmental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our products are subject to various federal, state, local and international laws governing chemical substances in products, including laws regulating the manufacturing and distribution of chemical substances and laws restricting the presence of certain substances in electronics products. We may incur substantial costs, including cleanup costs, fines and civil or criminal sanctions, third-party damages, or personal injury claims, if we were to violate or become liable under environmental laws or if our products become non-compliant with environmental laws. We also face increasing complexity in our product design and procurement operations as we adjust to new and future requirements relating to the material composition of our products.</w:t>
      </w:r>
    </w:p>
    <w:p>
      <w:pPr>
        <w:spacing w:after="0" w:line="21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We may also face significant costs and liabilities in connection with product take-back and "right to repair" legislation both in the U.S. and abroad. For example, the European Union's Waste Electrical and Electronic Equipment ("WEEE") Directive makes producers of electrical goods financially responsible for specified collection, recycling, treatment, and disposal of past and future covered products. Our European subsidiaries are WEEE compliant.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we have materially complied with all currently existing international and domestic federal, state and local statutes and regulations regarding environmental standards and occupational safety and health matters to which we are subject. During the years ended December 31, 2024, 2023 and 2022, the costs incurred in complying with federal, state, local and foreign statutes and regulations pertaining to environmental standards and occupational safety and health laws and regulations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did not materially affect our earnings, financial condition or competitive position. In addition, during the same period, the costs incurred in complying with other applicable government regulations likewise did not materially affect our earnings, financial condition or competitive position. However, due to the heightened awareness of corporate environmental, social and governance ("ESG") matters and evolving laws and regulations or enforcement policies, increases in compliance costs may have a material adverse effect upon our capital expenditures, earnings or financial condition.</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committed to reducing and eliminating substances of concern from our products and manufacturing process. Our products distributed in the European Union are compliant with the RoHS (Restriction of Hazardous Substances Directive 2011/65/EU and 2015/863/EU) and REACH (Registration, Evaluation, Authorisation and Restriction of Chemicals) directives. In other regions, we also need to comply with our customers' specific requirements relating to the non-use of certain hazardous substances in the products, which are typically equally or more stringent than the RoHS directive. We have a dedicated "Green Team" comprised of engineers and environmental regulation experts, that analyze our products, processes, and raw materials to help ensure that we comply with environmental and government regulations worldwide, as well as the applicable "Green" requirements imposed by our customers. Additionally, we have in-house testing capability to help ensure product compliance. We place great importance on the compliance with local health and safety laws and regulations. At our manufacturing facilities, we are also committed to protecting our workers from exposure to hazardous substances under an established health and safety management system. As an example, we have replaced volatile organic compounds ("VOC") emitting inks and paints with reduced-VOC paints at some of our manufacturing facilities.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strive to extend the useful life of our products and reduce our products' impact on the environment. We have invested in R&amp;D to improve the energy efficiency of our battery-operated products. For example, we deploy a low energy IR-engine in some of our products, which can extend battery life regardless of the protocols utilized by the product. We have introduced our control platform and related technologies that address the growing demand for sustainable products that reduce energy use and eliminate waste. With this platform, we partnered with technology leaders and invested in bringing ultra-low power connectivity chips with built-in energy harvesting and photovoltaic cells to the market. These chips offer more computing power while consuming substantially less battery power. In addition, to reduce energy consumption even further, we have introduced solutions powered by low-light solar cells for the entertainment remote control and IoT markets.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offer a product refurbishment program to our customers where we reclaim, refurbish and recycle pre-owned remote controls. Under this program, major components in pre-owned remote control units are reused or recycled. For example, the printed circuit board assemblies ("PCBA") are cleaned, tested and reused, or plastics are reground to be reused. We have also employed new master carton packing methods to increase shipping efficiency and reduce cardboard usage. Some of our manufacturing facilities are switching to the use of recycled solder. To further reduce collateral waste, we have introduced an initiative to reduce and/or remove single use plastics ("SUP") from our supply chain and manufacturing process for certain customer programs.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nations where we have operations or otherwise conduct business, we are also subject to tariffs, import/export controls, and other trade-related laws and limitations. These limits, regulations, and tariffs, especially those pertaining to or affecting relations between the United States and the PRC, might significantly disrupt our business, affecting our capacity to manufacture, source components and sell goods. The new U.S. administration has introduced new policies imposing additional tariffs on goods manufactured abroad, including goods manufactured in the PRC and Mexico. As of the date of this filing, the new tariffs on Mexico goods have been paused; however, significant uncertainty continues to exist about the future of U.S. trade policy and the implementation of new tariffs, including but not limited to, new tariffs on goods manufactured in the PRC and Mexico. These measures, if fully implemented, will increase costs for certain goods imported into the United States.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Climate Change</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operations, supply chain and products are expected to become increasingly subject to federal, state, local and foreign laws, regulations, and international treaties relating to climate change, such as climate disclosure, carbon pricing or product energy efficiency requirements. We have established an executive-level Environmental Working Group to further integrate environmental considerations throughout the product lifecycle, ensure compliance with environmental regulations and customer requirements, implement sustainable practices in our operations, reduce our product's environmental footprint, and deliver more cost-effective and lower carbon technology solutions to our customers. We believe that technology will be fundamental to finding solutions to achieve compliance with and manage those requirements. Our Board of Directors (the "Board"), specifically the Corporate Governance, Sustainability and Nominating Committee, is responsible for risk oversight, which includes relevant environmental-related risks such as climate change.</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Government regulations are subject to change; therefore, we are unable to predict the impact of complying with potential future requirements or whether doing so will materially affect our operations, financial situation or business.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we employed 3,838 members of staff across our worldwide facilities. Of this staff, 2,928 are associated with our manufacturing and supply chain organizations in the PRC, Vietnam, Mexico and Brazil. Beyond the manufacturing and supply chain organizations, 542 of staff work in engineering and R&amp;D, 105 in sales, marketing, consumer service and support and 263 in executive and administrative functions.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in the PRC, as is standard practice, we work with third-party agencies who have recruited and provided us with workers to support our production activities. These third-party agencies have been required to adhere to both the relevant RBA Code of Conduct requirements and our own Supplier Code of Conduct, which among other things, prohibits the use of forced labor and sets forth requirements on fair dealing, legal compliance, business integrity, labor practices, health and safety and environmental management. We have also standardized the qualification, contract and monitoring standards for all third-party agencies.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Recruitment, Retention, and Development</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provide and maintain a work environment that is designed to attract, develop and retain top talent through offering our employees an engaging work experience that contributes to their career development. We recognize that our success is based on the collective talents and dedication of those we employ. Talent management is critical to our ability to execute our long-term growth strategy, and we utilize both internal human resource personnel and external recruiting firms to identify and attract such talent. Through our history of technological innovation, we appreciate the importance of retention, growth and development of our employees. We regularly collect feedback from employees to better understand and improve their experiences and identify opportunities to continually strengthen our culture. Due to the nature of our activities, we tend to heavily invest in engineering capital, employing highly skilled and specialized engineers and technicians in the areas of electronics, RF design, software, cloud, mechanical, industrial design, manufacturing and quality disciplines.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staff is located around the globe at different office and development locations. Our R&amp;D locations are as follows:</w:t>
      </w:r>
    </w:p>
    <w:p>
      <w:pPr>
        <w:spacing w:after="0" w:line="252"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engineering, architecture and cloud teams are located in Santa Ana, California, and Scottsdale, Arizona;</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architecture, software and service teams are located in Santa Ana and San Mateo, California;</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sensor engineering and R&amp;D teams are located in Carlsbad and Poway, California;</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connected thermostat engineering and R&amp;D teams are located in Santa Ana and Poway, California;</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engineering teams are located in Panyu and Suzhou in the PRC;</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firmware and device database teams are located in Bangalore, India;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software services team focused on support software solutions is located in Plymouth, Minnesota.</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Next to these specialized centers of excellence, we employ engineering, sales and marketing and support staff in many of our regional offices in the United States, The Netherlands, Hong Kong, the PRC, Brazil, India, Japan, Korea, Singapore and Mexico.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Inclusion, Ethics Line and Code of Conduct</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an Equal Opportunity Employer and are committed to providing a workplace free of discrimination, harassment and retaliation for all employees and we value equality, opportunity and respect. We encourage any employee who believes they are the subject of discrimination, harassment or retaliation to express concerns without fear of retribution or retaliation to their immediate supervisors, any senior-level managers, or through the UEI Ethics Line. In addition, we have maintained and enforced a Code of Conduct that applies to all of our employees, including our Chief Executive Officer, Chief Financial Officer, and Principal Accounting Officer, and to each member of the Board. The Code of Conduct is available in the Investor Relations section of our website (UEI.com/investor) by clicking on "Investor", then "Governance" and then "Committee composition, documents and confidential ethics line". We intend to post on that website any future changes or amendments to our Code of Conduct, and any waiver of our Code of Conduct that applies to any of our executive officers or a member of our Board within four business days following the date of the amendment or waiver.</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Labor unions represent approximately 12.0% of our 3,838 employees as of December 31, 2024. Some of these unionized workers are employed in Monterrey, Mexico, and are represented under contract with the Sindicato Industrial de Trabajadores de Nuevo León adherido a la Federación Nacional de Sindicatos Independientes. Unionized workers, employed in Manaus, Brazil, are represented under contract with the Sindicato dos Trabalhadores nas Industrias Metalugicas, Mecanicas e de Materiais Eletricos de Manaus. Additionally, workers at our Vietnam facility are covered by a collective bargaining agreement.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workers represent approximately 17.0% of our 3,838 employees as of December 31, 2024. Our business units are subject to various laws and regulations relating to their relationships with their employees. These laws and regulations are specific to the location of each business unit. We believe that our relationships with employees and their representative organizations are good.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Safety, Health and Wellness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health and safety of our employees, contractors, visitors and the communities in which we operate is paramount. We are committed to reducing or eliminating health and safety risks through our health and safety programs, including effective control measures, emergency response plans and training programs. We continually monitor and evaluate health and safety performance against established goals and industry standards and maintain clear procedures for collecting information about health and safety incidents, near misses, and concerns. Each incident is thoroughly investigated, and corrective actions are taken to prevent their recurrence. These metrics are communicated to leadership through regular management reviews. This commitment is outlined in our global health and safety policy. As a member of RBA, we also adhere to the standards of the RBA Code of Conduct to ensure working conditions are safe throughout our supply chain.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Historically, our business has been influenced by the retail sales cycle, with increased sales in the second half of the year. We expect this pattern to be repeated during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our executive officers on March 11,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7640" w:type="dxa"/>
            <w:vAlign w:val="bottom"/>
          </w:tcPr>
          <w:p>
            <w:pPr>
              <w:ind w:left="35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2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r>
      <w:tr>
        <w:trPr>
          <w:trHeight w:val="22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 D. Arling</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shd w:val="clear" w:color="auto" w:fill="CCEEFF"/>
          </w:tcPr>
          <w:p>
            <w:pPr>
              <w:spacing w:after="0"/>
              <w:rPr>
                <w:sz w:val="19"/>
                <w:szCs w:val="19"/>
                <w:color w:val="auto"/>
              </w:rPr>
            </w:pPr>
          </w:p>
        </w:tc>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3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Bryan M. Hackworth</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29"/>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Ramzi S. Ammari</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shd w:val="clear" w:color="auto" w:fill="CCEEFF"/>
          </w:tcPr>
          <w:p>
            <w:pPr>
              <w:spacing w:after="0"/>
              <w:rPr>
                <w:sz w:val="19"/>
                <w:szCs w:val="19"/>
                <w:color w:val="auto"/>
              </w:rPr>
            </w:pPr>
          </w:p>
        </w:tc>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Corporate Planning and Strategy</w:t>
            </w:r>
          </w:p>
        </w:tc>
      </w:tr>
      <w:tr>
        <w:trPr>
          <w:trHeight w:val="23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K. Carnifax</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Global Operations</w:t>
            </w:r>
          </w:p>
        </w:tc>
      </w:tr>
      <w:tr>
        <w:trPr>
          <w:trHeight w:val="230"/>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Chong</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shd w:val="clear" w:color="auto" w:fill="CCEEFF"/>
          </w:tcPr>
          <w:p>
            <w:pPr>
              <w:spacing w:after="0"/>
              <w:rPr>
                <w:sz w:val="19"/>
                <w:szCs w:val="19"/>
                <w:color w:val="auto"/>
              </w:rPr>
            </w:pPr>
          </w:p>
        </w:tc>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Global Sales</w:t>
            </w:r>
          </w:p>
        </w:tc>
      </w:tr>
      <w:tr>
        <w:trPr>
          <w:trHeight w:val="234"/>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A. Firehammer, Jr.</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tcPr>
          <w:p>
            <w:pPr>
              <w:spacing w:after="0"/>
              <w:rPr>
                <w:sz w:val="20"/>
                <w:szCs w:val="20"/>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Head of Global Compliance, and Corporate Secretary</w:t>
            </w:r>
          </w:p>
        </w:tc>
      </w:tr>
    </w:tbl>
    <w:p>
      <w:pPr>
        <w:spacing w:after="0" w:line="2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Paul D. Arling </w:t>
      </w:r>
      <w:r>
        <w:rPr>
          <w:rFonts w:ascii="Times New Roman" w:cs="Times New Roman" w:eastAsia="Times New Roman" w:hAnsi="Times New Roman"/>
          <w:sz w:val="17"/>
          <w:szCs w:val="17"/>
          <w:color w:val="auto"/>
        </w:rPr>
        <w:t>is our Chairman and Chief Executive Officer. He joined us in May 1996 as Chief Financial Officer and was named to our Board of Directors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August 1996. He was appointed President and Chief Operating Officer in September 1998, was promoted to Chief Executive Officer in October 2000 and appointed as Chairman in July 2001. At the 2024 Annual Meeting of Stockholders, Mr. Arling was re-elected as our Chairman to serve until the 2025 Annual Meeting of Stockholders. From 1993 through May 1996, he served in various capacities at LESCO, Inc., a manufacturer and distributor of professional turf care products. Prior to LESCO, he worked for Imperial Wallcoverings, a manufacturer and distributor of wall covering products as Director of Planning, and The Michael Allen Company, a strategic management consulting company where he was employed as a management consultant. Mr. Arling received his Bachelor of Science and Master of Business Administration from The Wharton School of the University of Pennsylvania.</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Bryan M. Hackworth </w:t>
      </w:r>
      <w:r>
        <w:rPr>
          <w:rFonts w:ascii="Times New Roman" w:cs="Times New Roman" w:eastAsia="Times New Roman" w:hAnsi="Times New Roman"/>
          <w:sz w:val="18"/>
          <w:szCs w:val="18"/>
          <w:color w:val="auto"/>
        </w:rPr>
        <w:t>is our Senior Vice President and Chief Financial Officer. He was promoted to Chief Financial Officer in August 2006. Mr. Hackworth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joined us in June 2004 as Corporate Controller and subsequently assumed the role of Chief Accounting Officer in May 2005. Before joining us in 2004, he spent five years at Mars, Inc., a privately held international manufacturer and distributor of consumer products and served in several financial and strategic roles. Prior to joining Mars, Inc., Mr. Hackworth spent six years at Deloitte &amp; Touche LLP as an auditor, specializing in the manufacturing and retail industries. Mr. Hackworth is a certified public accountant (inactive) in the state of California and holds a Bachelor of Arts in Economics from University of California, Irvine.</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Ramzi S. Ammari </w:t>
      </w:r>
      <w:r>
        <w:rPr>
          <w:rFonts w:ascii="Times New Roman" w:cs="Times New Roman" w:eastAsia="Times New Roman" w:hAnsi="Times New Roman"/>
          <w:sz w:val="18"/>
          <w:szCs w:val="18"/>
          <w:color w:val="auto"/>
        </w:rPr>
        <w:t>is our Senior Vice President, Corporate Planning and Strategy. He joined us in June 1997 as a Project Manager and has held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positions of increasing responsibility within our organization until being named to his current position in October 2013. He has global responsibility for the Company's technology innovation roadmap; driving new product initiatives; directing and implementing strategic partnerships, joint ventures and acquisitions; and recommending new avenues for business creation. Prior to joining us, Mr. Ammari worked at Mitsubishi Consumer Electronics of America for four years as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Business Planning Manager where he was responsible for introducing the first flat-screen plasma display panel television for the North America market. He received his Bachelor of Science, Engineering degree in 1989 and, subsequently, a Master of Business Administration from University of California, Irvine in 1993.</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Richard K. Carnifax </w:t>
      </w:r>
      <w:r>
        <w:rPr>
          <w:rFonts w:ascii="Times New Roman" w:cs="Times New Roman" w:eastAsia="Times New Roman" w:hAnsi="Times New Roman"/>
          <w:sz w:val="18"/>
          <w:szCs w:val="18"/>
          <w:color w:val="auto"/>
        </w:rPr>
        <w:t>is our Senior Vice President, Global Operations. He joined us in May 2020 as Vice President, Global Supply Chain and in July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 was promoted to Vice President, Operations. In February 2023, he was promoted to his current position. Prior to joining us, from March 2019 until May 2020, Mr. Carnifax was the Chief Operating Officer at Cast Nylons, a privately held manufacturer and distributor of cast nylon stock shapes and custom cast parts, and was Vice President, Operations at Cast Nylons from November 2017 until March 2019. From November 2015 until September 2017, he held various operational roles at Air Enterprises, a privately held manufacturer of specialty air handling equipment. Prior to joining Air Enterprises, Mr. Carnifax spent four years scheduling and planning materials for Howden, a provider of high-quality air and gas handling products and services to the power, oil and gas, mining and petrochemical industries. Mr. Carnifax holds a Bachelor of Arts in Political Science and a Master of Arts in International Relations/Business from the University of Akron.</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David Chong </w:t>
      </w:r>
      <w:r>
        <w:rPr>
          <w:rFonts w:ascii="Times New Roman" w:cs="Times New Roman" w:eastAsia="Times New Roman" w:hAnsi="Times New Roman"/>
          <w:sz w:val="18"/>
          <w:szCs w:val="18"/>
          <w:color w:val="auto"/>
        </w:rPr>
        <w:t>is our Executive Vice President, Global Sales. He was previously responsible for the general management and sales of our Asia region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promoted to his current position in October 2023. Mr. Chong joined us in January 2009 as Senior Vice President of Global OEM Sales. Prior to joining us, Mr. Chong served as Senior Vice President at Philips Consumer Electronics Division and as the Chief Marketing Officer of the business group Philips Display (Philips TV and computer monitor business). At Philips Display, he led the re-engineering of the Product Creation, Marketing and Sales Organization to compete successfully in the LCD TV space. Prior to this, he also served as Vice President and General Manager of the Audio Video Business in Asia, Vice President and Global Business Line Manager for Audio and various senior management positions at Philips' CE Division. Mr. Chong started at Philips Research Lab in 1984 as a research scientist working in the area of VLSI design methodologies. He also served as Managing Director for Asia at InVue Security Product before joining us. Mr. Chong had his senior education in the United Kingdom, holding a Bachelor of Science in Electrical and Electronics Engineering with High Honors from University of Nottingham.</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Richard A. Firehammer, Jr., Esq. </w:t>
      </w:r>
      <w:r>
        <w:rPr>
          <w:rFonts w:ascii="Times New Roman" w:cs="Times New Roman" w:eastAsia="Times New Roman" w:hAnsi="Times New Roman"/>
          <w:sz w:val="18"/>
          <w:szCs w:val="18"/>
          <w:color w:val="auto"/>
        </w:rPr>
        <w:t>is our Senior Vice President, General Counsel, Head of Global Compliance, and Corporate Secretary. He joined us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1993 as General Counsel. He became our Corporate Secretary in February 1994. He was our Vice President from May 1997 until August 1998, and served as counsel to us from September 1998 until February 1999, at which time he was promoted to Senior Vice President. In January 2022, in addition to his duties as General Counsel and Secretary, he took on the added responsibilities as Head of Global Compliance. From November 1992 to September 1993, he was associated with the Chicago, Illinois law firm, Shefsky &amp; Froelich, Ltd. From 1987 to 1992, he was with the law firm Vedder, Price, Kaufman &amp; Kammholz in Chicago, Illinois. He received his Bachelor of Science in Accounting from Indiana University and a Juris Doctor degree from Whittier College School of Law. Mr. Firehammer is also a certified public accountant (inactive).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make forward-looking statements in Management's Discussion and Analysis of Financial Condition and Results of Operations and elsewhere in this report based on the beliefs and assumptions of our management and on information currently available to us. Forward-looking statements include information about our possible or assumed future results of operations, which follow under the headings "Business", "Liquidity and Capital Resources", and other statements throughout this report preceded by, followed by or that include the words "believes", "expects", "anticipates", "intends", "plans", "estimates" or similar expressions. Any number of risks and uncertainties could cause actual results to differ materially from those we express in our forward-looking statements, including the risks and uncertainties we describe below and other factors we describe from time to time in our periodic filings with the SEC. We therefore caution you not to rely unduly on any forward-looking statement. The forward-looking statements in this report speak only as of the date of this report, and we undertake no obligation to update or revise any forward-looking statement, whether as a result of new information, future developments, or otherwise.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and Uncertainties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various risks that could materially and adversely affect our business, results of operations, cash flows, liquidity, or financial condition which make an investment in our securities risky. You should understand that these risks could, in circumstances we may or may not be able to accurately predict, recognize, or control, have a material adverse effect on our business, growth, reputation, prospects, financial condition, operating results (including components of our financial results), cash flows, liquidity and stock price. In addition, these risks could cause results to differ materially from those we express in forward-looking statements contained in this report or in other Company communications, including those we file from time to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time with the SEC. These risk factors do not identify all risks that we face; our operations could also be affected by factors, events, or uncertainties that are not presently known to us or that we currently do not consider to present significant risks to our operations. Although the risks are organized by headings, and each risk is discussed separately, many are interrelated. Because there is no way to determine in advance whether, or to what extent, any present uncertainty will ultimately impact our business, you should give equal weight to each of the following: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Economic Conditions and Global Events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General political and economic factors beyond our control could adversely affect our business and results of operations. These factors include, but are not limited to, supply chain disruptions, labor shortages, wage pressures, geo-political matters and conflicts, rising inflation and potential economic slowdown or recession, as well as increases in costs including fuel and energy costs, foreign currency exchange rate fluctuations, tariffs, and other matters that influence consumer spending and preferences. Among other events, the invasion of Ukraine by Russia has escalated tensions among the United States, the North Atlantic Treaty Organization ("NATO") and Russia. Conflict in the Middle East has led to disruption of international shipping lanes, causing shipping delays and fluctuating freight costs. These conflicts and the resulting sanctions and related countermeasures could lead to market disruptions, including significant volatility in commodity prices, credit and capital markets, and supply chain interruptions. Additionally, they have the potential to spread to or exacerbate tensions in other countries or regions, leading to new and unanticipated disruptions.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Global markets continued to face threats and uncertain economic and financial market conditions that may also adversely affect the financial condition of our customers, suppliers and other business partners. Any significant decrease in customers' purchases of our products or our inability to collect accounts receivable resulting from an adverse impact of the global markets on customers' financial condition could have a material adverse effect on our business, financial condition and results of operations. Additionally, disruptions in financial markets could reduce our access to debt capital markets, negatively affecting our ability to implement our business strategy.</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 2025, substantial tariffs on Canada, the PRC and Mexico were announced. There exists substantial uncertainty as to whether these tariffs will be fully implemented or sustained. We are monitoring these actions, which could have an adverse impact on our business strategy, operating results and financial condition. There can be no assurances that these tariffs will not be implemented or increased in the future, with the previously mentioned countries or additional countries with which we do business. The degree to which these changes in U.S. trade policy affect our operating results will be influenced by the specific details of the changes in trade policies, their timing and duration, and our effectiveness in deploying tools and strategies to address these issues. In addition, retaliatory tariffs imposed by other countries or other potential government actions, could result in further adverse impacts on our business strategy, operating results and financial condition.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Operations</w:t>
      </w:r>
    </w:p>
    <w:p>
      <w:pPr>
        <w:spacing w:after="0" w:line="25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u w:val="single" w:color="auto"/>
          <w:color w:val="auto"/>
        </w:rPr>
        <w:t>Cybersecurity Issues: Cybersecurity Incidents, Failure to Maintain the Integrity of and Protect Internal or Customer Data May Result in Faulty Business Decisions, Operational Inefficiencies, Damage to our Reputation and/or Subject Us to Costs, Fines, or Lawsuits</w:t>
      </w:r>
    </w:p>
    <w:p>
      <w:pPr>
        <w:jc w:val="both"/>
        <w:spacing w:after="0" w:line="251" w:lineRule="auto"/>
        <w:rPr>
          <w:sz w:val="20"/>
          <w:szCs w:val="20"/>
          <w:color w:val="auto"/>
        </w:rPr>
      </w:pPr>
      <w:r>
        <w:rPr>
          <w:rFonts w:ascii="Times New Roman" w:cs="Times New Roman" w:eastAsia="Times New Roman" w:hAnsi="Times New Roman"/>
          <w:sz w:val="18"/>
          <w:szCs w:val="18"/>
          <w:color w:val="auto"/>
        </w:rPr>
        <w:t>Our business requires collection, processing, and retention of large volumes of data, including personally identifiable information of our customers in various information systems that we maintain and in those maintained by third parties with whom we contract, including in areas such as customer product servicing, human resources outsourcing, website hosting, and various forms of electronic communications. We and third parties who provide services to us also maintain personally identifiable information about our employees. The integrity and protection of that customer, employee, and company data, including proprietary information, is critical to us. If that data is inaccurate or incomplete or inaccessible, we may make faulty decisions or experience business interruptions. Despite the security measures we have in place, our facilities and systems, and those of the retailers, dealers, licensees and other third-party suppliers and vendors with which we do business, may be vulnerable to cybersecurity threats, attacks or incidents, failures or disruptions, acts of vandalism or misconduct, computer viruses, misplaced or lost data, programming and/or human errors or other similar events. Any cybersecurity incidents involving the misappropriation, loss or other unauthorized disclosure of customer, employee, supplier or Company information, whether caused by us, an unknown third party, or the retailers, dealers, licensees or other third-party suppliers and vendors with which we do business, could result in losses, severely damage our reputation, expose us to the risks of litigation and liability, disrupt our operations and have a material adverse effect on our business, results of operations and financial condition. As cybersecurity threats may evolve in sophistication and become more prevalent worldwide, we continue to aim to increase our sensitivity and attention to these threats, seek additional investments and resources to address these threats and enhance the security of our facilities and systems and strengthen our controls and procedures to monitor, protect against and mitigate these threats. The domestic and international legal and regulatory environment related to information security, data collection and privacy is increasingly rigorous and complex, with new and constantly changing requirements applicable to our business.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Compliance with these requirements, including the European Union's General Data Protection Regulation ("GDPR"), China's newly enacted Personal Information Protection Law ("PIPL") and other domestic (including state law) and international regulations, could result in additional costs and changes to our business practices.</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Moreover, we rely heavily on computer systems and software to manage and operate our business, record and process transactions, and manage, support and communicate with our employees, customers, suppliers, vendors, and other third parties. Computer systems and software are important to production planning, finance, company operations and customer service, among other business-critical processes. Despite our efforts to prevent disruptions to our computer systems and software, these systems and software may be affected by damage, disruption, attack, or interruption from, among other causes, power outages, system failures, computer viruses, the development of harmful malware or ransomware, denial-of-service attacks and other intrusions, including cybersecurity incidents and other disruptions or failures. Cybersecurity threat actors also may attempt to exploit vulnerabilities through software that is commonly used by companies in cloud-based services and bundled software. Computer hardware and storage equipment that is integral to efficient operations, such as email, telephone and other functionality, is concentrated in certain physical locations in the various continents in which we operate. We rely on software applications, enterprise cloud storage systems and cloud computing services provided by third-party vendors, and our business may be adversely affected by service disruptions in or cybersecurity incidents and disruptions and failures related to such systems. Remote work and remote access to our systems has increased, which also increases the risk of cybersecurity incidents and disruptions and failures on our systems surface. In addition, there has been a global increase in cybersecurity threat volume, frequency, and sophistication driven by the global enablement of remote workforces. Geopolitical tensions or conflicts, such as Russia’s invasion of Ukraine, may further heighten the risk of cybersecurity incidents and disruptions of our services and software on which we rely. We continue to try to mitigate these risks in a number of ways, including through additional investment, engagement of third-party experts and consultants, improving the security of our facilities and systems (including through upgrades to our security and information technology systems), providing training for all employees (with more enhanced or frequent training based on role or responsibility), assessing the continued appropriateness of relevant insurance coverage and strengthening our controls and procedures to monitor, mitigate and respond appropriately to these threats. We carry cyber insurance, and while we have not incurred any material losses due to any failure of or disruptions to our systems, or from any cybersecurity incidents, we cannot be certain that our coverage will be adequate for liabilities actually incurred, that insurance will continue to be available to us on economically reasonable terms, or that any insurer will not deny coverage as to any future claim.</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our QuickSet Cloud feature delivery, our cloud data captures device information and data elements that are used to enhance product performance and create a more personalized consumer experience. These features, and any device specific data are delivered for use by our customers and not sold to third parties. While QuickSet Cloud services a subset of the data used by QuickSet, the majority of the data is captured, analyzed and stored on the device, and in the home, and is not stored outside of the home. This includes the more personal and private data classes such as content usage and user occupancy and presence.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Proprietary Technologies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produce highly complex products that incorporate leading-edge technology, including hardware, firmware, and software. Firmware and software may contain bugs that may unexpectedly interfere with product operation. There can be no assurance that our testing programs will detect all defects in individual products or defects that may affect numerous shipments. The presence of defects may harm customer satisfaction, reduce sales opportunities, or increase warranty claims and/or returns. An inability to cure or repair such a defect may result in the failure of a product line, temporary or permanent withdrawal of a product or market, damage to our reputation, increased inventory costs, or product re-engineering expenses, any of which may have a material impact on our operating results, financial condition and cash flows.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Technology Changes in Control and Sensing</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currently derive substantial revenue from the sale of remote controls, thermostats, sensors and home automation products based on IR and RF and other technologies. Other control technologies exist or may be developed that may compete with our technology. In addition, we develop and maintain our own database of IR and RF codes, as well as elements critical to the delivery of our HVAC engine. There are other IR and RF libraries offered by companies that we compete with in the marketplace. In addition, if competing control and sensing technology and products gain acceptance and start to be integrated into home electronics devices and home security and automation products, demand for our products may decrease, resulting in decreased operating results, financial condition and cash flows.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Technology Development Activities May Experience Delays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experience technical, financial, resource or other difficulties or delays related to the further development of our technologies. Delays may have adverse financial effects and may allow competitors to gain an advantage over us in the marketplace or in the standards setting arena. There can be no assurance that we will continue to have adequate staffing or that our development efforts will ultimately be successful. Moreover, certain of our technologies have not been fully tested in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commercial use, and it is possible that they may not perform as expected. In such cases, our business, financial condition and operating results may be adversely affected, and our ability to secure new licensees and other business opportunities may be diminished.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Dependence upon New Product Introduction</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ability to remain competitive in the video services, consumer electronics, climate control, security, home automation and home appliance markets will depend considerably upon our ability to successfully identify new product opportunities, as well as develop and introduce these products and enhancements on a timely and cost effective basis. There can be no assurance that we will be successful at developing and marketing new products or enhancing our existing products, or that these new or enhanced products will achieve consumer acceptance and, if achieved, will sustain that acceptance. In addition, there can be no assurance that products developed by others will not render our products non-competitive or obsolete or that we will be able to obtain or maintain the rights to use proprietary technologies developed by others which are incorporated in our products. Any failure to anticipate or respond adequately to technological developments and customer requirements, or any significant delays in product development or introduction, may have a material adverse effect on our operating results, financial condition and cash flows. Moreover, the introduction of new products may require significant expenditures for R&amp;D, tooling, manufacturing processes, inventory and marketing. In order to achieve high-volume production of any new product, we may have to make substantial investments in inventory and expand our production capabilities. We cannot be certain that we will recover the costs we incurred in developing new products, investing in inventory, expanding our production capabilities, or that those new products will be successful.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Artificial Intelligence</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incorporate artificial intelligence ("AI") solutions into some of our platforms, offerings, services and features, and these applications may become more important in our operations over time. Our competitors, or other third parties, may incorporate AI into their products more quickly or more successfully than us, which could impair our ability to compete effectively and affect our results or operations. Additionally, if our AI applications are based on data, algorithms, or other inputs that are flawed, or if they assist in producing content, analyses, or recommendations that are or are alleged to be deficient, inaccurate, or biased, our business, financial condition, and results of operations may be adversely affected. The use of AI applications has resulted in, and may in the future result in, cybersecurity incidents that implicate the personal data of end users of such applications. Any such cybersecurity incidents related to our use of AI applications could adversely affect our reputation and results of operations. AI also presents emerging ethical issues, and if our use of AI becomes controversial, we may experience brand reputational, or competitive harm, or legal liability. The rapid evolution of AI, including the potential regulation of AI by government or other regulatory agencies, will require significant resources to develop, test, and maintain our platforms, offerings, services, and features in order to implement AI ethically and minimize any unintended, harmful impacts.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Dependence on Consumer Preference</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susceptible to fluctuations in our business based upon consumer demand for our products. We cannot guarantee that increases in demand for our products associated with increases in the deployment of new technology will continue. We believe that our success depends on our ability to anticipate, gauge and respond to fluctuations in consumer preferences. However, it is impossible to predict with complete accuracy the occurrence and effect of fluctuations in consumer demand over a product's life cycle. Moreover, any growth in revenues that we achieve may be transitory and should not be relied upon as an indication of future performance.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Dependence on Major Customers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economic strength and weakness of our worldwide customers affect our performance. We sell our products, accessory products, and proprietary technologies to video service providers, OEMs, retailers and private label customers. We also supply our products, accessory products, and technologies to our wholly owned, non-U.S. subsidiaries and to independent foreign distributors, who in turn distribute our products worldwide. While we generally have a broad and varied customer base, during the years ended December 31, 2024, 2023 and 2022, Daikin Industries Ltd. accounted for sales totaling more than 10% of our net sales. During the year ended December 31, 2022, Comcast Corporation also accounted for sales totaling more than 10% of our net sales. In addition to these customers, we have some customers that, individually or through their subsidiaries or affiliated partners, purchase a large amount of products from us. Although our broad distribution channels help to minimize the impact of the loss of any one customer, the loss of any of these large individual customers, or our inability to maintain order volume with these customers, may have an adverse effect on our sales, operating results, financial condition and cash flows.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Demand for Consumer Service and Support</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provide consumer service and support to our retail customers to add overall value and to help differentiate us from our competitors. Certain of our products have more features than others and therefore require more end-user technical support, which may increase our support costs and have an adverse effect on our business, operating results, financial condition and cash</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flows. We continually review our service and support group and are marketing our expertise in this area to other potential retail customers.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Manufacturing Risks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factories in the PRC, Vietnam, Mexico and Brazil. In addition, we utilize third-party manufacturers located in Asia to manufacture a portion of our products. We believe that the loss of any one or more of these third-party manufacturers would not have a long-term material adverse effect on our business, results of operations and cash flows, because numerous other manufacturers are available to fulfill our requirements; however, the loss of any of our major third-party manufacturers may adversely affect our business, operating results, financial condition and cash flows until alternative manufacturing arrangements are secured.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U.S.-China Trade and Supply Chain Compliance Risks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recent years, U.S.-China trade and investment has become subject to additional regulatory conditions and restrictions, including restrictions on certain imports and exports, increased tariffs, inbound and outbound investment restrictions, and enhanced prohibitions targeting the use of forced labor in supply chains. Political leaders, regulatory agencies and legislators have also increased their focus on enforcing these rules and monitoring companies’ compliance. We maintain policies and procedures designed to ensure compliance with these rules, and we do not believe that these rules or our efforts to comply with them materially impact our business, but it is possible that these restrictions, tariffs and related government initiatives will expand and that their effect our business will become more onerous, and we cannot be certain that our compliance efforts will in all cases be successful.</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among other relevant restrictions, the Uyghur Forced Labor Prevention Act (the "UFLPA") creates a rebuttable presumption that all goods produced or manufactured, even partially, in the PRC’s Xinjiang Uyghur Autonomous Region ("XUAR") were made with forced labor and, therefore, would not be allowed entry at U.S. ports. Importers are required to present clear and convincing evidence that goods from the XUAR are not made with forced labor. While we do not authorize the sourcing of any product from the XUAR and have increased actions to ensure our entire supply chain is free of any products made with forced labor, there is nonetheless a risk, particularly in light of prior media allegations and government inquiries focusing on one of our former facilities, that our business, results of operations and financial condition could be adversely affected by the UFLPA, related regulatory requirements and enforcement activity, or related customer concerns. Overall, our reliance on international supply chains involves a risk of adverse effects to our business, including from government restrictions and enforcement efforts.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Among other things, we utilize third-party suppliers as well as third-party employment or labor agencies to provide us with staff to support our production activities. While we require these suppliers and agencies to adhere to our Supplier Code of Conduct and the RBA Code of Conduct, which among other things prohibits forced labor in any manner and requires them to treat all employees with respect and dignity, use of third-party agencies has come under worldwide scrutiny. If a supplier or third-party labor agency were to engage in actual or apparent non-compliance with our Supplier Code of Conduct or otherwise violate applicable laws or regulations, this could create compliance challenges for us and adversely affect our business or our customer relationships.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Dependence upon Key Suppliers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continue to operate in a supply-constrained environment, and we are heavily dependent on third-party suppliers and their ability to deliver sufficient quantities of key components and products at reasonable prices and in time for us to meet schedules for the delivery of our products and services. Most of the components used in our products are available from multiple sources. However, we purchase ICs used in products, from a small number of key suppliers. To reduce our dependence on our IC suppliers we continually seek additional sources. We maintain inventories of our ICs, which may be used in part to mitigate, but not eliminate, delays resulting from supply interruptions. Further, we have identified alternative sources of supply for our ICs, component parts, and finished goods; however, there can be no assurance that we will be able to continue to obtain these inventory purchases on a timely basis or in the quantities we need. Any extended interruption, shortage or termination in the supply of any of the components used in our products, or a reduction in their quality or reliability, or a significant increase in prices of components, would have an adverse effect on our operating results, financial position and cash flows.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may obtain components from a single source due to technology, availability, price, quality or other considerations. New products that we introduce may utilize custom components obtained initially from only one source until we have determined whether there is a need for additional suppliers. Replacing a single-source supplier could delay production of some products as replacement suppliers may be subject to capacity constraints or other output limitations. For some components, alternative sources may not exist or may be unable to produce the quantities necessary to satisfy our requirements. The loss of, deterioration of our relationship with, or limits in allocation by, a single-source supplier, could adversely affect our business and financial performance.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u w:val="single" w:color="auto"/>
          <w:color w:val="auto"/>
        </w:rPr>
        <w:t>Difficulty in Ordering Integrated Circuits and Increases in Commodities and Freight Costs Have Adversely Affected and Will Continue to Adversely Affect Our Business</w:t>
      </w: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experienced difficulty in ordering ICs in the recent past and this difficulty could continue in the future. While we have identified other sources of ICs and are taking other production and inventory control steps in order to mitigate the effects caused by these types of shortages, we cannot guarantee that the alternative sources will meet our short- and longer-term IC needs and/or without experiencing increases in the prices we pay for these components. If we are not able to purchase sufficient quantities of ICs from our current and alternative suppliers, we may not be able to produce sufficient quantities of products to meet our customers' demands. This, in turn, may affect our ability to meet our quarterly revenue targets and otherwise adversely affect our business. In addition, many of our products are paired with certain of our customers' products, like set-top boxes and televisions. If those customers are not able to obtain sufficient quantities of ICs for their products, their demand for our products may decrease. Also, we are continuing to experience increases in freight costs which have and may continue to adversely affect our margins. At the same time, in order to secure components for our products or services, we have and may continue to make advance payments to suppliers and/or enter into non-cancelable commitments with suppliers. We have and may continue to strategically purchase ICs and other key components in advance of demand to take advantage of favorable pricing or to address concerns about future availability. If we fail to anticipate customer demand properly or if customer changes its demand significantly, a temporary "oversupply" could result in excess or obsolete components.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Transportation Costs and Impact of Oil Prices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ship products from our factories and foreign manufacturers via ocean and air transport. It is sometimes difficult to forecast swings in demand or delays in production and, as a result, products may be shipped via air which is more costly than ocean shipments. We typically cannot recover the increased cost of air freight from our customers. Additionally, tariffs and other export fees may be incurred to ship products from foreign manufacturers to the customer. These increases in costs and tariffs may have a material adverse effect on our product margins. We also have an exposure to oil prices in two forms. The first is in the prices of oil-based materials in our products, which are primarily the plastics and other components that we include in our finished products. The second is in the cost of delivery and freight, which would be passed on by the carriers that we use in the form of higher rates. Rising oil prices may have an adverse effect on cost of sales and operating expenses, and Russia's invasion of Ukraine may continue to create uncertainty in oil prices. Conflict in the Middle East may produce continued or increased disruptions to international shipping and fluctuating freight costs.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Disruptions Caused by Labor Disputes or Organized Labor Activities Could Materially Harm our Business and Reputation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Currently, approximately 500 of our Brazil and Mexico employees are represented by labor unions. Additionally, approximately 600 of our Vietnam employees are covered by a collective bargaining agreement. Disputes with the current labor unions or new union organizing activities could lead to production slowdowns or stoppages and make it difficult for us to meet scheduled delivery times for product shipments to some of our customers, which could result in a loss of business and material damage to our reputation. In addition, union activity and compliance with international labor standards could result in higher labor costs, which could have a material adverse effect on our financial position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Leased Property</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lease all of the properties used in our business. We can give no assurance that we will enter into new or renewal leases, or that, if entered into, the new lease terms will be similar to the existing terms or that the terms of any such new or renewal leases will not have a significant and material adverse effect on our operating results, financial condition and cash flows.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Competition</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Competition within the industries we serve is based primarily on product availability, price, speed of delivery, ability to tailor specific solutions to customer needs, quality, and depth of product lines. Our competition is fragmented across our products, and, accordingly, we do not compete with any one company across all product lines. We compete with a variety of entities, some of which have greater financial resources. Other competitors are smaller and may be able to offer more specialized products. Our ability to remain competitive in this industry depends in part on our ability to successfully identify new product opportunities, develop and introduce new products and enhancements on a timely and cost-effective basis, as well as our ability to successfully identify and enter into strategic alliances with entities doing business within the industries we serve. Competition in any of these areas may reduce our sales and adversely affect our earnings or cash flow resulting from decreased sales volumes, reduced prices and increased costs of manufacturing, distributing and selling our products. There can be no assurance that our product offerings will be, and/or will remain, competitive or that strategic alliances, if any, will achieve the type, extent, and amount of success or business that we expect them to achieve. The sales of our products and technology may not occur or grow in the manner we expect, and thus we may not recoup costs incurred in R&amp;D as quickly as we expect, if at all. Some customers may elect to engage a second source to manufacture the same product, and there is no guarantee that these customers will maintain the volume that was initially allocated to us throughout the product life cycle.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Smart control solutions in the HVAC market tend to have long development lead-times, ranging from 12-24 months depending on product complexity. These development cycles include initial longer customer engagement upfront to define new product requirements as well as extensive testing and validation of thermostat control and performance against legacy and new HVAC equipment at the end. These long development lead-times translate into longer product life cycles, ranging from 5-8 years, as the product replacement cycle takes longer to define, develop and launch. Major HVAC OEMs typically select more than one supplier across their climate controller product categories: remote controls, wall-mount controllers and smart or connected thermostats. Suppliers are typically selected based on the breadth of their technology, development experience in the product category and their supply chain capabilities.</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home security and automation industry is highly fragmented and subject to significant competition and pricing pressures. In particular, the monitored security industry providers have highly recognized brands which may drive increased awareness of their security/automation offerings rather than ours, have access to greater capital and resources than us, and may spend significantly more on advertising, marketing and promotional activities which could have a material adverse effect on our ability to drive awareness and demand for our products and services. In addition, video service providers have expanded into the monitored security industry and are bundling their existing offerings with monitored security services. We also face competition from DIY companies that are increasingly providing products which enable customers to self-monitor and control their environments without third-party involvement. Further, DIY providers may also offer professional monitoring with the purchase of their systems and equipment or new IoT devices and services with automated features and capabilities that may be appealing to customers. Continued pricing pressure, improvements in technology and shifts in customer preferences towards self-monitoring or DIY could adversely impact our customer base and/or pricing structure and have a material adverse effect on our business, financial condition, results of operations and cash flows.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 in Competition and Pricing</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 with having our own factories, we will continue to rely on third-party manufacturers to build a portion of our products. Price is always an issue in winning and retaining business. As customers become increasingly price sensitive, we have experienced new competition arising from manufacturers who decided to go into direct competition with us by performing their own manufacturing. If this development continues, we may experience downward pressure on our pricing or lose sales, which may have a material adverse effect on our operating results, financial condition and cash flows.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Strategic Business Transactions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historically made strategic acquisitions of businesses in industries adjacent to our core business and will likely acquire additional businesses or engage in strategic partnerships in the future as part of our long-term growth strategy. The success of future acquisitions depends in large part on our ability to integrate the operations and personnel of the acquired companies and manage challenges that may arise as a result of the acquisitions, particularly when the acquired businesses operate in new or foreign markets. In the event we do not successfully integrate such future acquisitions into our existing operations so as to realize the expected return on our investment, our results of operations, cash flow or financial condition could be adversely affected. Furthermore, we may sell or divest certain non-core businesses or assets as a part of our business strategy. However, there can be no assurance that we will be successful in selling or divesting from any such businesses or assets. We may incur substantial expenses associated with identifying and evaluating potential sales. The process of exploring any sale or divestment may be time consuming and disruptive to our business operations, and if we are unable to effectively manage the process, our business, financial condition and operating results could be adversely affected. We also cannot assure that any potential sale or divestment, if consummated, will prove to be beneficial to our shareholders. Any potential sale or divestment would be dependent upon a number of factors that may be beyond our control, including, among other factors, market conditions, industry trends, the interest of third parties in the assets and the availability of financing to potential buyers on reasonable terms.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Recruitment and Retention of Talent and Key Employees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order to be successful, we must attract, hire, retain, train, motivate, and develop qualified executives, engineers, technical staff and other key employees. Identifying, developing internally or hiring externally, training and retaining qualified executives, engineers and qualified sales representatives are critical to our future, and competition for experienced employees in the technology industry can be intense as employees' expectations of compensation, benefits and work flexibility continue to increase. Equity-based compensation can be important to attracting and retaining qualified employees and lack of positive performance in our stock price may adversely affect our ability to attract or retain key employees. In addition, workforce dynamics are constantly evolving in all regions, and we may not be able to manage changing workforce dynamics successfully.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the PRC</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Presently, we manufacture many of our products in our factory in the PRC. Additionally, many of our contract manufacturers are located in the PRC. In addition to the other risks identified herein, doing business in the PRC carries a number of risks including the following: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The Fluctuation of the Chinese Yuan Renminbi May Adversely Impact Our Manufacturing Costs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Chinese monetary policy, the Chinese Yuan Renminbi is permitted to fluctuate within a managed band against a basket of certain foreign currencies and has resulted in increased volatility in the exchange rate of the Chinese Yuan Renminbi against the U.S. Dollar. Any significant appreciation of the Chinese Yuan Renminbi against the U.S. Dollar could lead to higher manufacturing costs for our products.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Availability of Adequate Workforce Levels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Presently, a portion of workers at our PRC factory are obtained from third-party employment agencies. As the labor laws, social insurance and wage levels continue to grow and the workers become more sophisticated, our costs to employ these and other workers in the PRC may grow beyond that anticipated by management. Some of our key customers have demanded that we reduce the percentage of workers sourced from third-party employment agencies, which may also lead to increased costs in recruitment, retention and compliance. While we have already experienced increases in labor rates in the PRC, as the PRC market continues to open up and grow, we may experience an increase in competition for the same workers, resulting in either an inability to attract and retain an adequate number of qualified workers or an increase in our employment costs to obtain and retain these workers.</w:t>
      </w:r>
    </w:p>
    <w:p>
      <w:pPr>
        <w:spacing w:after="0" w:line="2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u w:val="single" w:color="auto"/>
          <w:color w:val="auto"/>
        </w:rPr>
        <w:t>Changes in the Policies of the PRC Government May Have a Significant Impact Upon the Business We Conduct in the PRC and the Profitability of Such Business</w:t>
      </w:r>
    </w:p>
    <w:p>
      <w:pPr>
        <w:jc w:val="both"/>
        <w:spacing w:after="0" w:line="252" w:lineRule="auto"/>
        <w:rPr>
          <w:sz w:val="20"/>
          <w:szCs w:val="20"/>
          <w:color w:val="auto"/>
        </w:rPr>
      </w:pPr>
      <w:r>
        <w:rPr>
          <w:rFonts w:ascii="Times New Roman" w:cs="Times New Roman" w:eastAsia="Times New Roman" w:hAnsi="Times New Roman"/>
          <w:sz w:val="18"/>
          <w:szCs w:val="18"/>
          <w:color w:val="auto"/>
        </w:rPr>
        <w:t>Our business operations may be adversely affected by the current and future political environment in the PRC. The government of the PRC has exercised and continues to exercise substantial control over virtually every sector of the Chinese economy, through regulation and state ownership. Our ability to operate in the PRC may be adversely affected by changes in Chinese laws and regulations, including those relating to taxation, labor and social insurance, import and export tariffs, raw materials, environmental regulations, land use rights, property and other matters. Additionally, in light of recent geo-political tensions and competing territorial claims, the PRC's relationships with other countries or governments could grow more complex or openly adversarial, potentially leading to far-reaching market disruptions. Potential conflict across the Taiwan Strait or between the PRC and other countries or governments could cause a significant adverse effect to our business, and could lead to a disruption in our ability to operate in or source from the PRC.</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The PRC Laws and Regulations Governing Our Current Business Operations are Sometimes Vague and Uncertain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are substantial uncertainties regarding the interpretation and application of PRC laws and regulations, including but not limited to the laws and regulations governing our business, or the enforcement and performance of our arrangements with customers. We cannot predict what effect the interpretation of existing or new PRC laws or regulations may have on our business. If the relevant authorities find that we are in violation of PRC laws or regulations, they would have broad discretion in dealing with such a violation, including, without limitation: levying fines; revoking our business and other licenses; requiring that we restructure our ownership or operations; and requiring that we discontinue any portion or all of our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The PRC's Legal and Judicial System May Not Adequately Protect Our Business and Operations and the Rights of Foreign Investors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PRC legal and judicial system may negatively impact foreign investors, with inconsistent enforcement of existing laws. In addition, the promulgation of new laws, changes to existing laws and the preemption of local regulations by national laws may adversely affect foreign investors.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Regulation and Legal Matters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Certain Regulatory and Financial Risks Related to Climate Change</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Growing concerns about climate change may result in the imposition of additional regulations or restrictions to which we may become subject. A number of governments or governmental bodies have introduced or are contemplating regulatory changes in response to climate change, including regulating greenhouse gas emissions. The outcome of new legislation or regulation in the U.S. and other jurisdictions in which we operate may result in new or additional requirements, additional charges to fund energy efficiency activities, and fees or restrictions on certain activities. Compliance with these climate change initiatives may also result in additional costs to us. Any adopted future climate change regulations could also negatively impact our ability to compete with companies situated in areas not subject to such limitations. Even without such regulation, increased public awareness and adverse publicity about potential impacts on climate change emanating from us or our industry could harm us. We may not be able to recover the cost of compliance with new or more stringent laws and regulations, which could adversely affect our results of operations, financial position or cash flows. Ultimately, the impacts of climate change, whether involving physical risks or transition risks are expected to be widespread and unpredictable and may materially adversely affect our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Significant Developments From Potential Changes in U.S. Trade Policies Could Have a Material Adverse Effect On Us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U.S. government implemented additional tariffs on certain goods imported from the PRC and Mexico. As of the date of this filing, the additional tariffs on Mexico have been paused. There can be no assurance that these tariffs will not be implemented or increased in the future, with the previously mentioned countries or additional countries with which we do business. We manufacture a substantial amount of our products in the PRC and Mexico and are presently subject to these additional tariffs and will remain so until the tariff lists are altered. These tariffs, and other governmental action relating to international trade agreements or policies, may adversely impact demand for our products, our costs, customers, suppliers and/or the U.S. economy or certain sectors thereof and, as a result, adversely impact our business. These additional tariffs may cause us to increase prices to our customers which may reduce demand, or, if we are unable to increase prices, result in lowering our margin on products sold. It remains unclear what the U.S. or foreign governments will or will not do with respect to tariffs, international trade agreements and policies on a short-term or long-term basis. 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U.S. economy, which in turn could adversely impact our business, financial condition and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Policy Changes Affecting International Trade Could Adversely Impact the Demand for Our Products and Our Competitive Position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Due to the international scope of our operations, changes in government policies on foreign trade and investment may affect the demand for our products and services, impact the competitive position of our products or prevent us from being able to sell products in certain countries. Our business may benefit from free trade agreements. Efforts to withdraw from or substantially modify such agreements or the implementation of more restrictive trade policies such as more detailed inspections, higher tariffs, import or export licensing requirements, exchange controls or new barriers to entry, could have a material adverse effect on our results of operations, financial condition or cash flow and that of our customers, vendors and suppliers.</w:t>
      </w:r>
    </w:p>
    <w:p>
      <w:pPr>
        <w:spacing w:after="0" w:line="2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u w:val="single" w:color="auto"/>
          <w:color w:val="auto"/>
        </w:rPr>
        <w:t>Risks and Uncertainties Associated with Our Expansion Into and Our Operations Outside of the United States May Adversely Affect Our Results of Operations, Cash Flow, Liquidity or Financial Condition</w:t>
      </w:r>
    </w:p>
    <w:p>
      <w:pPr>
        <w:jc w:val="both"/>
        <w:spacing w:after="0" w:line="251" w:lineRule="auto"/>
        <w:rPr>
          <w:sz w:val="20"/>
          <w:szCs w:val="20"/>
          <w:color w:val="auto"/>
        </w:rPr>
      </w:pPr>
      <w:r>
        <w:rPr>
          <w:rFonts w:ascii="Times New Roman" w:cs="Times New Roman" w:eastAsia="Times New Roman" w:hAnsi="Times New Roman"/>
          <w:sz w:val="18"/>
          <w:szCs w:val="18"/>
          <w:color w:val="auto"/>
        </w:rPr>
        <w:t>Our international operations continue to grow, making up a significant part of our current business and future strategic plans. We presently operate factories in the PRC, Vietnam, Mexico and Brazil, engineering centers in India, Japan and Korea and rely on third-party manufacturers located in Asia. We are increasingly exposed to the challenges and risks of doing business outside the United States, which could reduce our revenues or profits, increase our costs, result in significant liabilities or sanctions, or otherwise disrupt our business. These challenges include: (1) compliance with complex and changing laws, regulations and policies of governments that may impact our operations, such as foreign ownership restrictions, import and export controls, tariffs, and trade restrictions; (2) compliance with U.S. and foreign laws that affect the activities of companies abroad, such as anti-corruption laws, competition laws, currency regulations, and laws affecting dealings with certain nations; (3) limitations on our ability to repatriate non-U.S. earnings in a tax effective manner; (4) the difficulties involved in managing an organization doing business in many different countries; (5) uncertainties as to the enforceability of contract and intellectual property rights under local laws; (6) rapid changes in government policy, political or civil unrest, acts of terrorism, or the threat of international boycotts or U.S. anti-boycott legislation; and (7) currency exchange rate fluctuations.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also exposed to risks relating to U.S. policy with respect to companies doing business in foreign jurisdictions, and as such we are subject to a variety of taxes in the U.S. (federal, state, and local) and numerous foreign jurisdictions. We may recognize additional tax expense and be subject to additional tax liabilities due to changes in laws, regulations, administrative practices, principles, and interpretations related to tax, including changes to the global tax framework, competition, and other laws and accounting rules in various jurisdictions. Such changes could come about as a result of economic, political, and other conditions. Our tax expense and liabilities are also affected by other factors, such as changes in our business operations, acquisitions, investments, entry into new businesses and geographies, intercompany transactions, the relative amount of our foreign earnings, losses incurred in jurisdictions for which we are not able to realize related tax benefits, the applicability of special tax regimes, changes in foreign currency exchange rates, changes in our stock price, and changes in our deferred tax assets and liabilities and their valuation. Significant judgment is required in evaluating and estimating our tax expense and liabilities. In the ordinary course of our business, there are many transactions and calculations which make the ultimate tax determination uncertain.</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become subject to tax controversies in various jurisdictions at various times, and these jurisdictions may assess additional tax liabilities against us. Developments in an audit, investigation, or other tax controversy could have a material effect on our operating results or cash flows in the period or periods for which that development occurs, as well as for prior and subsequent periods. We regularly assess the likelihood of an adverse outcome resulting from these proceedings to determine the adequacy of our tax accruals. Although we believe our tax estimates are reasonable, the final outcome of audits, investigations, and any other tax controversies could be materially different from our historical tax accruals.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u w:val="single" w:color="auto"/>
          <w:color w:val="auto"/>
        </w:rPr>
        <w:t>Failure by Our International Operations to Comply With Anti-Corruption Laws or Trade Sanctions Could Increase Our Costs, Reduce Our Profits, Limit Our Growth, Harm Our Reputation, or Subject Us to Broader Liability</w:t>
      </w:r>
    </w:p>
    <w:p>
      <w:pPr>
        <w:jc w:val="both"/>
        <w:spacing w:after="0" w:line="251" w:lineRule="auto"/>
        <w:rPr>
          <w:sz w:val="20"/>
          <w:szCs w:val="20"/>
          <w:color w:val="auto"/>
        </w:rPr>
      </w:pPr>
      <w:r>
        <w:rPr>
          <w:rFonts w:ascii="Times New Roman" w:cs="Times New Roman" w:eastAsia="Times New Roman" w:hAnsi="Times New Roman"/>
          <w:sz w:val="18"/>
          <w:szCs w:val="18"/>
          <w:color w:val="auto"/>
        </w:rPr>
        <w:t>We are subject to restrictions imposed by the U.S. Foreign Corrupt Practices Act and anti-corruption laws and regulations of other countries applicable to our operations, such as the U.K. Bribery Act. These laws require us to maintain adequate internal controls and accurate books and records. We have properties and do business in many parts of the world where corruption is common, and our compliance with anti-corruption laws may potentially conflict with local customs and practices. The compliance programs, internal controls and policies we maintain and enforce to promote compliance with these laws may not prevent our employees, contractors or agents from acting in ways prohibited by these laws and regulations. We are also subject to trade sanctions administered by the U.S. Office of Foreign Assets Control and the U.S. Department of Commerce, and other U.S. government agencies, and authorities in other countries where we do business. Our Global Compliance Department, compliance programs, and internal control policies and procedures may not prevent conduct that is prohibited under these rules. The United States or other countries may impose additional sanctions at any time against any country in which or with whom we do business. Depending on the nature of the sanctions imposed, our operations in the relevant country could be restricted or otherwise adversely affected. Any violations of anti-corruption laws and regulations or trade sanctions could result in significant civil and criminal penalties, reduce our profits, disrupt or have a material adverse effect on our business or damage our reputation or result in lawsuits or regulatory actions being brought against us or our officers or directors. In addition, the operation of these laws and regulations or an imposition of further restrictions in these areas could increase our cost of operations, reduce our profits or cause us to forgo development opportunities or limit certain business operations that would otherwise support growth.</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We are Subject to a Wide Variety of Complex Domestic and Foreign Laws and Regulations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subject to a wide variety of complex domestic and foreign laws and regulations, and legal compliance risks, including securities laws, tax laws, employment and pension-related laws, competition laws, U.S. and foreign export and trading laws, laws governing improper business practices, and health, safety and environmental laws and regulations. These laws and regulations not only govern our current operations and products, but could also impose liability on us for our past operations. From time to time, our Company, our operations and the industries in which we operate are being reviewed or investigated by regulators, which may lead to enforcement actions or the assertion of private litigation claims and damages. Our costs to respond to any investigation or to comply with these laws and regulations may increase as these requirements become more stringent in the future, and these increased costs may adversely affect our results of operations, cash flow or financial condition. Although we believe that we have adopted appropriate risk management and compliance programs to mitigate these risks, the global and diverse nature of our operations means that compliance risks will continue to exist. Investigations, examinations and other proceedings, the nature and outcome of which cannot be predicted, will likely arise from time to time. These investigations, examinations and other proceedings may subject us to significant liability and require us to pay significant settlements, fines and penalties, which may have a material adverse effect on our results of operations, cash flows or financial condition.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Patents, Trademarks, and Copyrights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numerous patents, trade secrets, trademarks, trade names, and know-how that are valuable to our business. However, the procedures by which we identify, document, and file for patent, trademark, and copyright protection are based solely on engineering and management judgment, with no assurance that a specific filing will be issued, or if issued, will deliver any lasting value to us. Because of the rapid innovation of products and technologies that is characteristic of our industry, there can be no assurance that rights granted under any patent will provide competitive advantages to us or will be adequate to safeguard and maintain our proprietary rights. We further believe that while our business is not materially dependent upon any single patent, trade secret, trademark, trade name, copyright, or know-how, we do have "families" of patents that are interrelated, which if determined to be invalid or unenforceable, could have a detrimental effect on our business. Despite our efforts to protect such intellectual property and other proprietary information from unauthorized use or disclosure, third parties may attempt to disclose, obtain or use our intellectual property and information without our authorization. Although we rely on the patent, trademark, trade secret and copyright laws of the United States and other countries to protect our intellectual property rights, the laws of some countries may not protect such rights to the same extent as the laws of the United States. Unauthorized use of our intellectual property by third parties, the failure of foreign countries to have laws to protect our intellectual property rights, or an inability to effectively enforce such rights in foreign countries could have an adverse effect on our business.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as is typical in our business, third parties (including non-practicing entities ("NPEs")) may challenge the validity of our patents. In the event that such challenges prove successful, the value of our patents may decline which, in turn, could have an adverse effect on our business. Further, some of our products include or use technology and/or components of third parties. While it may be necessary in the future to seek or renew licenses relating to various aspects of such products, we believe that, based upon past experience and industry practice, such licenses may be obtained on commercially reasonable terms; however, there can be no guarantee that such licenses may be obtained on such terms or at all. Because of technological changes in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wireless and home control industry, current extensive patent coverage, and the rapid rate of issuance of new patents, it is possible certain components of our products and business methods may unknowingly infringe upon the patents of others.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Potential for Litigation</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is typical in our industry and for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they may not bear any reasonable relationship to the merits of the claims or the extent of any real risk of court awards assessed against us or in our favor. If a customer or third party believes that he or she has suffered harm to person or property due to an actual or alleged security system failure, he or she (or their insurers) may pursue legal action against us, and the cost of defending the legal action and of any judgment against us could be substantial. In particular, because some of our products and services are intended to help protect lives and real and personal property, we may have greater exposure to litigation risks than businesses that provide other consumer and small business products and services. While our customer contracts contain a series of risk-mitigation provisions that are aimed at limiting our liability and/or limiting a claimant's ability to pursue legal action against us, in the event of litigation with respect to such matters it is possible that these risk-mitigation provisions may be deemed not applicable or unenforceable and, regardless of the ultimate outcome, we may incur significant costs of defense that could materially and adversely affect our business, financial condition, results of operations and cash flows.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Environmental Matters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Many of our products are subject to various federal, state, local and international laws governing chemical substances in products, including laws regulating the manufacture and distribution of chemical substances and restricting the presence of certain substances in electronics products. In addition, many of these laws and regulations make producers of electrical goods responsible for collection, recycling, treatment and disposal of recovered products. As a result, we may face significant costs and liabilities in complying with these laws and any future laws and regulations or enforcement policies that may have a material adverse effect upon our operating results, financial condition, and cash flows. In addition, our operations, supply chain and our products are expected to become increasingly subject to federal, state, local and foreign laws, regulations, and international treaties relating to climate change, such as climate disclosure, carbon pricing or product energy efficiency requirements, requiring us to comply or potentially face market-access limitations or other sanctions including fines. We strive to continually improve the energy and carbon efficiency of our operations, supply chain and product portfolio and deliver more cost-effective and lower carbon technology solutions to our customers.</w:t>
      </w:r>
    </w:p>
    <w:p>
      <w:pPr>
        <w:spacing w:after="0" w:line="2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u w:val="single" w:color="auto"/>
          <w:color w:val="auto"/>
        </w:rPr>
        <w:t>Regulations Related to the Use of Conflict-Free Minerals May Increase Our Costs and Expenses, and an Inability to Certify that Our Products are Conflict-Free May Adversely Affect Customer Relationships</w:t>
      </w:r>
    </w:p>
    <w:p>
      <w:pPr>
        <w:jc w:val="both"/>
        <w:spacing w:after="0" w:line="251"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contains provisions to improve the transparency and accountability of the use by public companies in their products of minerals mined in certain countries and to prevent the sourcing of such "conflict" minerals. As a result, the SEC enacted annual disclosure and reporting requirements for public companies to conduct due diligence to determine the source of any conflict minerals used in our products and to make annual disclosures in filings with the SEC. Because our supply chain is broad-based and complex, we may not be able to easily verify the origins for all minerals used in our products. In addition, the rules may reduce the number of suppliers who provide components and products containing conflict-free minerals and thus may increase the cost of the components used in manufacturing our products and the costs of our products to us. Any increased costs and expenses may have a material adverse impact on our financial condition and results of operations. Further, if we are unable to certify that our products are conflict free, we may face challenges with our customers, which may place us at a competitive disadvantage, and our reputation may be harmed.</w:t>
      </w:r>
    </w:p>
    <w:p>
      <w:pPr>
        <w:spacing w:after="0" w:line="2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u w:val="single" w:color="auto"/>
          <w:color w:val="auto"/>
        </w:rPr>
        <w:t>The Prominence and Evolution on Disclosures related to Environmental, Social and Governance ("ESG") Matters May Expose Us to Certain Performance and Reputational Risks</w:t>
      </w: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established certain goals related to ESG matters and the reporting of ESG data. Our failure to adequately update, accomplish or accurately track and report on these goals on a timely basis, or at all, could adversely affect our reputation, financial performance and growth and expose us to increased scrutiny from the investment community, special interest groups and enforcement authorities. Standards for tracking and reporting ESG matters continue to evolve. Methodologies for reporting ESG data may be updated and previously reported ESG data may be adjusted to reflect improvement in availability and quality of third-party data, changing assumptions, changes in the nature and scope of our operations and other changes in circumstances. Our processes and controls for reporting ESG matters relating to our operations and supply chain are evolving along with various standards for identifying, measuring, and reporting ESG metrics, including ESG related disclosures that may be required by the SEC, European and other regulators, and such standards may change over time. One such method is our use of the EcoVadis sustainability rating system. Further, we may amend, abandon or replace our goals related to ESG matters due to a change in strategy, reduced relevance of such goals or changing market conditions and we may take certain actions that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stakeholders or regulators view as contrary to such goals. Certain stakeholders may have different views on where our focus on ESG matters should be placed, including different views of regulators in the various jurisdictions in which we operate. If our ESG practices do not meet evolving investor or other stakeholder expectations and standards, then our reputation or our attractiveness as an investment, business partner, service provider or employer could be negatively impacted.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Finance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Growth Projections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has made projections required for the preparation of financial statements in conformity with accounting principles generally accepted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("U.S. GAAP") regarding future events and the financial performance of the Company, including those involving:</w:t>
      </w:r>
    </w:p>
    <w:p>
      <w:pPr>
        <w:spacing w:after="0" w:line="234" w:lineRule="exact"/>
        <w:rPr>
          <w:sz w:val="20"/>
          <w:szCs w:val="20"/>
          <w:color w:val="auto"/>
        </w:rPr>
      </w:pPr>
    </w:p>
    <w:p>
      <w:pPr>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the Company expects as a result of the development and success of products and technologies, including new products and technologies;</w:t>
      </w: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expected by conducting business in Asian and Latin American markets, without which, we may not be able to recover the costs we incur to enter into such markets;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contracts with new and existing customers and new market penetrations;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continued adoption of the Company's technologies in home entertainment, specifically universal AV control of connected entertainment devices;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continued growth in digital TVs, DVRs, PVRs and overall growth in the Company's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competitors and OTT providers may have on our business;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we may experience due to current global and regional economic conditions.</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Actual events or results may be unfavorable to management's projections, which may have a material adverse effect on our projected operating results, financial condition and cash flows.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we have long-lived and intangible assets recorded on our consolidated balance sheet. We assess these assets for impairment whenever events or changes in circumstances indicate that the fair value may be below its carrying value. Factors considered important that may trigger said assessment include, among others, a significant adverse change in legal factors or in business climate, a decline in macroeconomic conditions, a significant decline in our financial performance or a significant decline in the price of our common stock for a sustained period of time. Impairment assessment involves judgment as to assumptions regarding future sales and cash flows and the impact of market conditions on those assumptions. Future events and changing market conditions may impact our assumptions and may result in changes in our estimates of future sales and cash flows that may result in us incurring substantial impairment charges, which would adversely affect our results of operations or financial condition.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Market Projections and Data are Forward-looking in Nature</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strategy is based on our own projections and on analyst, industry observer and expert projections, which are forward-looking in nature and are inherently subject to risks and uncertainties. The validity of their and our assumptions, the timing and scope of the markets within which we compete, economic conditions, customer buying patterns, the timeliness of equipment development, pricing of products, and availability of capital for infrastructure improvements may affect these predictions. In addition, market data upon which we rely is based on third-party reports that may be inaccurate. The inaccuracy of any of these projections and/or market data may adversely affect our operating results and financial condition.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Potential Fluctuations in Quarterly Results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may from time to time increase our operating expenses to fund greater levels of R&amp;D, sales and marketing activities, development of new distribution channels, improvements in our operational and financial systems, moving manufacturing capabilities to other countries, and development of our customer support capabilities, In addition, legal expenses could increase from time to time as we enhance or increase our litigation efforts and/or to support our efforts to comply with or respond to various government regulations and investigations. To the extent such expenses precede or are not subsequently followed by increased revenues, our business, operating results, financial condition and cash flows will be adversely affected. In addition, we may experience significant fluctuations in future quarterly operating results that may be caused by many other factors, including demand for our products, introduction or enhancement of products by us and our competitors, the loss or acquisition of any significant customers, market acceptance of new products, price reductions by us or our competitors, mix of distribution channels through which our products are sold, product or supply constraints, level of product returns, mix of customers and products sold, component pricing, mix of international and domestic revenues, foreign currency exchange rate fluctuations and general economic conditions. In addition, as a strategic response to changes in the competitive environment, we may from time to time make certain pricing or marketing decisions or acquisitions that may have a material adverse effect on our business, results of operations or financial condition. As a result, we believe period-to-period comparisons of our results of operations are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 necessarily meaningful and should not be relied upon as an indication of future performance. Due to all of the foregoing factors, it is possible that in some future quarters our operating results will be below the expectations of public market analysts and investors. If this happens the price of our common stock may be materially adversely affected.</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u w:val="single" w:color="auto"/>
          <w:color w:val="auto"/>
        </w:rPr>
        <w:t>Fluctuations in Foreign Currency Exchange Rates or Interest Rates May Adversely Affect Our Results of Operations, Cash Flow, Liquidity or Financial Condition</w:t>
      </w:r>
    </w:p>
    <w:p>
      <w:pPr>
        <w:jc w:val="both"/>
        <w:spacing w:after="0" w:line="251" w:lineRule="auto"/>
        <w:rPr>
          <w:sz w:val="20"/>
          <w:szCs w:val="20"/>
          <w:color w:val="auto"/>
        </w:rPr>
      </w:pPr>
      <w:r>
        <w:rPr>
          <w:rFonts w:ascii="Times New Roman" w:cs="Times New Roman" w:eastAsia="Times New Roman" w:hAnsi="Times New Roman"/>
          <w:sz w:val="18"/>
          <w:szCs w:val="18"/>
          <w:color w:val="auto"/>
        </w:rPr>
        <w:t>Because of our international operations, we are exposed to risk associated with interest rates and value changes in foreign currencies, which may adversely affect our business. We earn revenues and incur expenses in foreign currencies as part of our operations outside of the U.S. Accordingly, fluctuations in currency exchange rates may significantly increase the amount of U.S. dollars required for foreign currency expenses or significantly decrease the U.S. dollars we receive from foreign currency revenues. We are also exposed to currency translation risk because the results of our non-U.S. business are generally reported in local currency, which we then translate to U.S. dollars for inclusion in our financial statements. As a result, changes between the foreign exchange rates and the U.S. dollar affect the amounts we record for our foreign assets, liabilities, revenues and expenses, and could have a negative effect on our financial results. We expect that our exposure to foreign currency exchange rate fluctuations will grow as the relative contribution of our non-U.S. operations increases. We actively manage the exposure of our foreign currency risk as part of our overall financial risk management policy, by entering into foreign exchange hedging agreements with financial institutions to reduce exposures to some of the principal currencies, but these efforts may not be successful. These hedging agreements also do not cover all currencies in which we do business, do not eliminate foreign currency risk entirely for the currencies that they do cover, and involve costs and risks of their own in the form of transaction costs, credit requirements and counterparty risk.</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under the Second Amended and Restated Credit Agreement ("Second Amended Credit Agreement") with U.S. Bank National Association ("U.S. Bank"), we may elect to pay interest on the revolving line of credit ("U.S. Credit Line") based on the Secured Overnight Financing Rate ("SOFR") plus an applicable margin or a base rate (based on the prime rate of U.S. Bank or as otherwise specified in the Second Amended Credit Agreement), plus an applicable margin. Further, under our Line of Credit Agreement (the "Line of Credit Agreement") with the Bank of China, we pay interest on the provided line of credit ("China Credit Line") based on the one-year rate from the National Interbank Funding Center less a margin. To the extent these interest rates increase, our interest expense will increase, which could adversely affect our financial condition, operating results and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Ability to Generate Cash Depends on Many Factors Beyond Our Control</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historical financial results have been, and we anticipate that our future financial results will be, subject to fluctuations. Our ability to generate cash is subject to general economic, financial, competitive, legislative, regulatory and other factors that are beyond our control. We cannot assure you that our business will generate sufficient cash flow from our operations or that future borrowings will be available to us in an amount sufficient to enable us to make payments of our debt, fund our other liquidity needs and make planned capital expenditures.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to which we are currently leveraged could have important consequences for stockholders. For example, it could:</w:t>
      </w:r>
    </w:p>
    <w:p>
      <w:pPr>
        <w:spacing w:after="0" w:line="252" w:lineRule="exact"/>
        <w:rPr>
          <w:sz w:val="20"/>
          <w:szCs w:val="20"/>
          <w:color w:val="auto"/>
        </w:rPr>
      </w:pPr>
    </w:p>
    <w:p>
      <w:pPr>
        <w:ind w:left="66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the payment of debt service, reducing the availability of our cash flow to fund working capital, capital expenditures, acquisitions and other general corporate purposes;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economic or industry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 in the future to enable us to react to changes in our business;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businesses in our industry that have less debt.</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significant portion of our operations is conducted through our subsidiaries. As a result, our ability to generate sufficient cash flow for our needs is dependent on the earnings of our subsidiaries and the payment of those earnings to us in the form of dividends, loans or advances and through repayment of loans or advances from us. Except for Universal Electronics BV, which has guaranteed the performance under our Credit Line, our subsidiaries are separate and distinct legal entities and have no obligation to pay any amounts due on our debt or to provide us with funds to meet our cash flow needs. In addition, any payment of dividends, loans or advances by our subsidiaries may be subject to statutory or contractual restrictions. Payments to us by our subsidiaries will also be contingent upon our subsidiaries' earnings and business considerations. Our right to receive any assets of any of our subsidiaries upon their liquidation or reorganization will be effectively subordinated to the claims of that subsidiary's creditors, including trade creditors. In addition, even if we are a creditor of any of our subsidiaries, our rights as a creditor would be subordinate to any security interest in the assets of our subsidiaries and any indebtedness of our subsidiaries senior to that held by us. Further, changes in the laws of foreign jurisdictions in which we operate may adversely affect the ability of some of our foreign subsidiaries to repatriate funds to us.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also fund a portion of our seasonal working capital needs and obtain funding for other general corporate purposes through short-term borrowings backed by our revolving credit facilities. If any of the banks in these credit and financing facilities are unable to perform on their commitments, our cash flow, liquidity or financial condition may be adversely impacted. Although we currently have available credit facilities to fund our current operating needs, we cannot be certain that we will be able to replace our existing credit facilities or refinance our existing or future debt when necessary. Our cost of borrowing and ability to access the capital markets are affected not only by market conditions, but also by our debt and credit ratings assigned by the major credit rating agencies. Downgrades in these ratings will increase our cost of borrowing and may have an adverse effect on our access to the capital markets, including our access to the commercial paper market. An inability to access the capital markets may have a material adverse effect on our results of operations, cash flow, liquidity or financial condition. Additionally, any failure to comply with covenants in the instruments governing our debt could result in an event of default which, if not cured or waived, would have a material adverse effect on us.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Stock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The Price of Our Common Stock is Volatile and May Decline Regardless of Our Operating Performance</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Historically, we have had large fluctuations in the price of our common stock including a significant decline in our stock price, and such fluctuations may continue. The trading market for our common stock has historically been at low volumes and our market price is volatile and may fluctuate significantly in response to a number of factors, most of which we cannot control, including the public's response to press releases or other public announcements by us or third parties, including our filings with the SEC and announcements relating to product and technology development, relationships with new and existing customers, litigation and other legal proceedings in which we are involved and intellectual property impacting us or our business; announcements concerning strategic transactions, such as spin-offs, joint ventures and acquisitions or divestitures; the financial projections we may provide to the public, any changes in these projections or our failure to meet these projections; changes in financial estimates or ratings by any securities analysts who follow our common stock, our failure to meet these estimates or failure of those analysts to initiate or maintain coverage of our common stock; the inclusion or removal of our common stock from any indices; investor perceptions as to the likelihood of achievement of near-term goals; changes in market share of significant customers; changes in operating performance and stock market valuations of other technology or content providing companies generally; and market conditions or trends in our industry or the economy as a whole. Stockholders of other companies have instituted securities class action litigation against such companies after periods of price volatility in such companies' stock. If we were to become involved in such securities litigation, we may incur substantial costs and the attention of management may be diverted from our business.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officers and directors periodically sell shares of our common stock which they own, many times pursuant to trading plans established under Rule 10b5-1 of the Securities Exchange Act of 1934, as amended (the "Exchange Act"). Sales of shares by our officers and directors may not be indicative of their respective opinions of our performance at the time of sale or of our potential future performance. Nonetheless, the market price of our stock may be affected by such sales of shares by our officers and directors.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Approved Stock Repurchase Programs May Not Result in a Positive Return of Capital to Stockholders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Periodically, our Board approves programs to repurchase our common stock based upon an assessment of the then current value as compared to the then trading ranges and investor analyst reports. Also considered in this decision is the effect any such repurchases may have on our cash balances and needs, cash flow, and short- and long-term borrowing. Additionally, we, the technology industry and the stock market as a whole have experienced extreme stock price and volume fluctuations that have affected stock prices in ways that may have been unrelated to our and these companies' operating performance. Price volatility over a given period may cause the average price at which we repurchase our own stock to exceed the stock's price at a given point in time. While we believe our stock price should reflect expectations of future growth and profitability, we also believe our stock price should reflect expectations that our share repurchase program will be fully consummated even though our share repurchase program does not obligate us to acquire any specific number of shares. If we fail to meet expectations related to future growth, profitability, share repurchases or other market expectations, our stock price may decline significantly, which could have a material adverse impact on investor confidence.</w:t>
      </w:r>
    </w:p>
    <w:p>
      <w:pPr>
        <w:spacing w:after="0" w:line="21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 xml:space="preserve">Our Governing Corporate Documents Contain, and Our Board of Directors May Implement, Antitakeover Provisions that May Deter Takeover Attempts </w:t>
      </w:r>
      <w:r>
        <w:rPr>
          <w:rFonts w:ascii="Times New Roman" w:cs="Times New Roman" w:eastAsia="Times New Roman" w:hAnsi="Times New Roman"/>
          <w:sz w:val="18"/>
          <w:szCs w:val="18"/>
          <w:color w:val="auto"/>
        </w:rPr>
        <w:t>Our governing corporate documents, among other things, require super-majority votes in connection with certain mergers and similar transactions. In addition, our Board of Directors may, without stockholder approval, implement other anti-takeover defenses, such as a stockholder's rights plan.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5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u w:val="single" w:color="auto"/>
          <w:color w:val="auto"/>
        </w:rPr>
        <w:t>Economic Downturns and Other Global, National, and Regional Conditions May Adversely Affect Our Results of Operations, Cash Flow, Liquidity or Financial Condition</w:t>
      </w:r>
    </w:p>
    <w:p>
      <w:pPr>
        <w:jc w:val="both"/>
        <w:spacing w:after="0" w:line="251" w:lineRule="auto"/>
        <w:rPr>
          <w:sz w:val="20"/>
          <w:szCs w:val="20"/>
          <w:color w:val="auto"/>
        </w:rPr>
      </w:pPr>
      <w:r>
        <w:rPr>
          <w:rFonts w:ascii="Times New Roman" w:cs="Times New Roman" w:eastAsia="Times New Roman" w:hAnsi="Times New Roman"/>
          <w:sz w:val="18"/>
          <w:szCs w:val="18"/>
          <w:color w:val="auto"/>
        </w:rPr>
        <w:t>Because we conduct our business on a global platform, our business is sensitive to global and regional business and economic conditions. Adverse changes in global, national, regional economies, governmental policies (including in areas such as trade, travel, immigration, healthcare, and related issues), and geopolitical conditions (such as the Russian invasion of Ukraine, conflict in the Middle East, tension across the Taiwan Strait and tension between the United States and the PRC, Mexico and Canada, and the ramifications of those and other events) impact our activities. Additionally, we conduct business in countries, including Argentina, that have policies which restrict outbound U.S. Dollar transactions. Such conditions in the United States and worldwide may impact our business due to weak economic conditions, changes in energy prices and currency values, political instability, heightened travel security measures, advisories, or disruptions, and concerns over disease, violence, war, or terrorism may reduce the demand for some of our products and impair the ability of those with whom we do business to satisfy their obligations to us, each of which could adversely affect our results of operations, cash flow, liquidity or financial condition. Higher inflation rates, interest rates, tax rates and unemployment rates, higher labor and healthcare costs, recessions, changing governmental policies, laws and regulations, and other economic factors could also adversely affect demand for some of our products and our results of operations, cash flow, liquidity or financial condition and that of our customers, vendors and suppliers.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Global economic uncertainty continues to exist. The continuation or worsening of the global economic downturn may adversely impact our net sales, the collection of accounts receivable, funding for working capital needs, expected cash flow generation from current and acquired businesses, and our investments, which may adversely impact our results of operations, cash flow, liquidity or financial condition. We finance a portion of our sales through trade credit. Credit markets remain tight, and some customers who require financing for their businesses have not been able to obtain necessary financing. A continuation or worsening of these conditions could limit our ability to collect our accounts receivable, which could adversely affect our results of operations, cash flow, liquidity or financial condition.</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meet customers' demands depends, in part, on our ability to obtain timely and adequate delivery of quality materials, parts and components from our suppliers. Certain of our components are available only from a single source or limited sources. If certain key suppliers were to become capacity constrained or insolvent as a result of an economic downturn, it may result in a reduction or interruption in supplies or a significant increase in the price of supplies and adversely impact our financial results. In addition, credit constraints at key suppliers may result in accelerated payment of accounts payable by us, impacting our cash flow.</w:t>
      </w:r>
    </w:p>
    <w:p>
      <w:pPr>
        <w:spacing w:after="0" w:line="208"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i w:val="1"/>
          <w:iCs w:val="1"/>
          <w:u w:val="single" w:color="auto"/>
          <w:color w:val="auto"/>
        </w:rPr>
        <w:t>Risks Relating to Natural or Man-Made Disasters, Contagious Disease, Climate Change, Violence, or War May Cause Increases in the Cost of Raw Materials, Production, and Energy which May Adversely Affect Our Earnings or Cash Flow</w:t>
      </w:r>
    </w:p>
    <w:p>
      <w:pPr>
        <w:jc w:val="both"/>
        <w:spacing w:after="0" w:line="251" w:lineRule="auto"/>
        <w:rPr>
          <w:sz w:val="20"/>
          <w:szCs w:val="20"/>
          <w:color w:val="auto"/>
        </w:rPr>
      </w:pPr>
      <w:r>
        <w:rPr>
          <w:rFonts w:ascii="Times New Roman" w:cs="Times New Roman" w:eastAsia="Times New Roman" w:hAnsi="Times New Roman"/>
          <w:sz w:val="18"/>
          <w:szCs w:val="18"/>
          <w:color w:val="auto"/>
        </w:rPr>
        <w:t>Our ability, including manufacturing or distribution capabilities, and that of our suppliers, business partners and contract manufacturers, to make, move and sell products is critical to our success. We purchase raw materials and energy for use in the manufacturing, distribution and sale of our products. So called "Acts of God," such as hurricanes, earthquakes, tsunamis, floods, volcanic activity, wildfires, and other natural disasters, as well as man-made disasters and the spread of contagious diseases in locations where we lease and/or own properties and equipment or manage our business, and these circumstances could continue or worsen in the future to an extent and for durations that we are not able to predict. Actual or threatened war, terrorist activity, political unrest, civil or geopolitical strife, and other acts of violence could have a similar effect. As with the effects we previously experienced from the COVID-19 pandemic, any one or more of these events, including the actions taken in the ongoing conflicts in the Middle East and by Russia against Ukraine, could disrupt sales volumes, raw material and fuel supplies and increase our costs, reduce our ability to manufacture and supply our products, and/or increase our operating costs, all of which could adversely affect our earnings or cash flows and profits. There are also inherent climate-related risks wherever our business is conducted. Changes in market dynamics, stakeholder expectations, local, national and international climate change policies, and the frequency and intensity of extreme weather events on critical infrastructure globally, all have the potential to disrupt our business and operations. Such events could result in increases in our costs and expenses and harm our future revenue, cash flows and financial positions.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raw materials and energy supplies (including oil and natural gas) are generally available from various sources in sufficient quantities, unexpected shortages and increases in the cost of raw materials and energy, or any deterioration in our relationships with or the financial viability of our suppliers, may have an adverse effect on our earnings or cash flow in the event we are unable to offset higher costs in a timely manner by sufficiently decreasing our operating costs or raising the prices of our products. In recent years, some raw material and energy prices have increased, particularly silicon and plastic packaging.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of raw materials and energy has in the past experienced, and likely will in the future continue to experience, periods of volatility.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developed cybersecurity risk management processes to identify, manage, and prevent risks related to cybersecurity. Our Information Technology ("IT") team manages our cybersecurity program and the security measures and processes we have in place.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Cybersecurity is managed as part of our enterprise risk management program. We have integrated cybersecurity risk management into our enterprise-wide risk assessment through evaluations of IT infrastructure, compliance audits and aligning cybersecurity goals with overall business objectives. We work with cybersecurity experts to better understand potential cybersecurity threats.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Measures we have employed to identify potential cybersecurity threats include advanced threat detection systems, such as intrusion detection systems and security information and event management tools. We manage and work to prevent these cybersecurity threats using a variety of strategies, including deploying firewalls and anti-malware tools, implementing access controls and leading security audits. Our incident response plans and monitoring systems also support detection and prevention of cybersecurity threats.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aim to monitor these risks in connection with third parties in addition to our own operations. We collaborate with external cybersecurity consultants and auditors for independent audits and vulnerability assessments of our existing processes and systems. Our third-party cybersecurity risk assessment program is designed to oversee certain third parties and have those third parties adhere to cybersecurity standards. This program has measures to help further manage and attempt to mitigate potential cybersecurity risks arising from third-party engagements, including security audits, compliance checks for cybersecurity standards, risk evaluation procedures for certain third parties, contractual security requirements in certain third party agreements and monitoring tools. We conduct cybersecurity training with our employees as appropriate based on their roles within the Company.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plays a role in guiding and overseeing our cybersecurity strategies and has tasked our Audit Committee with the responsibility for cybersecurity oversight by setting policies, reviewing risk management strategies and reviewing compliance with legal and regulatory requirements. The Audit Committee, as appropriate, briefs the Board of Directors on cybersecurity matters.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is also responsible for upholding our cybersecurity processes. To this end, we have established a global cybersecurity management team, led by our Vice President, Cybersecurity. Our Vice President, Cybersecurity reports directly to our Senior Vice President and CFO and is primarily responsible for cybersecurity oversight and for developing strategies to mitigate risks from cybersecurity threats, monitoring policy compliance and educating staff on security practices. In carrying out his duties, our Vice President, Cybersecurity provides periodic reports to the Director of our Internal Audit Department, who, in turn, briefs the Audit Committee of the Board of Directors on the contents of such reports, including incident reports, compliance status and updates on cybersecurity initiatives.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Vice President, Cybersecurity has extensive experience assessing and managing risks from cybersecurity threats, including more than 20 years of experience in information technology and information security positions; serving in information technology leadership positions at the Company for more than 7 years; and has other significant experience in the areas of risk management, information technology and information security, including the following industry certifications: MCSE, MCDBA and CISSP.</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management has not identified risks from cybersecurity threats, including as a result of any previous cybersecurity incidents, that have materially affected or are reasonably likely to materially affect the Company, including its business strategy, results of operations, or financial condition. While we work to maintain our cybersecurity processes, there can be no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assurance that such actions will be sufficient to prevent cybersecurity incidents or mitigate all potential risks or threats to such systems, networks, and data or those of our third-party providers.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global headquarters is located in Scottsdale, Arizona. We utilize the following facilities: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860" w:type="dxa"/>
            <w:vAlign w:val="bottom"/>
            <w:gridSpan w:val="2"/>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Purpose or Use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Square</w:t>
            </w:r>
          </w:p>
        </w:tc>
        <w:tc>
          <w:tcPr>
            <w:tcW w:w="370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0" w:type="dxa"/>
            <w:vAlign w:val="bottom"/>
          </w:tcPr>
          <w:p>
            <w:pPr>
              <w:spacing w:after="0"/>
              <w:rPr>
                <w:sz w:val="1"/>
                <w:szCs w:val="1"/>
                <w:color w:val="auto"/>
              </w:rPr>
            </w:pPr>
          </w:p>
        </w:tc>
      </w:tr>
      <w:tr>
        <w:trPr>
          <w:trHeight w:val="195"/>
        </w:trPr>
        <w:tc>
          <w:tcPr>
            <w:tcW w:w="2420" w:type="dxa"/>
            <w:vAlign w:val="bottom"/>
            <w:gridSpan w:val="2"/>
            <w:vMerge w:val="continue"/>
          </w:tcPr>
          <w:p>
            <w:pPr>
              <w:spacing w:after="0"/>
              <w:rPr>
                <w:sz w:val="16"/>
                <w:szCs w:val="16"/>
                <w:color w:val="auto"/>
              </w:rPr>
            </w:pPr>
          </w:p>
        </w:tc>
        <w:tc>
          <w:tcPr>
            <w:tcW w:w="3860" w:type="dxa"/>
            <w:vAlign w:val="bottom"/>
            <w:gridSpan w:val="2"/>
            <w:vMerge w:val="continue"/>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Feet</w:t>
            </w:r>
          </w:p>
        </w:tc>
        <w:tc>
          <w:tcPr>
            <w:tcW w:w="3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30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Scottsdale, Arizona</w:t>
            </w:r>
          </w:p>
        </w:tc>
        <w:tc>
          <w:tcPr>
            <w:tcW w:w="120" w:type="dxa"/>
            <w:vAlign w:val="bottom"/>
            <w:tcBorders>
              <w:top w:val="single" w:sz="8" w:color="CCEEFF"/>
            </w:tcBorders>
            <w:shd w:val="clear" w:color="auto" w:fill="CCEEFF"/>
          </w:tcPr>
          <w:p>
            <w:pPr>
              <w:spacing w:after="0"/>
              <w:rPr>
                <w:sz w:val="15"/>
                <w:szCs w:val="15"/>
                <w:color w:val="auto"/>
              </w:rPr>
            </w:pPr>
          </w:p>
        </w:tc>
        <w:tc>
          <w:tcPr>
            <w:tcW w:w="3760" w:type="dxa"/>
            <w:vAlign w:val="bottom"/>
            <w:tcBorders>
              <w:top w:val="single" w:sz="8" w:color="auto"/>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Corporate headquarters, engineering, research and</w:t>
            </w: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25,106</w:t>
            </w:r>
          </w:p>
        </w:tc>
        <w:tc>
          <w:tcPr>
            <w:tcW w:w="100" w:type="dxa"/>
            <w:vAlign w:val="bottom"/>
            <w:tcBorders>
              <w:top w:val="single" w:sz="8" w:color="CCEEFF"/>
            </w:tcBorders>
            <w:shd w:val="clear" w:color="auto" w:fill="CCEEFF"/>
          </w:tcPr>
          <w:p>
            <w:pPr>
              <w:spacing w:after="0"/>
              <w:rPr>
                <w:sz w:val="15"/>
                <w:szCs w:val="15"/>
                <w:color w:val="auto"/>
              </w:rPr>
            </w:pPr>
          </w:p>
        </w:tc>
        <w:tc>
          <w:tcPr>
            <w:tcW w:w="370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Leased, expires February 27, 2027</w:t>
            </w:r>
          </w:p>
        </w:tc>
        <w:tc>
          <w:tcPr>
            <w:tcW w:w="0" w:type="dxa"/>
            <w:vAlign w:val="bottom"/>
          </w:tcPr>
          <w:p>
            <w:pPr>
              <w:spacing w:after="0"/>
              <w:rPr>
                <w:sz w:val="1"/>
                <w:szCs w:val="1"/>
                <w:color w:val="auto"/>
              </w:rPr>
            </w:pPr>
          </w:p>
        </w:tc>
      </w:tr>
      <w:tr>
        <w:trPr>
          <w:trHeight w:val="243"/>
        </w:trPr>
        <w:tc>
          <w:tcPr>
            <w:tcW w:w="2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Hong Kong, PRC</w:t>
            </w: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Asian headquarters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expires July 31, 2028</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Enschede, Netherlands</w:t>
            </w: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European headquarters and call center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19,440</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expires February 28, 2029</w:t>
            </w:r>
          </w:p>
        </w:tc>
        <w:tc>
          <w:tcPr>
            <w:tcW w:w="0" w:type="dxa"/>
            <w:vAlign w:val="bottom"/>
          </w:tcPr>
          <w:p>
            <w:pPr>
              <w:spacing w:after="0"/>
              <w:rPr>
                <w:sz w:val="1"/>
                <w:szCs w:val="1"/>
                <w:color w:val="auto"/>
              </w:rPr>
            </w:pPr>
          </w:p>
        </w:tc>
      </w:tr>
      <w:tr>
        <w:trPr>
          <w:trHeight w:val="22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Bangalore, India</w:t>
            </w: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Engineering, research and development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21,326</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expires June 30, 2025</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Carlsbad, California</w:t>
            </w: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research and development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30,758</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expires December 31, 2027</w:t>
            </w:r>
          </w:p>
        </w:tc>
        <w:tc>
          <w:tcPr>
            <w:tcW w:w="0" w:type="dxa"/>
            <w:vAlign w:val="bottom"/>
          </w:tcPr>
          <w:p>
            <w:pPr>
              <w:spacing w:after="0"/>
              <w:rPr>
                <w:sz w:val="1"/>
                <w:szCs w:val="1"/>
                <w:color w:val="auto"/>
              </w:rPr>
            </w:pPr>
          </w:p>
        </w:tc>
      </w:tr>
      <w:tr>
        <w:trPr>
          <w:trHeight w:val="23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Plymouth, Minnesota</w:t>
            </w: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Engineering, research and development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expires March 31, 2028</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Poway, California</w:t>
            </w: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research and development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expires December 31, 2025</w:t>
            </w:r>
          </w:p>
        </w:tc>
        <w:tc>
          <w:tcPr>
            <w:tcW w:w="0" w:type="dxa"/>
            <w:vAlign w:val="bottom"/>
          </w:tcPr>
          <w:p>
            <w:pPr>
              <w:spacing w:after="0"/>
              <w:rPr>
                <w:sz w:val="1"/>
                <w:szCs w:val="1"/>
                <w:color w:val="auto"/>
              </w:rPr>
            </w:pPr>
          </w:p>
        </w:tc>
      </w:tr>
      <w:tr>
        <w:trPr>
          <w:trHeight w:val="23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Santa Ana, California</w:t>
            </w: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Engineering, research and development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18,420</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expires November 30, 2027</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Suzhou, PRC</w:t>
            </w: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research and development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expires December 31, 2025</w:t>
            </w:r>
          </w:p>
        </w:tc>
        <w:tc>
          <w:tcPr>
            <w:tcW w:w="0" w:type="dxa"/>
            <w:vAlign w:val="bottom"/>
          </w:tcPr>
          <w:p>
            <w:pPr>
              <w:spacing w:after="0"/>
              <w:rPr>
                <w:sz w:val="1"/>
                <w:szCs w:val="1"/>
                <w:color w:val="auto"/>
              </w:rPr>
            </w:pPr>
          </w:p>
        </w:tc>
      </w:tr>
      <w:tr>
        <w:trPr>
          <w:trHeight w:val="22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Hai Duong, Vietnam</w:t>
            </w: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facility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124,776</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expires December 1, 2034</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Manaus, Brazil</w:t>
            </w: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facility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56,120</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expires August 19, 2025</w:t>
            </w:r>
          </w:p>
        </w:tc>
        <w:tc>
          <w:tcPr>
            <w:tcW w:w="0" w:type="dxa"/>
            <w:vAlign w:val="bottom"/>
          </w:tcPr>
          <w:p>
            <w:pPr>
              <w:spacing w:after="0"/>
              <w:rPr>
                <w:sz w:val="1"/>
                <w:szCs w:val="1"/>
                <w:color w:val="auto"/>
              </w:rPr>
            </w:pPr>
          </w:p>
        </w:tc>
      </w:tr>
      <w:tr>
        <w:trPr>
          <w:trHeight w:val="22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Monterrey, Mexico</w:t>
            </w: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facility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61,296</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expires April 15, 2029</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Yangzhou, PRC </w:t>
            </w:r>
            <w:r>
              <w:rPr>
                <w:rFonts w:ascii="Times New Roman" w:cs="Times New Roman" w:eastAsia="Times New Roman" w:hAnsi="Times New Roman"/>
                <w:sz w:val="23"/>
                <w:szCs w:val="23"/>
                <w:color w:val="auto"/>
                <w:vertAlign w:val="superscript"/>
              </w:rPr>
              <w:t>(1)</w:t>
            </w: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facility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1,247,688</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leased, expires July 31, 2055</w:t>
            </w:r>
          </w:p>
        </w:tc>
        <w:tc>
          <w:tcPr>
            <w:tcW w:w="0" w:type="dxa"/>
            <w:vAlign w:val="bottom"/>
          </w:tcPr>
          <w:p>
            <w:pPr>
              <w:spacing w:after="0"/>
              <w:rPr>
                <w:sz w:val="1"/>
                <w:szCs w:val="1"/>
                <w:color w:val="auto"/>
              </w:rPr>
            </w:pPr>
          </w:p>
        </w:tc>
      </w:tr>
      <w:tr>
        <w:trPr>
          <w:trHeight w:val="22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Yangzhou, PRC</w:t>
            </w: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facility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77,888</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expires October 31, 2025</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Guangzhou, PRC</w:t>
            </w: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26,850</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expires April 14, 2026</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660" w:hanging="328"/>
        <w:spacing w:after="0" w:line="229" w:lineRule="auto"/>
        <w:tabs>
          <w:tab w:leader="none" w:pos="64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Private ownership of land in mainland PRC is not allowed. All land in the PRC is owned by the government and cannot be sold to any individual or entity. These facilities were developed on land which we lease from the PRC government.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facilities listed above, we lease space in various international locations, primarily for use as sales offices.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expiration of our facilities leases, we believe we will obtain lease agreements under similar terms; however, there can be no assurance that we will receive similar terms or that any offer to renew will be accepted.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believe that our manufacturing, engineering, and research and development facilities are suitable and adequate for our continued needs. We will continue to assess the suitability and adequacy of these facilities to meet both our current needs, as well as our expected future requirements.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"ITEM 8. FINANCIAL STATEMENTS AND SUPPLEMENTARY DATA — Notes to Consolidated Financial Statements — Note 8" for additional information regarding our obligations under leases.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lawsuits arising out of the conduct of our business. The discussion of our litigation matters in "ITEM 8. FINANCIAL STATEMENTS AND SUPPLEMENTARY DATA — Notes to Consolidated Financial Statements — Note 13 — Commitments and Contingencies — Litigation" is incorporated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UEIC. Our stockholders of record on March 7, 2025 numbered 156. We have never paid cash dividends on our common stock. We intend to retain our earnings, if any, to reinvest in the business for future operations and expansion and, as such, we do not anticipate paying any cash dividends in the foreseeable future.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fourth quarter, our total stock repurchases, average price paid per share and the maximum number of shares that may yet be purchased on the open market under our plans or programs: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6"/>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20" w:type="dxa"/>
            <w:vAlign w:val="bottom"/>
          </w:tcPr>
          <w:p>
            <w:pPr>
              <w:spacing w:after="0"/>
              <w:rPr>
                <w:sz w:val="12"/>
                <w:szCs w:val="12"/>
                <w:color w:val="auto"/>
              </w:rPr>
            </w:pPr>
          </w:p>
        </w:tc>
        <w:tc>
          <w:tcPr>
            <w:tcW w:w="1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4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203"/>
        </w:trPr>
        <w:tc>
          <w:tcPr>
            <w:tcW w:w="4500" w:type="dxa"/>
            <w:vAlign w:val="bottom"/>
            <w:gridSpan w:val="2"/>
            <w:vMerge w:val="continue"/>
          </w:tcPr>
          <w:p>
            <w:pPr>
              <w:spacing w:after="0"/>
              <w:rPr>
                <w:sz w:val="17"/>
                <w:szCs w:val="17"/>
                <w:color w:val="auto"/>
              </w:rPr>
            </w:pPr>
          </w:p>
        </w:tc>
        <w:tc>
          <w:tcPr>
            <w:tcW w:w="1660" w:type="dxa"/>
            <w:vAlign w:val="bottom"/>
          </w:tcPr>
          <w:p>
            <w:pPr>
              <w:jc w:val="right"/>
              <w:ind w:right="356"/>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Purchased </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120" w:type="dxa"/>
            <w:vAlign w:val="bottom"/>
          </w:tcPr>
          <w:p>
            <w:pPr>
              <w:spacing w:after="0"/>
              <w:rPr>
                <w:sz w:val="17"/>
                <w:szCs w:val="17"/>
                <w:color w:val="auto"/>
              </w:rPr>
            </w:pPr>
          </w:p>
        </w:tc>
        <w:tc>
          <w:tcPr>
            <w:tcW w:w="172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or Programs </w:t>
            </w:r>
            <w:r>
              <w:rPr>
                <w:rFonts w:ascii="Times New Roman" w:cs="Times New Roman" w:eastAsia="Times New Roman" w:hAnsi="Times New Roman"/>
                <w:sz w:val="18"/>
                <w:szCs w:val="18"/>
                <w:b w:val="1"/>
                <w:bCs w:val="1"/>
                <w:color w:val="auto"/>
                <w:w w:val="98"/>
                <w:vertAlign w:val="superscript"/>
              </w:rPr>
              <w:t>(2)</w:t>
            </w:r>
          </w:p>
        </w:tc>
        <w:tc>
          <w:tcPr>
            <w:tcW w:w="0" w:type="dxa"/>
            <w:vAlign w:val="bottom"/>
          </w:tcPr>
          <w:p>
            <w:pPr>
              <w:spacing w:after="0"/>
              <w:rPr>
                <w:sz w:val="1"/>
                <w:szCs w:val="1"/>
                <w:color w:val="auto"/>
              </w:rPr>
            </w:pPr>
          </w:p>
        </w:tc>
      </w:tr>
      <w:tr>
        <w:trPr>
          <w:trHeight w:val="223"/>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2024 - October 31, 2024</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778,362</w:t>
            </w:r>
          </w:p>
        </w:tc>
        <w:tc>
          <w:tcPr>
            <w:tcW w:w="0" w:type="dxa"/>
            <w:vAlign w:val="bottom"/>
          </w:tcPr>
          <w:p>
            <w:pPr>
              <w:spacing w:after="0"/>
              <w:rPr>
                <w:sz w:val="1"/>
                <w:szCs w:val="1"/>
                <w:color w:val="auto"/>
              </w:rPr>
            </w:pPr>
          </w:p>
        </w:tc>
      </w:tr>
      <w:tr>
        <w:trPr>
          <w:trHeight w:val="230"/>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2024 - November 30, 2024</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9"/>
                <w:szCs w:val="19"/>
                <w:color w:val="auto"/>
              </w:rPr>
            </w:pPr>
          </w:p>
        </w:tc>
        <w:tc>
          <w:tcPr>
            <w:tcW w:w="15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778,362</w:t>
            </w:r>
          </w:p>
        </w:tc>
        <w:tc>
          <w:tcPr>
            <w:tcW w:w="0" w:type="dxa"/>
            <w:vAlign w:val="bottom"/>
          </w:tcPr>
          <w:p>
            <w:pPr>
              <w:spacing w:after="0"/>
              <w:rPr>
                <w:sz w:val="1"/>
                <w:szCs w:val="1"/>
                <w:color w:val="auto"/>
              </w:rPr>
            </w:pPr>
          </w:p>
        </w:tc>
      </w:tr>
      <w:tr>
        <w:trPr>
          <w:trHeight w:val="229"/>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2024- December 31, 2024</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778,362</w:t>
            </w:r>
          </w:p>
        </w:tc>
        <w:tc>
          <w:tcPr>
            <w:tcW w:w="0" w:type="dxa"/>
            <w:vAlign w:val="bottom"/>
          </w:tcPr>
          <w:p>
            <w:pPr>
              <w:spacing w:after="0"/>
              <w:rPr>
                <w:sz w:val="1"/>
                <w:szCs w:val="1"/>
                <w:color w:val="auto"/>
              </w:rPr>
            </w:pPr>
          </w:p>
        </w:tc>
      </w:tr>
      <w:tr>
        <w:trPr>
          <w:trHeight w:val="223"/>
        </w:trPr>
        <w:tc>
          <w:tcPr>
            <w:tcW w:w="4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6,046</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9"/>
                <w:szCs w:val="19"/>
                <w:color w:val="auto"/>
              </w:rPr>
            </w:pPr>
          </w:p>
        </w:tc>
        <w:tc>
          <w:tcPr>
            <w:tcW w:w="152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hanging="328"/>
        <w:spacing w:after="0" w:line="229" w:lineRule="auto"/>
        <w:tabs>
          <w:tab w:leader="none" w:pos="648" w:val="left"/>
        </w:tabs>
        <w:numPr>
          <w:ilvl w:val="0"/>
          <w:numId w:val="9"/>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Of the repurchases in November and December, 5,991 and 55 shares, respectively, represent common shares of the Company that were owned and tendered by employees to satisfy tax withholding obligations in connection with the vesting of restricted shares.</w:t>
      </w:r>
    </w:p>
    <w:p>
      <w:pPr>
        <w:spacing w:after="0" w:line="225" w:lineRule="exact"/>
        <w:rPr>
          <w:rFonts w:ascii="Times New Roman" w:cs="Times New Roman" w:eastAsia="Times New Roman" w:hAnsi="Times New Roman"/>
          <w:sz w:val="23"/>
          <w:szCs w:val="23"/>
          <w:b w:val="1"/>
          <w:bCs w:val="1"/>
          <w:color w:val="auto"/>
          <w:vertAlign w:val="superscript"/>
        </w:rPr>
      </w:pPr>
    </w:p>
    <w:p>
      <w:pPr>
        <w:jc w:val="both"/>
        <w:ind w:left="660" w:hanging="328"/>
        <w:spacing w:after="0" w:line="239" w:lineRule="auto"/>
        <w:tabs>
          <w:tab w:leader="none" w:pos="648" w:val="left"/>
        </w:tabs>
        <w:numPr>
          <w:ilvl w:val="0"/>
          <w:numId w:val="9"/>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On October 26, 2023, our Board approved a share repurchase program with an effective date of November 7, 2023. Pursuant to the program, we are authorized to repurchase up to 1,000,000 shares of our common stock. We may utilize various methods to effect the repurchases under the program, including open market repurchases, negotiated block transactions, accelerated share repurchases or open market solicitations for shares, some or all of which could be effected through Rule 10b5-1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Chart</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graph and table compares the cumulative total stockholder return with respect to our common stock versus the cumulative total return of the Standard &amp; Poor's Small Cap 600 (the "S&amp;P Small Cap 600"), the NASDAQ Composite Index, and the Peer Group Index for the five-year period ended December 31, 2024. The comparison assumes that $100 was invested on December 31, 2019 in each of our common stock, S&amp;P Small Cap 600, the NASDAQ Composite Index, and the Peer Group Index and that all dividends were reinvested. We have not paid any dividends and, therefore, our cumulative total return calculation is based solely upon stock price appreciation and not upon reinvestment of dividends. The graph and table depicts year-end values based on actual market value increases and decreases relative to the initial investment of $100, based on information provided for each calendar year by the NASDAQ Stock Market and the New York Stock Exchange.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comparisons in the graph and table below are based on historical data and are not intended to forecast the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80010</wp:posOffset>
            </wp:positionV>
            <wp:extent cx="5837555" cy="33000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37555"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12/31/2019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12/31/2020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12/31/2021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260" w:type="dxa"/>
            <w:vAlign w:val="bottom"/>
          </w:tcPr>
          <w:p>
            <w:pPr>
              <w:spacing w:after="0"/>
              <w:rPr>
                <w:sz w:val="16"/>
                <w:szCs w:val="16"/>
                <w:color w:val="auto"/>
              </w:rPr>
            </w:pPr>
          </w:p>
        </w:tc>
        <w:tc>
          <w:tcPr>
            <w:tcW w:w="9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12/31/2024</w:t>
            </w:r>
          </w:p>
        </w:tc>
      </w:tr>
      <w:tr>
        <w:trPr>
          <w:trHeight w:val="23"/>
        </w:trPr>
        <w:tc>
          <w:tcPr>
            <w:tcW w:w="4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Universal Electronics Inc.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Small Cap 600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Composite Index</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30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Peer Group Index </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bl>
    <w:p>
      <w:pPr>
        <w:spacing w:after="0" w:line="202" w:lineRule="exact"/>
        <w:rPr>
          <w:sz w:val="20"/>
          <w:szCs w:val="20"/>
          <w:color w:val="auto"/>
        </w:rPr>
      </w:pPr>
    </w:p>
    <w:p>
      <w:pPr>
        <w:ind w:left="820" w:hanging="326"/>
        <w:spacing w:after="0" w:line="229" w:lineRule="auto"/>
        <w:tabs>
          <w:tab w:leader="none" w:pos="677"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Companies in the legacy Peer Group Index are as follows: Dolby Laboratories, Inc.; Logitech International S.A.; VOXX International Corp.; and Xperi Corporation (formerly TiVo Corporation).</w:t>
      </w:r>
    </w:p>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presented above is as of December 31, 2019 through December 31, 2024. This information should not be deemed to be "soliciting material" or to be "filed" with the SEC or subject to the liabilities of Section 18 of the Exchange Act nor should this information be incorporated by reference into any prior or future filings under the Exchange Act, except to the extent that we specifically incorporate it by reference into a filing.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discuss 2024 and 2023 items and year-to-year comparisons between 2024 and 2023 in the section that follows. Discussions of 2022 items and year-to-year comparisons between 2023 and 2022 that are not included in this Annual Report on Form 10-K may be found in "Management's Discussion and Analysis of Financial Condition and Results of Operations" in Part II, Item 7 of our Annual Report on Form 10-K for the year ended December 31, 2023, filed with the SEC on March 14, 2024.</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Consolidated Financial Statements and the related notes that appear elsewhere in this document.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design, develop, manufacture, ship and support home entertainment control products, technology and software solutions, climate control solutions, wireless sensors and smart home control products and audio-video ("AV") accessories, that are used by the world's leading brands in the home entertainment, climate control, consumer electronics, security, home automation and home appliance markets. Our product and technology offerings include:</w:t>
      </w:r>
    </w:p>
    <w:p>
      <w:pPr>
        <w:spacing w:after="0" w:line="203" w:lineRule="exact"/>
        <w:rPr>
          <w:sz w:val="20"/>
          <w:szCs w:val="20"/>
          <w:color w:val="auto"/>
        </w:rPr>
      </w:pPr>
    </w:p>
    <w:p>
      <w:pPr>
        <w:jc w:val="both"/>
        <w:ind w:left="660" w:hanging="328"/>
        <w:spacing w:after="0" w:line="259"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Home Entertainment Products: </w:t>
      </w:r>
      <w:r>
        <w:rPr>
          <w:rFonts w:ascii="Times New Roman" w:cs="Times New Roman" w:eastAsia="Times New Roman" w:hAnsi="Times New Roman"/>
          <w:sz w:val="18"/>
          <w:szCs w:val="18"/>
          <w:color w:val="auto"/>
        </w:rPr>
        <w:t>Our industry-leading portfolio includes RF-capable, voice-enabled universal remote control products; low-power RF and energy-harvesting microcontrollers, as well as embedded and Cloud software for AV and Smart Home device and content discovery and control. These solutions are sold primarily to video service providers and consumer electronics OEMs. We also distribute a broad portfolio of replacement remote controls, powerful free-to-air antennae and television and soundbar wall mounts direct to retailers worldwide under the One For All brand.</w:t>
      </w:r>
    </w:p>
    <w:p>
      <w:pPr>
        <w:spacing w:after="0" w:line="17"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Climate Control Solutions: </w:t>
      </w:r>
      <w:r>
        <w:rPr>
          <w:rFonts w:ascii="Times New Roman" w:cs="Times New Roman" w:eastAsia="Times New Roman" w:hAnsi="Times New Roman"/>
          <w:sz w:val="18"/>
          <w:szCs w:val="18"/>
          <w:color w:val="auto"/>
        </w:rPr>
        <w:t>Our innovative climate control solutions include wall-mounted and handheld thermostat controllers and connected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accessories for smart energy management systems. These products are primarily sold to original equipment manufacturer (“OEM”) customers, as well as hotels, hospitality and system integrators. Our UEI TIDE Family of Climate Control solutions feature advanced technologies such as Wi-Fi, BLE, Zigbee and Matter, along with sensors for temperature, humidity, proximity, occupancy and carbon dioxide sensing.</w:t>
      </w:r>
    </w:p>
    <w:p>
      <w:pPr>
        <w:spacing w:after="0" w:line="1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Smart Home and Security Products: </w:t>
      </w:r>
      <w:r>
        <w:rPr>
          <w:rFonts w:ascii="Times New Roman" w:cs="Times New Roman" w:eastAsia="Times New Roman" w:hAnsi="Times New Roman"/>
          <w:sz w:val="18"/>
          <w:szCs w:val="18"/>
          <w:color w:val="auto"/>
        </w:rPr>
        <w:t>We offer proprietary and standards-based RF sensors designed for residential security, safety and home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automation applications. Our integrated circuits, on which our software and universal control database is embedded, are sold primarily to OEMs, video service providers, smart home dealers and private label customers.</w:t>
      </w:r>
    </w:p>
    <w:p>
      <w:pPr>
        <w:spacing w:after="0" w:line="8"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Software and Cloud Services: </w:t>
      </w:r>
      <w:r>
        <w:rPr>
          <w:rFonts w:ascii="Times New Roman" w:cs="Times New Roman" w:eastAsia="Times New Roman" w:hAnsi="Times New Roman"/>
          <w:sz w:val="18"/>
          <w:szCs w:val="18"/>
          <w:color w:val="auto"/>
        </w:rPr>
        <w:t>Our software, firmware and technology solutions enable devices such as smart TVs, hybrid set-top boxes, audio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systems, smart speakers, game consoles and other consumer electronic and smart home devices to wirelessly connect and interoperate within home networks. These solutions support control and delivery of home entertainment application services and content, smart home services and device or system information. New features include private, on-premise user presence and occupancy detection to enhance user experiences with their connected devices.</w:t>
      </w:r>
    </w:p>
    <w:p>
      <w:pPr>
        <w:spacing w:after="0" w:line="17"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Intellectual Property and Licensing: </w:t>
      </w:r>
      <w:r>
        <w:rPr>
          <w:rFonts w:ascii="Times New Roman" w:cs="Times New Roman" w:eastAsia="Times New Roman" w:hAnsi="Times New Roman"/>
          <w:sz w:val="18"/>
          <w:szCs w:val="18"/>
          <w:color w:val="auto"/>
        </w:rPr>
        <w:t>We license our intellectual property primarily to OEMs and video service providers. Our cloud-enabled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software provides reliable firmware update provisioning and digital rights management validation services to major consumer electronics brands. We offer regular control library database and software updates to our licensing customers to ensure their systems are compatible with the latest devices entering the home.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as one business segment. We have one domestic subsidiary and 24 international subsidiaries located in Brazil, British Virgin Islands, France, Germany, Hong Kong (3), India, Italy, Japan, Korea, Mexico (2), the Netherlands, People's Republic of China (the "PRC") (6), Singapore, Spain, United Kingdom and Vietnam.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recap our results for 2024:</w:t>
      </w:r>
    </w:p>
    <w:p>
      <w:pPr>
        <w:spacing w:after="0" w:line="252"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decreased 6.1% to $394.9 million in 2024 from $420.5 million in 2023.</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profit percentage increased to 28.9% in 2024 from 23.2% in 2023.</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as a percent of sales, decreased to 32.7% in 2024 from 43.5% in 2023.</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was $15.3 million in 2024 compared to $85.3 million in 2023, and our operating loss percentage was 3.9% in 2024, compared to 20.3% in 2023.</w:t>
      </w: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was $5.4 million in 2024 compared to $6.0 million in 2023.</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strategic business objectives for 2025 include the following:</w:t>
      </w:r>
    </w:p>
    <w:p>
      <w:pPr>
        <w:spacing w:after="0" w:line="252" w:lineRule="exact"/>
        <w:rPr>
          <w:sz w:val="20"/>
          <w:szCs w:val="20"/>
          <w:color w:val="auto"/>
        </w:rPr>
      </w:pPr>
    </w:p>
    <w:p>
      <w:pPr>
        <w:ind w:left="980" w:hanging="324"/>
        <w:spacing w:after="0" w:line="261"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long-term (3-5 year) revenue pipeline by engaging with industry leading brands and securing new and continuing product design wins with top 10 major HVAC OEMs;</w:t>
      </w:r>
    </w:p>
    <w:p>
      <w:pPr>
        <w:ind w:left="980" w:hanging="324"/>
        <w:spacing w:after="0" w:line="250"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Commercially deploy the UEI TIDE family of products in multiple dwelling unit and utility channels and leverage initial deployments to validate, and promote, turnkey solution to address industry need;</w:t>
      </w: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footprint in broadband gateway platforms with expanded QuickSet Cloud software offerings;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QuickSet Cloud software penetration in the TV OS market through development and commercial deployment of QuickSet features such as content personalization, privacy-first presence detection and monitoring;</w:t>
      </w:r>
    </w:p>
    <w:p>
      <w:pPr>
        <w:ind w:left="980" w:right="20" w:hanging="324"/>
        <w:spacing w:after="0" w:line="250"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AI-powered cloud services, and on-device AI developments to generate opportunities for recurring revenue streams in software licensing;</w:t>
      </w: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 UEI as the development partner of choice in smart digital thermostat control through innovation and next generation products;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new product categories in direct-to-consumer channel and build a growth revenue business with sustainable gross margins;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technology offerings and development capabilities in new standards such as WiFi6, Thread, Matter and Z-Wave Long Range;</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potential acquisitions or strategic partners that complement and strengthen our existing commercial footprint, add new capabilities, and offer strong synergies; and</w:t>
      </w:r>
    </w:p>
    <w:p>
      <w:pPr>
        <w:ind w:left="980" w:hanging="324"/>
        <w:spacing w:after="0" w:line="260"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long-term global manufacturing footprint by optimizing internal investments and seeking external manufacturing partnerships where appropriate.</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been negatively impacted and we expect to continue to be negatively impacted by adverse macroeconomic conditions, including new tariffs imposed or to be imposed on goods manufactured in the PRC, Mexico and Canada, and reduced consumer spending on durable goods. We have also been adversely impacted by inflationary pressures, including increased component and logistics costs and increases in wages and costs of borrowing funds. To help offset these negative impacts, we have implemented cost saving measures including rightsizing our manufacturing footprint and reducing operational and administrative headcount; however, such measures may not fully offset the impact of lower sales demand and cost increases, which would negatively impact our gross margins and overall financial results. Management will continue to seek ways to lessen the impact these pressures may have on our margins and overall financial results by executing on our plan to reduce our manufacturing overhead and to locate alternative and less expensive sources of component parts and materials.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Footprint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been evaluating our global manufacturing footprint based upon our long-term factory planning strategy to (1) de-risk our reliance on a PRC-based supply chain and (2) reduce our manufacturing capacity due to decreased demand and a change in mix of our products. As part of this evaluation, we (1) opened a new factory in Vietnam which commenced operations in June 2023, (2) stopped production activities of our southwestern PRC factory in the third quarter 2023 and completed its shutdown in the first quarter 2024, (3) stopped production activities and shutdown operations of our smaller eastern PRC factory during the fourth quarter 2024, and (4) downsized and streamlined our Mexico operations throughout 2024. As a result of these decisions, we recorded severance and other restructuring expenses of $3.6 million and $4.0 million during the years ended December 31, 2024 and December 31, 2023, respectively. Additionally, we recorded impairment charges of $7.7 million during the year ended December 31, 2023. We will continue to evaluate our global factory footprint to identify ways to operate more efficiently and decisions may result in charges that could have a material effect on the consolidated the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("U.S. GAAP")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inventory valuation, impairment of long-lived assets, intangible assets and goodwill and income taxes. Actual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results may differ from these judgments and estimates, and they may be adjusted as more information becomes available. Any adjustment may be significant and may have a material impact on our consolidated financial statements.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accounting estimate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Management believes the following critical accounting estimates affect our more significant judgments and estimates used in the preparation of our consolidated financial statements. In addition to the accounting policies mentioned below, see "ITEM 8. FINANCIAL STATEMENTS AND SUPPLEMENTARY DATA — Notes to Consolidated Financial Statements — Note 2" for other significant accounting policies.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is recognized when control of a good or service is transferred to a customer. Our performance obligations are satisfied over time or at a point in time, depending on the nature of the product. Revenue is recognized over time when performance creates an asset with no alternative use to us (custom products) and we have an enforceable right to payment for performance completed to date, including a reasonable margin, through a contractual commitment from the customer. Custom products are those products for which we are unable to redirect the asset to another customer in the foreseeable future without significant rework. There is significant judgment exercised by management in identifying and evaluating whether new contracts and/or products meet the criteria for over time or point in time revenue recognition. Significant judgments include the evaluation of legal terms and rights within each jurisdiction that we operate, specifically as it relates to our entitlement to gross margin at termination, and the evaluation of whether it is possible, contractually or economically, to repurpose or redirect products.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finished good, component part, and raw material inventories are valued at the lower of cost or net realizable value. Cost is determined using the first-in, first-out method. We write down our inventory for the estimated difference between cost and estimated net realizable value based upon our best estimates of future demand and market conditions. We carry inventory in amounts necessary to satisfy our customers' inventory requirements on a timely basis. We continually monitor our inventory status to control inventory levels and write down any excess or obsolete inventories on hand. If actual market conditions become less favorable than those projected by management, additional inventory write-downs may be required, which may have a material impact on our financial statements. Such circumstances may include, but are not limited to, the development of new competing technology that impedes the marketability of our products or the occurrence of significant price decreases in our raw material or component parts, such as integrated circuits. Each percentage point change in the ratio of excess and obsolete inventory reserve to inventory would impact cost of sales by approximately $0.9 million.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calculate our current and deferred tax provisions based on estimates and assumptions that may differ from the actual results reflected in our income tax returns filed during the subsequent year. We record adjustments based on filed returns when we have identified and finalized them, which is generally in the third and fourth quarters of the subsequent year.</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recognize deferred tax assets and liabilities for the expected tax consequences of temporary differences between the tax basis of assets and liabilities and their reported amounts using enacted tax rates in effect for the year in which we expect the differences to reverse. We record a valuation allowance to reduce the deferred tax assets to the amount that we are more likely than not to realize. We have considered future market growth, forecasted earnings and tax rates, future taxable income, the mix of earnings in the jurisdictions in which we operate and prudent tax planning strategies in determining the need for a valuation allowance. In the event we were to determine that we would not be able to realize all or part of our net deferred tax assets in the future, we would increase the valuation allowance and make a corresponding charge to earnings in the period in which we make such determination. Likewise, if we later determine that we are more likely than not to realize the net deferred tax assets, we would reverse the applicable portion of the previously provided valuation allowance. In order for us to realize our deferred tax assets we must be able to generate sufficient taxable income in the tax jurisdictions in which the deferred tax assets are located. Any changes to the realizability of our deferred tax assets or liabilities may have a material impact on our financial statements.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United States and foreign countries, and we are subject to routine corporate income tax audits in many of these jurisdictions. We believe that our tax return positions are fully supported, but tax authorities could challenge certain positions which may not be fully sustained. Our income tax expense includes amounts intended to satisfy income tax assessments that result from these challenges in accordance with the accounting for uncertainty in income taxes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prescribed by U.S. GAAP. Determining the income tax expense for these potential assessments and recording the related assets and liabilities requires management judgments and estimates.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reserves for uncertain tax positions, including related interest and penalties. We review our reserves quarterly, and we may adjust such reserves due to proposed assessments by tax authorities, changes in facts and circumstances, issuance of new regulations or new case law, previously unavailable information obtained during the course of an examination, negotiations between tax authorities of different countries concerning our transfer prices, execution of advanced pricing agreements, resolution with respect to individual audit issues, the resolution of entire audits, or the expiration of statutes of limitations. The amounts ultimately paid upon resolution of audits may be materially different from the amounts previously included in our income tax expense and, therefore, may have a material impact on our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expressed as a percentage of net sales for the periods indicated.</w:t>
      </w:r>
    </w:p>
    <w:p>
      <w:pPr>
        <w:spacing w:after="0" w:line="232"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Pr>
          <w:p>
            <w:pPr>
              <w:spacing w:after="0"/>
              <w:rPr>
                <w:sz w:val="19"/>
                <w:szCs w:val="19"/>
                <w:color w:val="auto"/>
              </w:rPr>
            </w:pPr>
          </w:p>
        </w:tc>
        <w:tc>
          <w:tcPr>
            <w:tcW w:w="1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76.8</w:t>
            </w:r>
          </w:p>
        </w:tc>
      </w:tr>
      <w:tr>
        <w:trPr>
          <w:trHeight w:val="223"/>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23.2</w:t>
            </w:r>
          </w:p>
        </w:tc>
      </w:tr>
      <w:tr>
        <w:trPr>
          <w:trHeight w:val="229"/>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1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23.4</w:t>
            </w:r>
          </w:p>
        </w:tc>
      </w:tr>
      <w:tr>
        <w:trPr>
          <w:trHeight w:val="229"/>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Factory restructuring charges</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1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judgment</w:t>
            </w: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11.7</w:t>
            </w:r>
          </w:p>
        </w:tc>
      </w:tr>
      <w:tr>
        <w:trPr>
          <w:trHeight w:val="223"/>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0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(20.3)</w:t>
            </w:r>
          </w:p>
        </w:tc>
      </w:tr>
      <w:tr>
        <w:trPr>
          <w:trHeight w:val="23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17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0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174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(21.9)</w:t>
            </w:r>
          </w:p>
        </w:tc>
      </w:tr>
      <w:tr>
        <w:trPr>
          <w:trHeight w:val="230"/>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0"/>
        </w:trPr>
        <w:tc>
          <w:tcPr>
            <w:tcW w:w="7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2024 ("2024") Compared to Year Ended December 31, 2023 ("2023")</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for 2024 were $394.9 million, a decrease of 6.1% compared to $420.5 million in 2023. We have experienced lower customer demand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both our home entertainment and climate control channels. Our home entertainment channel continues to be adversely affected by cord cutting, while our climate control channel is experiencing a decrease in demand in Europe, which we believe is a result of recent reductions in governmental subsidies for heat pump technology.</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 2024 was $114.0 million compared to $97.6 million in 2023. Gross profit as a percent of sales increased to 28.9% 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23.2% in 2023. The execution of our factory footprint optimization plan has resulted in a significant reduction of excess manufacturing capacity, yielding a gross margin rate improvement of approximately 370 basis points. During the year ended December 31, 2023, we took a charge of $7.7 million for the impairment of fixed assets related to the execution of our factory footprint optimization plan, which negatively impacted the gross profit rate for that period by 180 basis points. In addition, a stronger U.S. dollar in 2024 compared to 2023 resulted in a 70 basis point improvement in our gross margin rate. Partially offsetting these improvements was an unfavorable product mix, which resulted in a 50 basis point decline in our gross margin rate.</w:t>
      </w:r>
    </w:p>
    <w:p>
      <w:pPr>
        <w:spacing w:after="0" w:line="20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("R&amp;D") expenses. </w:t>
      </w:r>
      <w:r>
        <w:rPr>
          <w:rFonts w:ascii="Times New Roman" w:cs="Times New Roman" w:eastAsia="Times New Roman" w:hAnsi="Times New Roman"/>
          <w:sz w:val="18"/>
          <w:szCs w:val="18"/>
          <w:color w:val="auto"/>
        </w:rPr>
        <w:t>R&amp;D expenses decreased 5.0% to $29.7 million in 2024 from $31.3 million in 2023. The decrease in R&amp;D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is primarily due to reduced third-party product development costs and a reduction in headcount.</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("SG&amp;A") expenses. </w:t>
      </w:r>
      <w:r>
        <w:rPr>
          <w:rFonts w:ascii="Times New Roman" w:cs="Times New Roman" w:eastAsia="Times New Roman" w:hAnsi="Times New Roman"/>
          <w:sz w:val="18"/>
          <w:szCs w:val="18"/>
          <w:color w:val="auto"/>
        </w:rPr>
        <w:t>SG&amp;A expenses decreased 6.8% to $91.8 million in 2024 from $98.5 million in 2023, due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compensation expenses associated with a reduction in headcount and a decrease in outside legal expenses related to a specific legal matter.</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Factory restructuring charges. </w:t>
      </w:r>
      <w:r>
        <w:rPr>
          <w:rFonts w:ascii="Times New Roman" w:cs="Times New Roman" w:eastAsia="Times New Roman" w:hAnsi="Times New Roman"/>
          <w:sz w:val="18"/>
          <w:szCs w:val="18"/>
          <w:color w:val="auto"/>
        </w:rPr>
        <w:t>During the year ended December 31, 2024, we recorded $3.6 million in expense, including severance and moving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 downsizing of our factory in Mexico and the closures of our southern and eastern PRC factories. During the year ended December 31, 2023, we recorded $4.0 million in expense, including severance and other closure related activities pertaining to our southern PRC factory, and moving costs associated with the transfer of equipment from our Mexico factory to our new facility in Vietnam.</w:t>
      </w:r>
    </w:p>
    <w:p>
      <w:pPr>
        <w:spacing w:after="0" w:line="20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Legal judgment. </w:t>
      </w:r>
      <w:r>
        <w:rPr>
          <w:rFonts w:ascii="Times New Roman" w:cs="Times New Roman" w:eastAsia="Times New Roman" w:hAnsi="Times New Roman"/>
          <w:sz w:val="18"/>
          <w:szCs w:val="18"/>
          <w:color w:val="auto"/>
        </w:rPr>
        <w:t>During the year ended December 31, 2024, we recorded $4.2 million in expense, relating to an adverse judgment against one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located in the PRC. We have appealed this ruling and expect a decision on our appeal in early to mid-April 2025.</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Goodwill impairment. </w:t>
      </w:r>
      <w:r>
        <w:rPr>
          <w:rFonts w:ascii="Times New Roman" w:cs="Times New Roman" w:eastAsia="Times New Roman" w:hAnsi="Times New Roman"/>
          <w:sz w:val="18"/>
          <w:szCs w:val="18"/>
          <w:color w:val="auto"/>
        </w:rPr>
        <w:t>During the year ended December 31, 2023, we recorded a non-cash goodwill impairment charge of $49.1 million due to our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capitalization being significantly less than the carrying value of our equity.</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(expense), net. </w:t>
      </w:r>
      <w:r>
        <w:rPr>
          <w:rFonts w:ascii="Times New Roman" w:cs="Times New Roman" w:eastAsia="Times New Roman" w:hAnsi="Times New Roman"/>
          <w:sz w:val="18"/>
          <w:szCs w:val="18"/>
          <w:color w:val="auto"/>
        </w:rPr>
        <w:t>Net interest expense decreased to $3.4 million in 2024 from $4.3 million in 2023, primarily as a result of a lower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balance.</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net was $0.1 million in 2024, compared to other expense, net of $2.6 million in 2023. The improvement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 reduction in net foreign currency losses.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Income tax expense was $5.4 million in 2024 compared to $6.0 million in 2023. Our effective tax rate in 2024 and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(29.2)% and (6.5)%, respectively, differs from the U.S. statutory rate of 21% primarily as a result of our jurisdictional mix of pre-tax income/loss, as well as losses incurred in the U.S. which are not benefited due to a valuation allowance.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Cash</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we have utilized cash provided from operations as our primary source of liquidity, as internally generated cash flows have typically been sufficient to support our business operations, capital expenditures and discretionary share repurchases. When needed, we have utilized our revolving lines of credit to fund operations, share repurchases and acquisitions. We anticipate that we will continue to utilize both cash flows from operations and our revolving lines of credit to support ongoing business operations, capital expenditures, discretionary share repurchases and potential acquisitions. We believe our current cash balances, anticipated cash flow to be generated from operations and available borrowing resources will be sufficient to cover expected cash outlays for at least the next twelve months and for the foreseeable future thereafter; however, because our cash is located in various jurisdictions throughout the world, we may at times need to increase borrowing from our revolving lines of credit or take on additional debt until we are able to transfer cash among our various entities.</w:t>
      </w:r>
    </w:p>
    <w:p>
      <w:pPr>
        <w:spacing w:after="0" w:line="2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Our liquidity is subject to various risks including the market risks identified in "ITEM 7A. QUANTITATIVE AND QUALITATIVE DISCLOSURES ABOUT MARKET RISK".</w:t>
      </w: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26,783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42,751</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borrowing resources</w:t>
            </w: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32,300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r>
    </w:tbl>
    <w:p>
      <w:pPr>
        <w:spacing w:after="0" w:line="31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At December 31, 2024, we had $2.0 million, $10.1 million, $2.3 million, $7.1 million and $5.3 million of cash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equivalents in North America, the PRC, Asia (excluding the PRC), Europe, and South America, respectively. We attempt to mitigate our exposure to liquidity, credit and other relevant risks by placing our cash and cash equivalents with financial institutions we believe are high quality.</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balances are held in numerous locations throughout the world. The majority of our cash is held outside of the United States and may be repatriated to the United States but, under current law, may be subject to federal and state income taxes and foreign withholding taxes. Additionally, repatriation of some foreign balances is restricted by local laws.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Available Borrowing Resources </w:t>
      </w:r>
      <w:r>
        <w:rPr>
          <w:rFonts w:ascii="Times New Roman" w:cs="Times New Roman" w:eastAsia="Times New Roman" w:hAnsi="Times New Roman"/>
          <w:sz w:val="18"/>
          <w:szCs w:val="18"/>
          <w:color w:val="auto"/>
        </w:rPr>
        <w:t>– Our Second Amended and Restated Credit Agreement ("Second Amended Credit Agreement") with U.S.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National Association ("U.S. Bank") provides for a revolving line of credit ("U.S. Credit Line") that expires on April 30, 2026. The U.S. Credit Line has a maximum availability up to $75.0 million, subject to meeting certain financial conditions, including an accounts receivable coverage ratio ("AR Ratio"). This AR Ratio is calculated monthly and adjusts the current U.S. Credit Line total availability. At December 31, 2024, the U.S. Credit Line total availability was $58.3 million based upon the AR Ratio. At February 18, 2025, the U.S. Credit Line total availability was $60.5 million based upon the AR Ratio.</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Credit Line may be used for working capital and other general corporate purposes including acquisitions, share repurchases and capital expenditures. Amounts available for borrowing under the U.S. Credit Line are reduced by the balance of any outstanding letters of credit, of which there were none at December 31, 2024. At December 31, 2024, we had an outstanding balance of $26.0 million on our U.S. Credit Line and $32.3 million of availability.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subsidiary, Gemstar Technology (Yangzhou) Co. Ltd. ("GTY"), has a Line of Credit Agreement ("Line of Credit Agreement") with the Bank of China, which provides for a revolving line of credit ("China Credit Line" and, together with the U.S. Credit Line, "Credit Lines") through July 24, 2025. We expect to renew the Line of Credit Agreement with the Bank of China prior to its expiration; however, no assurance can be given that future financing will be available or, if available, that we will be offered terms satisfactory to us. The China Credit Line has a maximum availability up to RMB 80.0 million (approximately $11.0 million), subject to meeting certain financial conditions.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China Credit Line may be used for working capital purposes. Amounts available for borrowing under the China Credit Line are reduced by the balance of any outstanding letters of credit, of which there were none at December 31, 2024. At December 31, 2024, we had an outstanding balance of RMB 80.0 million (approximately $11.0 million) on our China Credit Line and no remaining availability.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"ITEM 8. FINANCIAL STATEMENTS AND SUPPLEMENTARY DATA - Notes to Consolidated Financial Statements - Note 9" for further information regarding our Credit Lines.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Uses of Cash</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flows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26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5"/>
        </w:trPr>
        <w:tc>
          <w:tcPr>
            <w:tcW w:w="6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40" w:type="dxa"/>
            <w:vAlign w:val="bottom"/>
          </w:tcPr>
          <w:p>
            <w:pPr>
              <w:spacing w:after="0"/>
              <w:rPr>
                <w:sz w:val="16"/>
                <w:szCs w:val="16"/>
                <w:color w:val="auto"/>
              </w:rPr>
            </w:pPr>
          </w:p>
        </w:tc>
        <w:tc>
          <w:tcPr>
            <w:tcW w:w="13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28"/>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for) operating activities</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25,190</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(used for) investing activities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(13,877)</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for) financing activities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(34,779)</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and cash equivalents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24"/>
                <w:szCs w:val="2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0" w:type="dxa"/>
            <w:vAlign w:val="bottom"/>
          </w:tcPr>
          <w:p>
            <w:pPr>
              <w:spacing w:after="0"/>
              <w:rPr>
                <w:sz w:val="24"/>
                <w:szCs w:val="24"/>
                <w:color w:val="auto"/>
              </w:rPr>
            </w:pPr>
          </w:p>
        </w:tc>
        <w:tc>
          <w:tcPr>
            <w:tcW w:w="130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42,751</w:t>
            </w:r>
          </w:p>
        </w:tc>
        <w:tc>
          <w:tcPr>
            <w:tcW w:w="0" w:type="dxa"/>
            <w:vAlign w:val="bottom"/>
          </w:tcPr>
          <w:p>
            <w:pPr>
              <w:spacing w:after="0"/>
              <w:rPr>
                <w:sz w:val="1"/>
                <w:szCs w:val="1"/>
                <w:color w:val="auto"/>
              </w:rPr>
            </w:pP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97,703</w:t>
            </w:r>
          </w:p>
        </w:tc>
        <w:tc>
          <w:tcPr>
            <w:tcW w:w="0" w:type="dxa"/>
            <w:vAlign w:val="bottom"/>
          </w:tcPr>
          <w:p>
            <w:pPr>
              <w:spacing w:after="0"/>
              <w:rPr>
                <w:sz w:val="1"/>
                <w:szCs w:val="1"/>
                <w:color w:val="auto"/>
              </w:rPr>
            </w:pPr>
          </w:p>
        </w:tc>
      </w:tr>
    </w:tbl>
    <w:p>
      <w:pPr>
        <w:spacing w:after="0" w:line="3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w:t>
      </w:r>
      <w:r>
        <w:rPr>
          <w:rFonts w:ascii="Times New Roman" w:cs="Times New Roman" w:eastAsia="Times New Roman" w:hAnsi="Times New Roman"/>
          <w:sz w:val="18"/>
          <w:szCs w:val="18"/>
          <w:color w:val="auto"/>
        </w:rPr>
        <w:t>was $14.8 million during 2024 compared to $25.2 million during 2023. Net loss was $24.2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2024 compared to $98.2 million for the year ended December 31, 2023, which includes the impairments of goodwill of $49.1 million and long-lived assets of $8.0 million. Depreciation and amortization was $18.1 million for the year ended December 31, 2024 compared to $22.9 million during the year ended December 31, 2023, due to decreased purchases of property, plant and equipment over recent years. Inventories decreased by $6.2 million during the year ended December 31, 2024 compared to a decrease of $51.5 million during the year ended December 31, 2023. The significant decrease in inventories during the year ended December 31, 2023 is primarily the result of cord cutting, as there was less demand for our video service products. In addition, lead times for components and raw materials have normalized, enabling more efficient production planning. Our inventory turns increased to 3.0 turns at December 31, 2024 compared to 2.8 turns at December 31, 2023. Changes in accounts receivables and contract assets resulted in cash outflows of $12.2 million during the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year ended December 31, 2024 compared to cash inflows of $5.0 million during the year ended December 31, 2023, largely as a result of an increase in and timing of sales in the fourth quarter of 2024 compared to the fourth quarter of 2023 offset partially by a decrease in days sales outstanding. Days sales outstanding were 81 days at December 31, 2024 compared to 94 days at December 31, 2023. Changes in accounts payable and accrued liabilities resulted in cash inflows of $15.7 million during the year ended December 31, 2024 due primarily to the timing of payments in the fourth quarter. Changes in accounts payable and accrued liabilities resulted in cash outflows of $21.4 million during the year ended December 31, 2023 due primarily to a decrease in inventory purchases as a result of lower demand. Changes in accrued income taxes resulted in cash inflows of $1.3 million during the year ended December 31, 2024 compared to cash outflows of $3.5 million during the year ended December 31, 2023.</w:t>
      </w:r>
    </w:p>
    <w:p>
      <w:pPr>
        <w:spacing w:after="0" w:line="2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cash used for investing activities </w:t>
      </w:r>
      <w:r>
        <w:rPr>
          <w:rFonts w:ascii="Times New Roman" w:cs="Times New Roman" w:eastAsia="Times New Roman" w:hAnsi="Times New Roman"/>
          <w:sz w:val="18"/>
          <w:szCs w:val="18"/>
          <w:color w:val="auto"/>
        </w:rPr>
        <w:t>during 2024 was $8.4 million, of which $4.5 million and $3.9 million was used for capital expenditures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of patents, respectively. Net cash used for investing activities during 2023 was $13.9 million, of which $8.1 million and $5.8 million was used for capital expenditures and the development of patents, respectively.</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cash flows used for investing activities are largely dependent on the timing and amount of capital expenditures and the development of patents. We estimate that we will incur between $9.0 million and $11.0 million during 2025.</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used for financing activities </w:t>
      </w:r>
      <w:r>
        <w:rPr>
          <w:rFonts w:ascii="Times New Roman" w:cs="Times New Roman" w:eastAsia="Times New Roman" w:hAnsi="Times New Roman"/>
          <w:sz w:val="18"/>
          <w:szCs w:val="18"/>
          <w:color w:val="auto"/>
        </w:rPr>
        <w:t>was $19.8 million during 2024 compared to $34.8 million during 2023. The primary financing activities in 2024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were borrowings and repayments on our Credit Lines and repurchases of shares of our common stock. Net repayments on our Credit Lines were $17.8 million in 2024 and $33.0 million in 2023. During 2024, we purchased 206,598 shares of our common stock at a cost of $2.0 million compared to 164,540 shares at a cost of $1.8 million during 2023.</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cash flows used for financing activities are affected by our financing needs which are largely dependent on the level of cash provided by or used in operations and the level of cash used in investing activities. Additionally, potential future repurchases of shares of our common stock will impact our cash flows used for financing activities. See "ITEM 8. FINANCIAL STATEMENTS AND SUPPLEMENTARY DATA - Notes to Consolidated Financial Statements - Note 14" for further information regarding our share repurchase programs.</w:t>
      </w:r>
    </w:p>
    <w:p>
      <w:pPr>
        <w:spacing w:after="0" w:line="20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Material Cash Commitments </w:t>
      </w:r>
      <w:r>
        <w:rPr>
          <w:rFonts w:ascii="Times New Roman" w:cs="Times New Roman" w:eastAsia="Times New Roman" w:hAnsi="Times New Roman"/>
          <w:sz w:val="18"/>
          <w:szCs w:val="18"/>
          <w:color w:val="auto"/>
        </w:rPr>
        <w:t>– The following table summarizes our material cash commitments and the effect these commitments are expected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on our cash flows in future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gridSpan w:val="6"/>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1"/>
                <w:szCs w:val="11"/>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1"/>
                <w:szCs w:val="11"/>
                <w:color w:val="auto"/>
              </w:rPr>
            </w:pPr>
          </w:p>
        </w:tc>
        <w:tc>
          <w:tcPr>
            <w:tcW w:w="940" w:type="dxa"/>
            <w:vAlign w:val="bottom"/>
          </w:tcPr>
          <w:p>
            <w:pPr>
              <w:jc w:val="right"/>
              <w:ind w:right="155"/>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center"/>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1 - 3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right"/>
              <w:ind w:right="395"/>
              <w:spacing w:after="0" w:line="131" w:lineRule="exact"/>
              <w:rPr>
                <w:sz w:val="20"/>
                <w:szCs w:val="20"/>
                <w:color w:val="auto"/>
              </w:rPr>
            </w:pPr>
            <w:r>
              <w:rPr>
                <w:rFonts w:ascii="Times New Roman" w:cs="Times New Roman" w:eastAsia="Times New Roman" w:hAnsi="Times New Roman"/>
                <w:sz w:val="14"/>
                <w:szCs w:val="14"/>
                <w:b w:val="1"/>
                <w:bCs w:val="1"/>
                <w:color w:val="auto"/>
              </w:rPr>
              <w:t>4 - 5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355"/>
              <w:spacing w:after="0" w:line="131" w:lineRule="exact"/>
              <w:rPr>
                <w:sz w:val="20"/>
                <w:szCs w:val="20"/>
                <w:color w:val="auto"/>
              </w:rPr>
            </w:pPr>
            <w:r>
              <w:rPr>
                <w:rFonts w:ascii="Times New Roman" w:cs="Times New Roman" w:eastAsia="Times New Roman" w:hAnsi="Times New Roman"/>
                <w:sz w:val="14"/>
                <w:szCs w:val="14"/>
                <w:b w:val="1"/>
                <w:bCs w:val="1"/>
                <w:color w:val="auto"/>
              </w:rPr>
              <w:t>After</w:t>
            </w:r>
          </w:p>
        </w:tc>
        <w:tc>
          <w:tcPr>
            <w:tcW w:w="0" w:type="dxa"/>
            <w:vAlign w:val="bottom"/>
          </w:tcPr>
          <w:p>
            <w:pPr>
              <w:spacing w:after="0"/>
              <w:rPr>
                <w:sz w:val="1"/>
                <w:szCs w:val="1"/>
                <w:color w:val="auto"/>
              </w:rPr>
            </w:pPr>
          </w:p>
        </w:tc>
      </w:tr>
      <w:tr>
        <w:trPr>
          <w:trHeight w:val="195"/>
        </w:trPr>
        <w:tc>
          <w:tcPr>
            <w:tcW w:w="48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6"/>
                <w:szCs w:val="16"/>
                <w:color w:val="auto"/>
              </w:rPr>
            </w:pPr>
          </w:p>
        </w:tc>
        <w:tc>
          <w:tcPr>
            <w:tcW w:w="9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8"/>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Lines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purchases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purchases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license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23"/>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material cash commitments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69,703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27,004</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meeting our material cash commitments with our cash generated from operations and available borrowing on our Credit Lines.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"ITEM 8. FINANCIAL STATEMENTS AND SUPPLEMENTARY DATA — Notes to Consolidated Financial Statements — Note 2" for a discussion of recent accounting pronouncements.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interest rate risk related to our debt. From time to time, we borrow amounts on our Credit Lines for working capital and other liquidity needs. Under the Second Amended Credit Agreement with U.S. Bank, we may elect to pay interest on outstanding borrowings on our U.S. Credit Line based on the Secured Overnight Financing Rate ("SOFR") plus an applicable margin as defined in the Second Amended Credit Agreement. Under our Line of Credit Agreement with the Bank of China, we may elect to pay interest on outstanding borrowings on our China Credit Line based on the one-year rate from the National Interbank Funding Center, less a 0.1% margin. Accordingly, changes in interest rates would impact our results of operations in future periods. A 100 basis point increase in interest rates would have an approximate $0.3 million annual impact on net income based on our outstanding Credit Lines balance at December 31, 2024.</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make any assurances that we will not need to borrow additional amounts in the future or that funds from the existing Credit Lines will continue to be available to us or that other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December 31, 2024, we had wholly-owned subsidiaries in Brazil, the British Virgin Islands, France, Germany, Hong Kong, India, Italy, Japan, Korea, Mexico, the Netherlands, the PRC, Singapore, Spain, United Kingdom and Vietnam.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Mexican Peso, Vietnamese Dong, Indian Rupee, Hong Kong Dollar, Brazilian Real, Japanese Yen and Korean Won. Our most significant foreign currency exposure is to the Chinese Yuan Renminbi as this is the functional currency of our PRC-based factory where the majority of our products originate. If the Chinese Yuan Renminbi were to strengthen against the U.S. Dollar, our manufacturing costs would increase. We are generally a net payor of the Chinese Yuan Renminbi, Mexican Peso, Vietnamese Dong, Indian Rupee, Hong Kong Dollar, Japanese Yen and Korean Won and therefore benefit from a stronger U.S. Dollar and are adversely affected by a weaker U.S. Dollar relative to the foreign currency. For the Euro, British Pound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December 31, 2024, we believe that movements in foreign currency rates may have a material effect on our financial position and results of operations. We estimate that if the exchange rates for the Chinese Yuan Renminbi, Euro, British Pound, Mexican Peso, Indian Rupee, Hong Kong Dollar, Brazilian Real, Japanese Yen, Korean Won and Vietnamese Dong relative to the U.S. Dollar fluctuate 10% from December 31, 2024, net income in the first quarter of 2025 would fluctuate by approximately $4.6 million.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23"/>
        </w:trPr>
        <w:tc>
          <w:tcPr>
            <w:tcW w:w="108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Number 248)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42</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at December 31, 2024 and 2023</w:t>
            </w:r>
          </w:p>
        </w:tc>
        <w:tc>
          <w:tcPr>
            <w:tcW w:w="6440" w:type="dxa"/>
            <w:vAlign w:val="bottom"/>
            <w:gridSpan w:val="4"/>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44</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108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2024, 2023 and 2022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45</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8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(Loss) for the Years Ended December 31, 2024, 2023 and 2022</w:t>
            </w:r>
          </w:p>
        </w:tc>
        <w:tc>
          <w:tcPr>
            <w:tcW w:w="25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46</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76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2024, 2023 and 2022</w:t>
            </w:r>
          </w:p>
        </w:tc>
        <w:tc>
          <w:tcPr>
            <w:tcW w:w="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47</w:t>
            </w:r>
          </w:p>
        </w:tc>
      </w:tr>
      <w:tr>
        <w:trPr>
          <w:trHeight w:val="20"/>
        </w:trPr>
        <w:tc>
          <w:tcPr>
            <w:tcW w:w="3160" w:type="dxa"/>
            <w:vAlign w:val="bottom"/>
            <w:shd w:val="clear" w:color="auto" w:fill="0000FF"/>
          </w:tcPr>
          <w:p>
            <w:pPr>
              <w:spacing w:after="0" w:line="20" w:lineRule="exact"/>
              <w:rPr>
                <w:sz w:val="1"/>
                <w:szCs w:val="1"/>
                <w:color w:val="auto"/>
              </w:rPr>
            </w:pPr>
          </w:p>
        </w:tc>
        <w:tc>
          <w:tcPr>
            <w:tcW w:w="374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76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2023 and 2022</w:t>
            </w:r>
          </w:p>
        </w:tc>
        <w:tc>
          <w:tcPr>
            <w:tcW w:w="3260" w:type="dxa"/>
            <w:vAlign w:val="bottom"/>
            <w:gridSpan w:val="2"/>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48</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740" w:type="dxa"/>
            <w:vAlign w:val="bottom"/>
            <w:gridSpan w:val="3"/>
          </w:tcPr>
          <w:p>
            <w:pPr>
              <w:spacing w:after="0"/>
              <w:rPr>
                <w:sz w:val="18"/>
                <w:szCs w:val="18"/>
                <w:color w:val="auto"/>
              </w:rPr>
            </w:pPr>
          </w:p>
        </w:tc>
        <w:tc>
          <w:tcPr>
            <w:tcW w:w="3980" w:type="dxa"/>
            <w:vAlign w:val="bottom"/>
            <w:gridSpan w:val="3"/>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49</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schedules are omitted because they are not applicable or the required information is shown in the consolidated financial statements or notes thereto.</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Universal Electronics Inc. (a Delaware corporation) and subsidiaries (the "Company") as of December 31, 2024, and 2023, the related consolidated statements of operations, comprehensive income (loss),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2024,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March 11, 2025 expressed an unqualified opinion.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 Determination of over time versus point in time revenue recognition</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further in Note 2 and Note 4 to the consolidated financial statements, product revenue is generated through manufacturing and delivering home entertainment control products, climate control solutions, wireless sensor and smart home control products and and audio-video accessories. The Company recognizes revenue over time when performance creates an asset with no alternative use (custom products) and when the Company has an enforceable right to payment for performance completed to date, including a reasonable margin, through a contractual commitment from the customer. Revenue is recognized at a point in time if the criteria for recognizing revenue over time are not met. For each new product and/or contract, management performs an analysis to determine whether the asset created is a product with no alternative use and whether the terms and conditions of the contract indicate the Company has an enforceable right to payment for performance completed to date, including a reasonable margin. We identified the determination of over time versus point in time revenue recognition as a critical audit matter.</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principal considerations for our determination that over time versus point in time revenue recognition is a critical audit matter is the significant judgment exercised by management in identifying and evaluating whether new products and/or</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contracts meet the criteria for over time or point in time revenue recognition. Significant judgments include the evaluation of whether it is possible, contractually or economically, to repurpose or redirect products for an alternative use, as well as the evaluation of contractual legal terms and rights within each jurisdiction in which the Company operates.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over time versus point in time revenue recognition included the following, among others</w:t>
      </w:r>
      <w:r>
        <w:rPr>
          <w:rFonts w:ascii="Times New Roman" w:cs="Times New Roman" w:eastAsia="Times New Roman" w:hAnsi="Times New Roman"/>
          <w:sz w:val="18"/>
          <w:szCs w:val="18"/>
          <w:color w:val="0000FF"/>
        </w:rPr>
        <w:t>:</w:t>
      </w:r>
    </w:p>
    <w:p>
      <w:pPr>
        <w:spacing w:after="0" w:line="252" w:lineRule="exact"/>
        <w:rPr>
          <w:sz w:val="20"/>
          <w:szCs w:val="20"/>
          <w:color w:val="auto"/>
        </w:rPr>
      </w:pPr>
    </w:p>
    <w:p>
      <w:pPr>
        <w:ind w:left="660" w:right="2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key controls associated with the Company's classification of new products, including those associated with the determination and classification of a product as having no alternative use.</w:t>
      </w:r>
    </w:p>
    <w:p>
      <w:pPr>
        <w:spacing w:after="0" w:line="1" w:lineRule="exact"/>
        <w:rPr>
          <w:rFonts w:ascii="Times New Roman" w:cs="Times New Roman" w:eastAsia="Times New Roman" w:hAnsi="Times New Roman"/>
          <w:sz w:val="18"/>
          <w:szCs w:val="18"/>
          <w:color w:val="auto"/>
        </w:rPr>
      </w:pPr>
    </w:p>
    <w:p>
      <w:pPr>
        <w:jc w:val="both"/>
        <w:ind w:left="660" w:right="20" w:hanging="328"/>
        <w:spacing w:after="0" w:line="298" w:lineRule="auto"/>
        <w:tabs>
          <w:tab w:leader="none" w:pos="65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design and operating effectiveness of key controls over the Company's new and amended contract review process, specifically those related to the identification and evaluation of terms and conditions associated with an enforceable right to payment, including a reasonable margin.</w:t>
      </w:r>
    </w:p>
    <w:p>
      <w:pPr>
        <w:jc w:val="both"/>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selection of products from the Company's active products listing, we performed testing to determine whether products identified as having no alternative use are restricted, either contractually or economically, to be repurposed or redirected. This includes evaluating management judgments regarding the economic feasibility of repurposing a finished product and evidence to support that the final product has no alternative use.</w:t>
      </w:r>
    </w:p>
    <w:p>
      <w:pPr>
        <w:spacing w:after="0" w:line="1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selection of products, we traced the products into the Company's listing of active products and determined whether that product was appropriately classified as having no alternative use or not. For transactions selected with no alternative use, we also obtained and read the contract to determine whether the contract terms specifically identified an enforceable right to payment, including a reasonable margin, for performance completed to date. The two parts to this test serve to determine whether the revenue was appropriately recorded over time or at a point in time.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Arizona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share-related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99"/>
        </w:trPr>
        <w:tc>
          <w:tcPr>
            <w:tcW w:w="7480" w:type="dxa"/>
            <w:vAlign w:val="bottom"/>
            <w:tcBorders>
              <w:top w:val="single" w:sz="8" w:color="CCEEFF"/>
            </w:tcBorders>
            <w:shd w:val="clear" w:color="auto" w:fill="CCEEFF"/>
          </w:tcPr>
          <w:p>
            <w:pPr>
              <w:ind w:left="34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42,751</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112,596</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Contract assets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4,240</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88,273</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7,325</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Income tax receivable</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3,666</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258,851</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44,619</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25,349</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18,693</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6,787</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0" w:type="dxa"/>
            <w:vAlign w:val="bottom"/>
          </w:tcPr>
          <w:p>
            <w:pPr>
              <w:spacing w:after="0"/>
              <w:rPr>
                <w:sz w:val="1"/>
                <w:szCs w:val="1"/>
                <w:color w:val="auto"/>
              </w:rPr>
            </w:pPr>
          </w:p>
        </w:tc>
      </w:tr>
      <w:tr>
        <w:trPr>
          <w:trHeight w:val="234"/>
        </w:trPr>
        <w:tc>
          <w:tcPr>
            <w:tcW w:w="74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323,354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355,872</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19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72,031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57,033</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Lines of credit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compensation</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20,305</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sales discounts, rebates and royalties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5,796</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income taxes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21,181</w:t>
            </w:r>
          </w:p>
        </w:tc>
        <w:tc>
          <w:tcPr>
            <w:tcW w:w="0" w:type="dxa"/>
            <w:vAlign w:val="bottom"/>
          </w:tcPr>
          <w:p>
            <w:pPr>
              <w:spacing w:after="0"/>
              <w:rPr>
                <w:sz w:val="1"/>
                <w:szCs w:val="1"/>
                <w:color w:val="auto"/>
              </w:rPr>
            </w:pPr>
          </w:p>
        </w:tc>
      </w:tr>
      <w:tr>
        <w:trPr>
          <w:trHeight w:val="207"/>
        </w:trPr>
        <w:tc>
          <w:tcPr>
            <w:tcW w:w="74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158,291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161,148</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lease obligations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12,560</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tax payable</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0" w:type="dxa"/>
            <w:vAlign w:val="bottom"/>
          </w:tcPr>
          <w:p>
            <w:pPr>
              <w:spacing w:after="0"/>
              <w:rPr>
                <w:sz w:val="1"/>
                <w:szCs w:val="1"/>
                <w:color w:val="auto"/>
              </w:rPr>
            </w:pPr>
          </w:p>
        </w:tc>
      </w:tr>
      <w:tr>
        <w:trPr>
          <w:trHeight w:val="207"/>
        </w:trPr>
        <w:tc>
          <w:tcPr>
            <w:tcW w:w="74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170,249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176,952</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Preferred stock, $0.01 par value, 5,000,000 shares authorized; none issued or outstanding</w:t>
            </w: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48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Common stock, $0.01 par value, 50,000,000 shares authorized; 25,712,940 and 25,346,383 shares issued on</w:t>
            </w:r>
          </w:p>
        </w:tc>
        <w:tc>
          <w:tcPr>
            <w:tcW w:w="16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December 31, 2024 and 2023, respectively</w:t>
            </w:r>
          </w:p>
        </w:tc>
        <w:tc>
          <w:tcPr>
            <w:tcW w:w="16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Paid-in capital</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344,697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336,938</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Treasury stock, at cost, 12,666,443 and 12,459,845 shares on December 31, 2024 and 2023, respectively</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(371,930)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(369,973)</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(20,758)</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208,431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232,460</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153,105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178,920</w:t>
            </w:r>
          </w:p>
        </w:tc>
        <w:tc>
          <w:tcPr>
            <w:tcW w:w="0" w:type="dxa"/>
            <w:vAlign w:val="bottom"/>
          </w:tcPr>
          <w:p>
            <w:pPr>
              <w:spacing w:after="0"/>
              <w:rPr>
                <w:sz w:val="1"/>
                <w:szCs w:val="1"/>
                <w:color w:val="auto"/>
              </w:rPr>
            </w:pPr>
          </w:p>
        </w:tc>
      </w:tr>
      <w:tr>
        <w:trPr>
          <w:trHeight w:val="207"/>
        </w:trPr>
        <w:tc>
          <w:tcPr>
            <w:tcW w:w="74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323,354</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355,872</w:t>
            </w:r>
          </w:p>
        </w:tc>
        <w:tc>
          <w:tcPr>
            <w:tcW w:w="0" w:type="dxa"/>
            <w:vAlign w:val="bottom"/>
          </w:tcPr>
          <w:p>
            <w:pPr>
              <w:spacing w:after="0"/>
              <w:rPr>
                <w:sz w:val="1"/>
                <w:szCs w:val="1"/>
                <w:color w:val="auto"/>
              </w:rPr>
            </w:pPr>
          </w:p>
        </w:tc>
      </w:tr>
      <w:tr>
        <w:trPr>
          <w:trHeight w:val="23"/>
        </w:trPr>
        <w:tc>
          <w:tcPr>
            <w:tcW w:w="7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542,751</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390,459</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152,292</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105,292</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Factory restructuring charges (Note 13)</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judgment (Note 13)</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 impairment (Note 7)</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14,548</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10,986</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(98,238)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Shares used in computing earnings (loss) per share:</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12,703</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(7,663)</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(97,809)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(7,256)</w:t>
            </w:r>
          </w:p>
        </w:tc>
      </w:tr>
      <w:tr>
        <w:trPr>
          <w:trHeight w:val="21"/>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2"/>
                <w:szCs w:val="12"/>
                <w:color w:val="auto"/>
              </w:rPr>
            </w:pPr>
          </w:p>
        </w:tc>
        <w:tc>
          <w:tcPr>
            <w:tcW w:w="2060" w:type="dxa"/>
            <w:vAlign w:val="bottom"/>
            <w:gridSpan w:val="5"/>
          </w:tcPr>
          <w:p>
            <w:pPr>
              <w:ind w:left="5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40" w:type="dxa"/>
            <w:vAlign w:val="bottom"/>
            <w:gridSpan w:val="5"/>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100" w:type="dxa"/>
            <w:vAlign w:val="bottom"/>
          </w:tcPr>
          <w:p>
            <w:pPr>
              <w:spacing w:after="0"/>
              <w:rPr>
                <w:sz w:val="10"/>
                <w:szCs w:val="10"/>
                <w:color w:val="auto"/>
              </w:rPr>
            </w:pPr>
          </w:p>
        </w:tc>
        <w:tc>
          <w:tcPr>
            <w:tcW w:w="12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Issued</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40" w:type="dxa"/>
            <w:vAlign w:val="bottom"/>
            <w:gridSpan w:val="5"/>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in Treasury</w:t>
            </w:r>
          </w:p>
        </w:tc>
        <w:tc>
          <w:tcPr>
            <w:tcW w:w="180" w:type="dxa"/>
            <w:vAlign w:val="bottom"/>
          </w:tcPr>
          <w:p>
            <w:pPr>
              <w:spacing w:after="0"/>
              <w:rPr>
                <w:sz w:val="10"/>
                <w:szCs w:val="10"/>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0"/>
                <w:szCs w:val="10"/>
                <w:color w:val="auto"/>
              </w:rPr>
            </w:pPr>
          </w:p>
        </w:tc>
        <w:tc>
          <w:tcPr>
            <w:tcW w:w="9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0"/>
                <w:szCs w:val="10"/>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10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040" w:type="dxa"/>
            <w:vAlign w:val="bottom"/>
            <w:gridSpan w:val="3"/>
            <w:vMerge w:val="restart"/>
          </w:tcPr>
          <w:p>
            <w:pPr>
              <w:jc w:val="center"/>
              <w:ind w:right="60"/>
              <w:spacing w:after="0" w:line="122" w:lineRule="exact"/>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6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3100" w:type="dxa"/>
            <w:vAlign w:val="bottom"/>
          </w:tcPr>
          <w:p>
            <w:pPr>
              <w:spacing w:after="0"/>
              <w:rPr>
                <w:sz w:val="2"/>
                <w:szCs w:val="2"/>
                <w:color w:val="auto"/>
              </w:rPr>
            </w:pPr>
          </w:p>
        </w:tc>
        <w:tc>
          <w:tcPr>
            <w:tcW w:w="10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2"/>
                <w:szCs w:val="2"/>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2"/>
                <w:szCs w:val="2"/>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line="20" w:lineRule="exact"/>
              <w:rPr>
                <w:sz w:val="1"/>
                <w:szCs w:val="1"/>
                <w:color w:val="auto"/>
              </w:rPr>
            </w:pPr>
          </w:p>
        </w:tc>
      </w:tr>
      <w:tr>
        <w:trPr>
          <w:trHeight w:val="171"/>
        </w:trPr>
        <w:tc>
          <w:tcPr>
            <w:tcW w:w="3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2022</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24,679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(355,159)</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314,094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(13,524)</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330,291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275,949</w:t>
            </w:r>
          </w:p>
        </w:tc>
        <w:tc>
          <w:tcPr>
            <w:tcW w:w="0" w:type="dxa"/>
            <w:vAlign w:val="bottom"/>
          </w:tcPr>
          <w:p>
            <w:pPr>
              <w:spacing w:after="0"/>
              <w:rPr>
                <w:sz w:val="1"/>
                <w:szCs w:val="1"/>
                <w:color w:val="auto"/>
              </w:rPr>
            </w:pP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(7,663)</w:t>
            </w:r>
          </w:p>
        </w:tc>
        <w:tc>
          <w:tcPr>
            <w:tcW w:w="0" w:type="dxa"/>
            <w:vAlign w:val="bottom"/>
          </w:tcPr>
          <w:p>
            <w:pPr>
              <w:spacing w:after="0"/>
              <w:rPr>
                <w:sz w:val="1"/>
                <w:szCs w:val="1"/>
                <w:color w:val="auto"/>
              </w:rPr>
            </w:pPr>
          </w:p>
        </w:tc>
      </w:tr>
      <w:tr>
        <w:trPr>
          <w:trHeight w:val="139"/>
        </w:trPr>
        <w:tc>
          <w:tcPr>
            <w:tcW w:w="31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issued for employee benefit plan and</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0" w:type="dxa"/>
            <w:vAlign w:val="bottom"/>
          </w:tcPr>
          <w:p>
            <w:pPr>
              <w:spacing w:after="0"/>
              <w:rPr>
                <w:sz w:val="1"/>
                <w:szCs w:val="1"/>
                <w:color w:val="auto"/>
              </w:rPr>
            </w:pPr>
          </w:p>
        </w:tc>
      </w:tr>
      <w:tr>
        <w:trPr>
          <w:trHeight w:val="193"/>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treasury shares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(13,035)</w:t>
            </w:r>
          </w:p>
        </w:tc>
        <w:tc>
          <w:tcPr>
            <w:tcW w:w="0" w:type="dxa"/>
            <w:vAlign w:val="bottom"/>
          </w:tcPr>
          <w:p>
            <w:pPr>
              <w:spacing w:after="0"/>
              <w:rPr>
                <w:sz w:val="1"/>
                <w:szCs w:val="1"/>
                <w:color w:val="auto"/>
              </w:rPr>
            </w:pP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options exercised</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to directors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Employee and director stock-based compensation</w:t>
            </w: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10,013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10,013</w:t>
            </w: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(368,194)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326,839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330,698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268,406</w:t>
            </w:r>
          </w:p>
        </w:tc>
        <w:tc>
          <w:tcPr>
            <w:tcW w:w="0" w:type="dxa"/>
            <w:vAlign w:val="bottom"/>
          </w:tcPr>
          <w:p>
            <w:pPr>
              <w:spacing w:after="0"/>
              <w:rPr>
                <w:sz w:val="1"/>
                <w:szCs w:val="1"/>
                <w:color w:val="auto"/>
              </w:rPr>
            </w:pP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(98,238)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(98,238)</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0" w:type="dxa"/>
            <w:vAlign w:val="bottom"/>
          </w:tcPr>
          <w:p>
            <w:pPr>
              <w:spacing w:after="0"/>
              <w:rPr>
                <w:sz w:val="1"/>
                <w:szCs w:val="1"/>
                <w:color w:val="auto"/>
              </w:rPr>
            </w:pPr>
          </w:p>
        </w:tc>
      </w:tr>
      <w:tr>
        <w:trPr>
          <w:trHeight w:val="139"/>
        </w:trPr>
        <w:tc>
          <w:tcPr>
            <w:tcW w:w="31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issued for employee benefit plan and</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0" w:type="dxa"/>
            <w:vAlign w:val="bottom"/>
          </w:tcPr>
          <w:p>
            <w:pPr>
              <w:spacing w:after="0"/>
              <w:rPr>
                <w:sz w:val="1"/>
                <w:szCs w:val="1"/>
                <w:color w:val="auto"/>
              </w:rPr>
            </w:pPr>
          </w:p>
        </w:tc>
      </w:tr>
      <w:tr>
        <w:trPr>
          <w:trHeight w:val="193"/>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treasury shares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w:t>
            </w:r>
          </w:p>
        </w:tc>
        <w:tc>
          <w:tcPr>
            <w:tcW w:w="0" w:type="dxa"/>
            <w:vAlign w:val="bottom"/>
          </w:tcPr>
          <w:p>
            <w:pPr>
              <w:spacing w:after="0"/>
              <w:rPr>
                <w:sz w:val="1"/>
                <w:szCs w:val="1"/>
                <w:color w:val="auto"/>
              </w:rPr>
            </w:pP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to directors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and director stock-based compensation</w:t>
            </w:r>
          </w:p>
        </w:tc>
        <w:tc>
          <w:tcPr>
            <w:tcW w:w="9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8,809</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8,809</w:t>
            </w:r>
          </w:p>
        </w:tc>
        <w:tc>
          <w:tcPr>
            <w:tcW w:w="0" w:type="dxa"/>
            <w:vAlign w:val="bottom"/>
          </w:tcPr>
          <w:p>
            <w:pPr>
              <w:spacing w:after="0"/>
              <w:rPr>
                <w:sz w:val="1"/>
                <w:szCs w:val="1"/>
                <w:color w:val="auto"/>
              </w:rPr>
            </w:pPr>
          </w:p>
        </w:tc>
      </w:tr>
      <w:tr>
        <w:trPr>
          <w:trHeight w:val="189"/>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25,346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253</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(369,973)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336,938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(20,758)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232,460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178,920</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(24,029)</w:t>
            </w:r>
          </w:p>
        </w:tc>
        <w:tc>
          <w:tcPr>
            <w:tcW w:w="0" w:type="dxa"/>
            <w:vAlign w:val="bottom"/>
          </w:tcPr>
          <w:p>
            <w:pPr>
              <w:spacing w:after="0"/>
              <w:rPr>
                <w:sz w:val="1"/>
                <w:szCs w:val="1"/>
                <w:color w:val="auto"/>
              </w:rPr>
            </w:pP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(7,592)</w:t>
            </w:r>
          </w:p>
        </w:tc>
        <w:tc>
          <w:tcPr>
            <w:tcW w:w="0" w:type="dxa"/>
            <w:vAlign w:val="bottom"/>
          </w:tcPr>
          <w:p>
            <w:pPr>
              <w:spacing w:after="0"/>
              <w:rPr>
                <w:sz w:val="1"/>
                <w:szCs w:val="1"/>
                <w:color w:val="auto"/>
              </w:rPr>
            </w:pPr>
          </w:p>
        </w:tc>
      </w:tr>
      <w:tr>
        <w:trPr>
          <w:trHeight w:val="146"/>
        </w:trPr>
        <w:tc>
          <w:tcPr>
            <w:tcW w:w="31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Shares issued for employee benefit plan and</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0" w:type="dxa"/>
            <w:vAlign w:val="bottom"/>
          </w:tcPr>
          <w:p>
            <w:pPr>
              <w:spacing w:after="0"/>
              <w:rPr>
                <w:sz w:val="1"/>
                <w:szCs w:val="1"/>
                <w:color w:val="auto"/>
              </w:rPr>
            </w:pPr>
          </w:p>
        </w:tc>
      </w:tr>
      <w:tr>
        <w:trPr>
          <w:trHeight w:val="198"/>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9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treasury shares</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(1,957)</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to directors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Employee and director stock-based compensation</w:t>
            </w: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6,700</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6,700</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25,713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257</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(371,930)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344,697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(28,350)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208,431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153,105</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900" w:type="dxa"/>
            <w:vAlign w:val="bottom"/>
            <w:gridSpan w:val="5"/>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Pr>
          <w:p>
            <w:pPr>
              <w:spacing w:after="0"/>
              <w:rPr>
                <w:sz w:val="16"/>
                <w:szCs w:val="16"/>
                <w:color w:val="auto"/>
              </w:rPr>
            </w:pPr>
          </w:p>
        </w:tc>
      </w:tr>
      <w:tr>
        <w:trPr>
          <w:trHeight w:val="23"/>
        </w:trPr>
        <w:tc>
          <w:tcPr>
            <w:tcW w:w="6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69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(24,029)</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(98,238)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175"/>
        </w:trPr>
        <w:tc>
          <w:tcPr>
            <w:tcW w:w="69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 (used for) operating</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activities: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29"/>
        </w:trPr>
        <w:tc>
          <w:tcPr>
            <w:tcW w:w="6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24,033</w:t>
            </w:r>
          </w:p>
        </w:tc>
      </w:tr>
      <w:tr>
        <w:trPr>
          <w:trHeight w:val="230"/>
        </w:trPr>
        <w:tc>
          <w:tcPr>
            <w:tcW w:w="6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29"/>
        </w:trPr>
        <w:tc>
          <w:tcPr>
            <w:tcW w:w="6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r>
      <w:tr>
        <w:trPr>
          <w:trHeight w:val="230"/>
        </w:trPr>
        <w:tc>
          <w:tcPr>
            <w:tcW w:w="6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Shares issued for employee benefit plan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r>
      <w:tr>
        <w:trPr>
          <w:trHeight w:val="229"/>
        </w:trPr>
        <w:tc>
          <w:tcPr>
            <w:tcW w:w="6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Employee and director stock-based compensation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10,013</w:t>
            </w:r>
          </w:p>
        </w:tc>
      </w:tr>
      <w:tr>
        <w:trPr>
          <w:trHeight w:val="229"/>
        </w:trPr>
        <w:tc>
          <w:tcPr>
            <w:tcW w:w="6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Impairment of goodwill</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r>
      <w:tr>
        <w:trPr>
          <w:trHeight w:val="229"/>
        </w:trPr>
        <w:tc>
          <w:tcPr>
            <w:tcW w:w="6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6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Accounts receivable and contract assets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12,765</w:t>
            </w:r>
          </w:p>
        </w:tc>
      </w:tr>
      <w:tr>
        <w:trPr>
          <w:trHeight w:val="230"/>
        </w:trPr>
        <w:tc>
          <w:tcPr>
            <w:tcW w:w="69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(9,913)</w:t>
            </w:r>
          </w:p>
        </w:tc>
      </w:tr>
      <w:tr>
        <w:trPr>
          <w:trHeight w:val="229"/>
        </w:trPr>
        <w:tc>
          <w:tcPr>
            <w:tcW w:w="6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r>
      <w:tr>
        <w:trPr>
          <w:trHeight w:val="230"/>
        </w:trPr>
        <w:tc>
          <w:tcPr>
            <w:tcW w:w="69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(28,670)</w:t>
            </w:r>
          </w:p>
        </w:tc>
      </w:tr>
      <w:tr>
        <w:trPr>
          <w:trHeight w:val="229"/>
        </w:trPr>
        <w:tc>
          <w:tcPr>
            <w:tcW w:w="694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Accrued income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w:t>
            </w:r>
          </w:p>
        </w:tc>
      </w:tr>
      <w:tr>
        <w:trPr>
          <w:trHeight w:val="223"/>
        </w:trPr>
        <w:tc>
          <w:tcPr>
            <w:tcW w:w="6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(used for) operating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10,926</w:t>
            </w: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term deposit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(7,487)</w:t>
            </w:r>
          </w:p>
        </w:tc>
      </w:tr>
      <w:tr>
        <w:trPr>
          <w:trHeight w:val="230"/>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Redemption of term deposit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7,803</w:t>
            </w:r>
          </w:p>
        </w:tc>
      </w:tr>
      <w:tr>
        <w:trPr>
          <w:trHeight w:val="22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the net assets of Qterics, Inc.</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r>
      <w:tr>
        <w:trPr>
          <w:trHeight w:val="230"/>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 of property, plant and equipment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(14,006)</w:t>
            </w:r>
          </w:p>
        </w:tc>
      </w:tr>
      <w:tr>
        <w:trPr>
          <w:trHeight w:val="230"/>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 of intangible assets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w:t>
            </w:r>
          </w:p>
        </w:tc>
      </w:tr>
      <w:tr>
        <w:trPr>
          <w:trHeight w:val="223"/>
        </w:trPr>
        <w:tc>
          <w:tcPr>
            <w:tcW w:w="6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(used for) investing activities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(21,208)</w:t>
            </w: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Borrowings under lines of credit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133,000</w:t>
            </w:r>
          </w:p>
        </w:tc>
      </w:tr>
      <w:tr>
        <w:trPr>
          <w:trHeight w:val="230"/>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on lines of credit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(101,000)</w:t>
            </w:r>
          </w:p>
        </w:tc>
      </w:tr>
      <w:tr>
        <w:trPr>
          <w:trHeight w:val="230"/>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stock options exercised</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r>
      <w:tr>
        <w:trPr>
          <w:trHeight w:val="230"/>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purchased</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(13,035)</w:t>
            </w:r>
          </w:p>
        </w:tc>
      </w:tr>
      <w:tr>
        <w:trPr>
          <w:trHeight w:val="223"/>
        </w:trPr>
        <w:tc>
          <w:tcPr>
            <w:tcW w:w="6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(used for) financing activities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20,501</w:t>
            </w: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w:t>
            </w: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60,813</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42,751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66,740</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4"/>
        </w:trPr>
        <w:tc>
          <w:tcPr>
            <w:tcW w:w="6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w:t>
            </w:r>
          </w:p>
        </w:tc>
      </w:tr>
      <w:tr>
        <w:trPr>
          <w:trHeight w:val="234"/>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w:t>
            </w: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Universal Electronics Inc. ("UEI"), based in Scottsdale, Arizona, is a global leader in universal wireless control solutions for the home. We design, develop, manufacture, ship and support home entertainment control products, technology and software solutions, climate control solutions, wireless sensor and smart home control products and audio-video ("AV") accessories that are used by the world's leading brands in the home entertainment, climate control, consumer electronics, security, home automation and home appliance markets. In addition, over the past 38 years, we have developed a broad portfolio of patented technologies and cloud-based connectivity and control software solutions that we license to our customers, including many leading Fortune 500 companies.</w:t>
      </w:r>
    </w:p>
    <w:p>
      <w:pPr>
        <w:spacing w:after="0" w:line="2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Distribution methods for our control solutions vary depending on the sales channel. We distribute remote control devices, connected thermostats, integrated circuits ("ICs"), smart home automation and security sensors and AV accessories directly to video and security service providers and original equipment manufacturers ("OEMs"), both domestically and internationally. We distribute connected and smart thermostats and home security sensors to pro-security installers and hospitality system integrators in the United States and Europe through a network of national and regional distributors and dealers. Additionally, we sell our wireless control devices and AV accessories under the One For All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Ecolink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private label brand names to retailers in key markets, such as in the United States, United Kingdom, Germany, France and Spain. We utilize third-party distributors for the retail channel in countries where we do not have subsidiaries.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 the terms "we", "us" and "our" refer to Universal Electronics Inc. and its subsidiaries unless the context indicates the contrary.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our accounts and those of our wholly-owned subsidiaries. All intercompany accounts and transactions have been eliminated in the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Reportable Segment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Chief Executive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Estimates and Assumptions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("U.S. GAAP")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 for credit losses, inventory valuation, impairment of long-lived assets, intangible assets and goodwill, business combinations, income taxes and related valuation allowances and stock-based compensation expense. Actual results may differ from these assumptions and estimates, and they may be adjusted as more information becomes available. Any adjustment may be material.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is recognized when control of a good or service is transferred to a customer. Control is considered to be transferred when the customer has the ability to direct the use of and obtain substantially all of the remaining benefits of that good or service. Revenues are generated from manufacturing, shipping and supporting home entertainment products, climate control solutions, wireless sensor and smart home control products and AV accessories that are used in the home entertainment, climate</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control, consumer electronics, security, home automation and home appliance markets, which are sold through multiple channels, and licensing intellectual property that is embedded in these products or licensed to others for use in their products. We also generate revenues from a cloud-based software solution enabling software updates, digital rights management provisioning and remote technical support to consumer electronics customers.</w:t>
      </w:r>
    </w:p>
    <w:p>
      <w:pPr>
        <w:spacing w:after="0" w:line="201" w:lineRule="exact"/>
        <w:rPr>
          <w:sz w:val="20"/>
          <w:szCs w:val="20"/>
          <w:color w:val="auto"/>
        </w:rPr>
      </w:pPr>
    </w:p>
    <w:p>
      <w:pPr>
        <w:jc w:val="both"/>
        <w:ind w:firstLine="19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 Product revenue is generated through manufacturing, shipping and supporting our products, as described above. Our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satisfied over time or at a point in time, depending on the nature of the product. Our contracts have an anticipated duration of less than a year and consideration may be variable based on indeterminate volumes.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over time when our performance creates an asset with no alternative use to us (custom products) and we have an enforceable right to payment for performance completed to date, including a reasonable margin, through a contractual commitment from the customer. Custom products are those products for which we are unable to redirect the asset to another customer in the foreseeable future without significant rework or due to contract restrictions. The method for measuring progress towards satisfying a performance obligation for a custom product is based on the costs incurred to date (input method). We believe that the costs associated with production are most closely aligned with the revenue associated with those products.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revenue at a point in time if the criteria for recognizing revenue over time are not met, the title of the goods has transferred (based upon the terms of the contract, which can be upon shipment or delivery) and we have a present right to payment.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unit prices are generally fixed, we have variable consideration for certain of our customers, typically in the form of discounts and rebates based on product volumes and indeterminate volumes themselves. We utilize the most likely amount to estimate the effect of uncertainty on the amount of variable consideration to which we would be entitled. The most likely amount method considers the single most likely amount from a range of possible consideration amounts which, for us, is typically based on historical experience and our expectations regarding future sales to our customers. Accruals for discounts and rebates are recorded as a reduction to sales in the same period as the related revenue. We have concluded that our estimates of variable consideration are not constrained according to the definition within the accounting standard. Changes in such accruals may be required if future rebates and incentives differ from our estimates. Such discounts were $12.3 million, $10.5 million and $12.2 million at December 31, 2024, 2023 and 2022, respectively.</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allow product returns of certain products sold to business-to-consumer customers based upon contract terms. A provision is recorded for estimated sales returns and allowances and is deducted from gross sales to arrive at net sales in the period the related revenue is recorded. These estimates are based on historical sales returns and allowances, analysis of credit memo data and other known factors. Actual returns and claims in any future period are inherently uncertain and thus may differ from our estimates. If actual or expected future returns and claims are significantly greater or lower than the reserves that we have established, we will record a reduction or increase to net sales in the period in which we make such a determination.</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license our symbolic intellectual property which includes our patented technologies and database of control codes. Royalty revenue is recognized for these licensing arrangements on an over time basis. We record license revenue for per-unit based licenses when our customers manufacture or ship a product incorporating our intellectual property and we have a present right to payment. We record per-unit-based licenses with minimum guarantees ratably over the license period to which the minimum guarantee relates and any per-unit sales in excess of the minimum guarantee in the period in which the sale occurs. We record licenses with fixed consideration ratably over the license period. Tiered royalties are recorded on a straight-line basis according to the forecasted per-unit fees taking into account the pricing tiers.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service revenues related to our cloud-based software solution on an over-time basis, as our customers simultaneously receive and consume the benefits provided by our performance. Revenues are recognized over the period during which the performance obligations are satisfied, and control of the service is transferred to the customers.</w:t>
      </w:r>
    </w:p>
    <w:p>
      <w:pPr>
        <w:spacing w:after="0" w:line="201" w:lineRule="exact"/>
        <w:rPr>
          <w:sz w:val="20"/>
          <w:szCs w:val="20"/>
          <w:color w:val="auto"/>
        </w:rPr>
      </w:pPr>
    </w:p>
    <w:p>
      <w:pPr>
        <w:jc w:val="both"/>
        <w:ind w:right="20" w:firstLine="22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Contract assets </w:t>
      </w:r>
      <w:r>
        <w:rPr>
          <w:rFonts w:ascii="Times New Roman" w:cs="Times New Roman" w:eastAsia="Times New Roman" w:hAnsi="Times New Roman"/>
          <w:sz w:val="18"/>
          <w:szCs w:val="18"/>
          <w:color w:val="auto"/>
        </w:rPr>
        <w:t>- Contract assets represent the value of revenue recognized over time for which we have not yet invoiced the customer. Generally,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invoice the customer within 90 days of revenue recognition.</w:t>
      </w:r>
    </w:p>
    <w:p>
      <w:pPr>
        <w:spacing w:after="0" w:line="185" w:lineRule="exact"/>
        <w:rPr>
          <w:sz w:val="20"/>
          <w:szCs w:val="20"/>
          <w:color w:val="auto"/>
        </w:rPr>
      </w:pPr>
    </w:p>
    <w:p>
      <w:pPr>
        <w:jc w:val="both"/>
        <w:ind w:firstLine="19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Contract liabilities </w:t>
      </w:r>
      <w:r>
        <w:rPr>
          <w:rFonts w:ascii="Times New Roman" w:cs="Times New Roman" w:eastAsia="Times New Roman" w:hAnsi="Times New Roman"/>
          <w:sz w:val="18"/>
          <w:szCs w:val="18"/>
          <w:color w:val="auto"/>
        </w:rPr>
        <w:t>- A contract liability is recorded when consideration is received from a customer prior to fully satisfying a performance obligation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contract. Our contract liabilities primarily consist of cash received in advance of providing our cloud-based software services. These contract liabilities will be recognized as revenues when control of the related product or service is transferred to the customer. See Note 4 for further information concerning contract liabilities.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20" w:firstLine="20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sales-related matters - </w:t>
      </w:r>
      <w:r>
        <w:rPr>
          <w:rFonts w:ascii="Times New Roman" w:cs="Times New Roman" w:eastAsia="Times New Roman" w:hAnsi="Times New Roman"/>
          <w:sz w:val="18"/>
          <w:szCs w:val="18"/>
          <w:color w:val="auto"/>
        </w:rPr>
        <w:t>Trade receivables are recorded at the invoiced amount and do not bear interest. Payment terms typically range from 30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120 days, are typically on open credit terms consistent with industry practice and do not have significant financing components.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our customers an assurance-type warranty, generally for periods of 12 to 36 months. Assurance-type warranties are not considered a performance obligation. A provision is recorded for estimated product warranty claim costs and is included in cost of sales. Estimates are based on analysis of product warranty claims and other known factors. Actual product warranty claim costs are inherently uncertain and thus may differ from our estimates. If actual product warranty claims costs are greater or lower than the reserves that we have established, we will record an increase or reduction to cost of sales in the period in which we make such determination.</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present all non-income government-assessed taxes (sales, use and value added taxes) collected from our customers and remitted to governmental agencies on a net basis (excluded from revenue) in our financial statements. The government-assessed taxes are recorded in our consolidated balance sheets until they are remitted to the government agency.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4 and 13 for further information concerning revenue, contract assets, contract liabilities and other sales-related matters.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provide for income taxes utilizing the asset and liability approach of accounting for income taxes. Under this approach, deferred taxes represent the future tax consequences expected to occur when the reported amounts of assets and liabilities are recovered or paid. Deferred taxes are presented net as non-current by jurisdiction. The provision for income taxes generally represents income taxes paid or payable for the current year plus the change in deferred taxes during the year. Deferred taxes result from the differences between the financial and tax bases of our assets and liabilities and are adjusted for changes in tax rates and tax laws when changes are enacted. Valuation allowances are recorded to reduce deferred tax assets when a judgment is made that is considered more likely than not that a tax benefit will not be realized. A decision to record a valuation allowance results in an increase in income tax expense or a decrease in income tax benefit. If the valuation allowance is released in a future period, income tax expense will be reduced accordingly.</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calculation of tax liabilities involves dealing with uncertainties in the application of complex global tax regulations. The impact of an uncertain income tax position is recognized at the largest amount that is more likely than not to be sustained upon audit by the relevant taxing authority. An uncertain income tax position will not be recognized if it has less than a 50% likelihood of being sustained. If the estimate of tax liabilities proves to be less than the ultimate assessment, a further charge to expense would result.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on a jurisdiction-by-jurisdiction basis, that some portion or all of the deferred tax assets will be realized. The ultimate realization of deferred tax assets is dependent upon the generation of future taxable income during the periods in which those temporary differences become deductible. We continue to assess the need for a valuation allowance on deferred tax assets by evaluating both positive and negative evidence that may exist. Any adjustment to the net deferred tax asset valuation allowance would be recorded in the income statement for the period that the adjustment is determined to be required.</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 Cuts and Jobs Act (the "Tax Act") subjects a U.S. shareholder to tax on Global Intangible Low-Taxed Income ("GILTI") earned by certain foreign subsidiaries. We have elected to account for GILTI in the year the tax is incurred as a period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for further information concerning income taxes.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("R&amp;D") costs are expensed as incurred and consist primarily of salaries, employee benefits, supplies and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expense totaled $0.7 million, $0.6 million and $0.5 million for the years ended December 31, 2024, 2023 and 2022,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 Fees and Costs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include shipping and handling fees billed to customers in net sales. Shipping and handling costs associated with in-bound freight or amounts reimbursable by customers are recorded in cost of sales. All other shipping and handling activities performed prior to or after the customer obtains control of a good are treated as part of fulfilling the promise of transferring the good to the customer and are including in selling, general and administrative ("SG&amp;A") expenses. These costs recorded in SG&amp;A expenses totaled $8.6 million, $8.3 million and $10.8 million for the years ended December 31, 2024, 2023 and 2022,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the grant date fair value of stock-based compensation awards as expense in proportion to vesting during the derived service period, which ranges from one to three years. Forfeitures of stock-based awards are accounted for as they occur. Upon the vesting of restricted stock awards, the vesting of performance stock awards or exercise of stock options, newly issued shares of our common stock are issued. Our stock-based compensation awards are made at the discretion of the Compensation Committee and are not timed or coordinated with the release of material, non-public information.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determine the fair value of restricted stock awards with a service condition utilizing the average of the high and low trading prices of our common shares on the date they were granted.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performance stock awards with a service and market condition is determined utilizing a Monte Carlo simulation model as of the grant date. The assumptions utilized in a Monte Carlo simulation model include the risk-free interest rate, expected volatility, term of the award and dividend yield. The risk-free interest rate over the expected term is equal to the prevailing U.S. Treasury note rate over the same period. Expected volatility is determined utilizing historical volatility. The dividend yield is assumed to be zero since we have not historically declared dividends and do not have any plans to declare dividends in the future.</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stock options awards is determined utilizing the Black-Scholes option pricing model. The assumptions utilized in the Black-Scholes model include the risk-free interest rate, expected volatility, expected life in years and dividend yield. The risk-free interest rate over the expected term is equal to the prevailing U.S. Treasury note rate over the same period. Expected volatility is determined utilizing historical volatility over a period of time equal to the expected life of the stock option. Expected life is computed utilizing historical exercise patterns and post-vesting behavior. The dividend yield is assumed to be zero since we have not historically declared dividends and do not have any plans to declare dividends in the future. See Note 15 for further information regarding stock-based compensation.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Common Stock Warrants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measurement date for performance-based common stock warrants is the date on which the warrants vest. We recognize the fair value of performance-based common stock warrants as a reduction to net sales ratably as the warrants vest based on the projected number of warrants that will vest, the proportion of the performance criteria achieved by the customer within the period relative to the total performance required (aggregate purchase levels) for the warrants to vest and the fair value of the related unvested warrants. If we do not have a reliable forecast of future purchases to be made by the customer by which to estimate the number of warrants that will vest, then the maximum number of potential warrants is assumed until such time that a reliable forecast of future purchases is available. To the extent that our projections change in the future as to the number of warrants that will vest, a cumulative catch-up adjustment will be recorded in the period in which our estimates change. On January 1, 2023, all 275,000 of the vested and outstanding warrants expired unexercised.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 and Foreign Currency Transactions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the U.S. Dollar as our functional currency for financial reporting purposes. The functional currency for most of our foreign subsidiaries is their local currency. The translation of foreign currencies into U.S. Dollars is performed for balance sheet accounts using exchange rates in effect at the balance sheet dates and for revenue and expense accounts using the average</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exchange rate during each period. The gains and losses resulting from the translation are included in the foreign currency translation adjustment account, a component of accumulated other comprehensive income in stockholders' equity, and are excluded from net income. The portions of intercompany accounts receivable and accounts payable that are intended for settlement are translated at exchange rates in effect at the balance sheet date. Our intercompany foreign investments and long-term debt that are not intended for settlement are translated using historical exchange rates.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 gains and losses generated by the effect of changes in foreign currency exchange rates on recorded assets and liabilities denominated in a currency different than the functional currency of the applicable entity are recorded in other income (expense), net. See Note 16 for further information concerning transaction gains and losses.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(Loss) Per Share</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available to common stockholders by the weighted average number of common shares outstanding during the period. Diluted earnings per share is computed by dividing net income by the weighted average number of common shares and dilutive potential common shares, including the dilutive effect of restricted stock, performance stock, stock options and common stock warrants, outstanding during the period. Dilutive potential common shares for all periods presented are computed utilizing the treasury stock method; however, dilutive potential common shares are excluded where their inclusion would be anti-dilutive. See Note 17 for further information concerning our earnings (loss) per share.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financial instruments consist primarily of cash and cash equivalents, term deposit, accounts receivable, accounts payable, accrued liabilities, debt and derivatives. The carrying value of our financial instruments, excluding derivatives, approximates fair value as a result of their short maturities. Our derivatives are carried at fair value. See Notes 3, 4, 9, 11, 12 and 18 for further information concerning our financial instruments.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Term Deposit</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and cash equivalents include cash accounts and all investments purchased with initial maturities of three months or less. Our term deposit, entered into on January 24, 2022, had an initial maturity of one year, but was redeemed prior to December 31, 2022. Domestically, we generally maintain balances in excess of federally insured limits. We attempt to mitigate our exposure to liquidity, credit and other relevant risks by placing our cash, cash equivalents and term deposit with financial institutions we believe are high quality. These financial institutions are located in many different geographic regions. As part of our cash and risk management processes, we perform periodic evaluations of the relative credit standing of our financial institutions. We have not sustained credit losses from instruments held at financial institutions. See Note 3 for further information concerning cash, cash equivalents and term deposit.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an allowance for credit losses for estimated losses on our trade receivables, resulting from the inability of our customers to make payments for products sold or services rendered. The allowance for credit losses is based on a variety of factors, including credit reviews, historical experience, length of time receivables are past due, current economic trends and changes in customer payment behavior.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record specific provisions for individual accounts when we become aware of a customer's inability to meet its financial obligations to us, such as in the case of bankruptcy filings or deterioration in the customer's operating results or financial position. If circumstances related to a customer change, our estimates of the recoverability of the receivables would be further adjusted. See Note 4 for further information concerning our allowance for credit losses.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consist of remote controls, thermostats, wireless sensors and AV accessories, as well as the related component parts and raw materials. Inventoriable costs include materials, labor, freight-in and manufacturing overhead related to the purchase and production of inventories. We value our inventories at the lower of cost or net realizable value. Cost is determined using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first-in, first-out method. We attempt to carry inventories in amounts necessary to satisfy our customer requirements on a timely basis. See Note 5 for further information concerning our inventories and suppliers.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innovations and technological advances may shorten a given product's life cycle. We continually monitor our inventories to identify any excess or obsolete items on hand. We write down our inventories for estimated excess and obsolescence in an amount equal to the difference between the cost of the inventories and estimated net realizable value. These estimates are based upon management's judgment about future demand and market conditions.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recorded at cost. The cost of property, plant, and equipment includes the purchase price of the asset and all expenditures necessary to prepare the asset for its intended use. We capitalize additions and improvements and expense maintenance and repairs as incurred.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capitalize certain internal and external costs incurred to acquire or create internal use software, principally related to software coding, designing system interfaces and installation and testing of the software.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financial reporting purposes, depreciation is calculated using the straight-line method over the estimated useful lives of the respective assets. When assets are retired or otherwise disposed of, the cost and accumulated depreciation are removed from the appropriate accounts and any gain or loss is included as a component of depreciation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Estimated useful lives are as follows:</w:t>
            </w:r>
          </w:p>
        </w:tc>
        <w:tc>
          <w:tcPr>
            <w:tcW w:w="4780" w:type="dxa"/>
            <w:vAlign w:val="bottom"/>
          </w:tcPr>
          <w:p>
            <w:pPr>
              <w:spacing w:after="0"/>
              <w:rPr>
                <w:sz w:val="20"/>
                <w:szCs w:val="20"/>
                <w:color w:val="auto"/>
              </w:rPr>
            </w:pPr>
          </w:p>
        </w:tc>
      </w:tr>
      <w:tr>
        <w:trPr>
          <w:trHeight w:val="27"/>
        </w:trPr>
        <w:tc>
          <w:tcPr>
            <w:tcW w:w="644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4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25 years</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Tooling and equipment</w:t>
            </w:r>
          </w:p>
        </w:tc>
        <w:tc>
          <w:tcPr>
            <w:tcW w:w="4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2-8 years</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4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3-5 years</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4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3-7 years</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2-5 years</w:t>
            </w:r>
          </w:p>
        </w:tc>
      </w:tr>
      <w:tr>
        <w:trPr>
          <w:trHeight w:val="175"/>
        </w:trPr>
        <w:tc>
          <w:tcPr>
            <w:tcW w:w="6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Leasehold and building improvements</w:t>
            </w:r>
          </w:p>
        </w:tc>
        <w:tc>
          <w:tcPr>
            <w:tcW w:w="4780" w:type="dxa"/>
            <w:vAlign w:val="bottom"/>
          </w:tcPr>
          <w:p>
            <w:pPr>
              <w:ind w:left="540"/>
              <w:spacing w:after="0" w:line="176" w:lineRule="exact"/>
              <w:rPr>
                <w:sz w:val="20"/>
                <w:szCs w:val="20"/>
                <w:color w:val="auto"/>
              </w:rPr>
            </w:pPr>
            <w:r>
              <w:rPr>
                <w:rFonts w:ascii="Times New Roman" w:cs="Times New Roman" w:eastAsia="Times New Roman" w:hAnsi="Times New Roman"/>
                <w:sz w:val="18"/>
                <w:szCs w:val="18"/>
                <w:color w:val="auto"/>
              </w:rPr>
              <w:t>Lesser of lease term or useful life</w:t>
            </w:r>
          </w:p>
        </w:tc>
      </w:tr>
      <w:tr>
        <w:trPr>
          <w:trHeight w:val="234"/>
        </w:trPr>
        <w:tc>
          <w:tcPr>
            <w:tcW w:w="6440" w:type="dxa"/>
            <w:vAlign w:val="bottom"/>
          </w:tcPr>
          <w:p>
            <w:pPr>
              <w:spacing w:after="0"/>
              <w:rPr>
                <w:sz w:val="20"/>
                <w:szCs w:val="20"/>
                <w:color w:val="auto"/>
              </w:rPr>
            </w:pPr>
          </w:p>
        </w:tc>
        <w:tc>
          <w:tcPr>
            <w:tcW w:w="4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(approximately 2-8 years)</w:t>
            </w:r>
          </w:p>
        </w:tc>
      </w:tr>
      <w:tr>
        <w:trPr>
          <w:trHeight w:val="562"/>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See Note 6 for further information concerning our property, plant, and equipment.</w:t>
            </w:r>
          </w:p>
        </w:tc>
        <w:tc>
          <w:tcPr>
            <w:tcW w:w="4780" w:type="dxa"/>
            <w:vAlign w:val="bottom"/>
          </w:tcPr>
          <w:p>
            <w:pPr>
              <w:spacing w:after="0"/>
              <w:rPr>
                <w:sz w:val="24"/>
                <w:szCs w:val="24"/>
                <w:color w:val="auto"/>
              </w:rPr>
            </w:pPr>
          </w:p>
        </w:tc>
      </w:tr>
      <w:tr>
        <w:trPr>
          <w:trHeight w:val="459"/>
        </w:trPr>
        <w:tc>
          <w:tcPr>
            <w:tcW w:w="6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4780" w:type="dxa"/>
            <w:vAlign w:val="bottom"/>
          </w:tcPr>
          <w:p>
            <w:pPr>
              <w:spacing w:after="0"/>
              <w:rPr>
                <w:sz w:val="24"/>
                <w:szCs w:val="24"/>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 the excess purchase price of net tangible and intangible assets acquired over their estimated fair value as goodwill. We evaluate the carrying value of goodwill on December 31 of each year and between annual evaluations if events occur or circumstances change that may reduce the fair value of the reporting unit below its carrying amount. Such circumstances may include, but are not limited to: (1) a significant adverse change in legal factors or in business climate, (2) a decline in macroeconomic conditions, (3) a significant decline in our financial performance or (4) a significant decline in the price of our common stock for a sustained period of time.</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perform our annual impairment test, and any required interim tests, using the optional qualitative assessment, weighing the relative impact of factors that are specific to our single reporting unit including our market capitalization compared to the carrying value of our stockholders' equity, as well as industry and macroeconomic factors. Based on the qualitative assessment performed, we consider the aggregation of the relevant factors, and conclude whether it is more likely than not that the fair value of our single reporting unit is less than the carrying value. If we conclude that it is more likely than not that the fair value of our single reporting unit is less than the carrying value, or if we decide not to elect the optional qualitative assessment, we perform a quantitative impairment test, using cash flow projections, discounted by our weighted-average cost of capital. In addition to any quantitative impairment analysis, we also consider the implied control premium compared to our market capitalization.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for further information concerning goodwill and goodwill impairment.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consist of capitalized software development costs, customer relationships, developed and core technologies, patents and trademarks and trade names. Capitalized amounts related to patents represent external legal costs for the application, maintenance and extension of the useful life of patents. Intangible assets are amortized using the straight-line method over their estimated period of benefit.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Estimated useful lives are as follows:</w:t>
            </w:r>
          </w:p>
        </w:tc>
        <w:tc>
          <w:tcPr>
            <w:tcW w:w="5440" w:type="dxa"/>
            <w:vAlign w:val="bottom"/>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5440" w:type="dxa"/>
            <w:vAlign w:val="bottom"/>
          </w:tcPr>
          <w:p>
            <w:pPr>
              <w:spacing w:after="0"/>
              <w:rPr>
                <w:sz w:val="2"/>
                <w:szCs w:val="2"/>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w:t>
            </w:r>
          </w:p>
        </w:tc>
        <w:tc>
          <w:tcPr>
            <w:tcW w:w="54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2 years</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4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6-10 years</w:t>
            </w: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and core technology</w:t>
            </w:r>
          </w:p>
        </w:tc>
        <w:tc>
          <w:tcPr>
            <w:tcW w:w="54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6-14 years</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54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10 years</w:t>
            </w: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54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6-8 years</w:t>
            </w:r>
          </w:p>
        </w:tc>
      </w:tr>
      <w:tr>
        <w:trPr>
          <w:trHeight w:val="55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See Note 7 for further information concerning intangible assets.</w:t>
            </w:r>
          </w:p>
        </w:tc>
        <w:tc>
          <w:tcPr>
            <w:tcW w:w="5440" w:type="dxa"/>
            <w:vAlign w:val="bottom"/>
          </w:tcPr>
          <w:p>
            <w:pPr>
              <w:spacing w:after="0"/>
              <w:rPr>
                <w:sz w:val="24"/>
                <w:szCs w:val="24"/>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and Intangible Assets Impairment</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assess the impairment of long-lived and intangible assets whenever events or changes in circumstances indicate that the carrying value may not be recoverable. Factors considered important which may trigger an impairment review may include the following, but are not limited to: (1) significant underperformance relative to historical or projected future operating results; (2) significant changes in the manner or use of the assets, their physical condition or strategy for the overall business; (3) significant negative industry or economic trends; (4) a current expectation that a long-lived asset will be sold or otherwise disposed of significantly before the end of its previously estimated useful life; or (5) a significant decline in our stock price for a sustained period.</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conduct an impairment review when we determine that the carrying value of a long-lived or intangible asset may not be recoverable based upon the existence of one or more of the above indicators of impairment. The asset is impaired if its carrying value exceeds the sum of the undiscounted cash flows expected to result from the use and eventual disposition of the asset.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impairment loss is the amount by which the carrying value of an asset exceeds its fair value. We estimate fair value utilizing the projected discounted cash flow method and a discount rate determined by our management to be commensurate with the risk inherent in our current business model.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6 for further information concerning long-lived assets. See Note 7 for further information concerning intangible assets.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determine if an arrangement is a lease at inception and determine the classification of the lease, as either operating or finance, at commencement. Operating leases are included in operating lease right-of-use ("ROU") assets, other accrued liabilities and long-term operating lease obligations on our consolidated balance sheets. We presently do not have any finance leases.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Operating lease ROU assets and liabilities are recognized at the commencement date of the lease based on the present value of lease payments over the lease term. As most of our leases do not provide an implicit rate, we use our incremental borrowing rate based on the information available at the commencement date, including the lease term, in determining the present value of lease payments. Operating lease ROU assets also factor in any lease payments made, initial direct costs and lease incentives received. Our lease terms may include options to extend or terminate the lease when it is reasonably certain that we will exercise that option. Some of our leases include options to extend with a range of three years to five years with two extensions at the then current market rate. Lease expense for lease payments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Leases with an initial term of twelve months or less are not recorded on the balance sheet and are recognized on a straight-line basis over the lease term. If applicable, we combine lease and non-lease components, which primarily relate to ancillary expenses associated with real estate leases such as common area maintenance charges and management fees.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for further information concerning our leases.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foreign currency exposures are primarily concentrated in the Brazilian Real, British Pound, Chinese Yuan Renminbi, Euro, Hong Kong Dollar, Indian Rupee, Japanese Yen, Korean Won, Mexican Peso and Vietnamese Dong.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We do not enter into financial instruments for speculation or trading purposes.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derivatives we enter into have not qualified for hedge accounting. The gains and losses on both the derivatives and the foreign currency-denominated balances are recorded as foreign exchange transaction gains or losses and are classified in other income (expense), net. The gains and losses on the derivatives are reflected in cash provided by (used for) operating activities in our consolidated statements of cash flows. Derivatives are recorded on the balance sheet at fair value. The estimated fair value of derivative financial instruments represents the amount required to enter into similar offsetting contracts with similar remaining maturities based on quoted market prices. See Note 18 for further information concerning derivatives.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Fair-Value Measurements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measure fair value using the framework established by the Financial Accounting Standards Board ("FASB") in ASC Topic 820 for fair value measurements and disclosures. This framework requires fair value to be determined based on the exchange price that would be received for an asset or paid to transfer a liability (an exit price) in the principal or most advantageous market for the asset or liability in an orderly transaction between market participants.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valuation techniques are based upon observable and unobservable inputs. Observable or market inputs reflect market data obtained from independent sources. Unobservable inputs require management to make certain assumptions and judgments based on the best information available. Observable inputs are the preferred data source. These two types of inputs result in the following fair value hierarchy:</w:t>
      </w:r>
    </w:p>
    <w:p>
      <w:pPr>
        <w:spacing w:after="0" w:line="243"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Quoted prices (unadjusted) for identical instruments in active markets.</w:t>
      </w:r>
    </w:p>
    <w:p>
      <w:pPr>
        <w:spacing w:after="0" w:line="77"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Quoted prices for similar instruments in active markets, quoted prices for identical or similar instruments in markets that are not active, and</w:t>
      </w:r>
    </w:p>
    <w:p>
      <w:pPr>
        <w:spacing w:after="0" w:line="2" w:lineRule="exact"/>
        <w:rPr>
          <w:sz w:val="20"/>
          <w:szCs w:val="20"/>
          <w:color w:val="auto"/>
        </w:rPr>
      </w:pPr>
    </w:p>
    <w:p>
      <w:pPr>
        <w:ind w:left="1020" w:right="20"/>
        <w:spacing w:after="0" w:line="226" w:lineRule="auto"/>
        <w:rPr>
          <w:sz w:val="20"/>
          <w:szCs w:val="20"/>
          <w:color w:val="auto"/>
        </w:rPr>
      </w:pPr>
      <w:r>
        <w:rPr>
          <w:rFonts w:ascii="Times New Roman" w:cs="Times New Roman" w:eastAsia="Times New Roman" w:hAnsi="Times New Roman"/>
          <w:sz w:val="18"/>
          <w:szCs w:val="18"/>
          <w:color w:val="auto"/>
        </w:rPr>
        <w:t>model-based valuation techniques for which all significant assumptions are observable in the market or can be corroborated by observable market data for substantially the full term of the assets or liabilities.</w:t>
      </w:r>
    </w:p>
    <w:p>
      <w:pPr>
        <w:spacing w:after="0" w:line="49"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Prices or valuations that require management inputs that are both significant to the fair value measurement and unobservable.</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allocate the purchase price of acquired businesses to the tangible and intangible assets and the liabilities assumed based on their estimated fair values on the acquisition date. The excess of the purchase price over the fair value of net assets acquired is recorded as goodwill. We engage independent third-party appraisal firms to assist us in determining the fair values of assets acquired and liabilities assumed. Such valuations require management to make significant fair value estimates and assumptions, especially with respect to intangible assets and contingent consideration. Management estimates the fair value of certain intangible assets and contingent consideration by utilizing the following (but not limited to):</w:t>
      </w:r>
    </w:p>
    <w:p>
      <w:pPr>
        <w:spacing w:after="0" w:line="210" w:lineRule="exact"/>
        <w:rPr>
          <w:sz w:val="20"/>
          <w:szCs w:val="20"/>
          <w:color w:val="auto"/>
        </w:rPr>
      </w:pPr>
    </w:p>
    <w:p>
      <w:pPr>
        <w:ind w:left="660" w:right="20" w:hanging="409"/>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cash flow from customer contracts, customer lists, distribution agreements, acquired developed technologies, trademarks, trade names and patents;</w:t>
      </w:r>
    </w:p>
    <w:p>
      <w:pPr>
        <w:ind w:left="660" w:hanging="409"/>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costs to complete development of in-process technology into commercially viable products and cash flows from the products once they are completed;</w:t>
      </w:r>
    </w:p>
    <w:p>
      <w:pPr>
        <w:ind w:left="660" w:hanging="409"/>
        <w:spacing w:after="0" w:line="26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awareness and market position, as well as assumptions regarding the period of time the brand will continue to be used in our product portfolio; and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82" w:lineRule="exact"/>
        <w:rPr>
          <w:sz w:val="20"/>
          <w:szCs w:val="20"/>
          <w:color w:val="auto"/>
        </w:rPr>
      </w:pPr>
    </w:p>
    <w:p>
      <w:pPr>
        <w:ind w:left="660" w:hanging="409"/>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 utilized in discounted cash flow models.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operations and cash flows of acquired businesses are included in our operating results from the date of acquisition.</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those circumstances where an acquisition involves a contingent consideration arrangement, we recognize a liability equal to the fair value of the contingent payments we expect to make as of the acquisition date. We re-measure this liability at each reporting period and record changes in the fair value within operating expenses. Increases or decreases in the fair value of the contingent consideration liability can result from changes in discount periods and rates, as well as changes in the timing and amount of earnings estimates or in the timing or likelihood of achieving earnings-based milestones. Contingent consideration is recorded in other accrued liabilities and long-term contingent consideration in our consolidated balance sheets.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("ASU") 2023-07, "Segment Reporting – Improvements to Reportable Segments Disclosures." The guidance enhances disclosures of significant segment expenses by requiring the disclosure of significant segment expenses regularly provided to the chief operating decision maker, extends certain annual disclosures to interim periods, and permits more than one measure of segment profit or loss to be reported under certain conditions. All disclosure requirements are also required for companies with a single reportable segment. We adopted this guidance in the fourth quarter of 2024, using the retrospective transition method. This guidance impacts our disclosures only, with no impact to our consolidated balance sheets, statements of operations or cash flows.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Effective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(Topic 220): Disaggregation of Income Statement Expenses." This guidance requires additional disclosures by disaggregating the costs and expense line items that are presented on the face of the consolidated statements of operations. This guidance is effective for annual periods beginning in 2027 and interim periods beginning in 2028, with early adoption permitted. This guidance requires a public company to apply the amendments either prospectively to financial statements issued for reporting periods after the effective date of this ASU or retrospectively to any or all prior periods presented in the financial statements. We are currently evaluating the impact of adopting this guidance on our disclosures.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 Improvements to Tax Disclosures." The guidance expands income tax disclosures by requiring public business entities, on an annual basis, to disclose specific categories in the rate reconciliation and provide additional information for reconciling items that meet a quantitative threshold. Additionally, this guidance requires that all entities disaggregate disclosures by jurisdiction on the amount of income taxes paid (net of refunds received), income or loss from continuing operations before income tax expense (or benefit) and income tax expense (or benefit) from continuing operations. This guidance is effective for annual periods beginning after December 15, 2024, and therefore will be effective beginning with our financial statements issued for the year ending December 31, 2025. We are currently evaluating the impact of adopting this guidance on our consolidated financial statements and disclosures.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assessed all other ASUs issued but not yet adopted and concluded that those not disclosed are not relevant to the Company or are not expected to have a material impact.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Cash, Cash Equivalents and Term Deposit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were held in the following geographic regions: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7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80" w:type="dxa"/>
            <w:vAlign w:val="bottom"/>
            <w:tcBorders>
              <w:bottom w:val="single" w:sz="8" w:color="CCEEFF"/>
            </w:tcBorders>
            <w:vMerge w:val="continue"/>
          </w:tcPr>
          <w:p>
            <w:pPr>
              <w:spacing w:after="0"/>
              <w:rPr>
                <w:sz w:val="16"/>
                <w:szCs w:val="16"/>
                <w:color w:val="auto"/>
              </w:rPr>
            </w:pPr>
          </w:p>
        </w:tc>
        <w:tc>
          <w:tcPr>
            <w:tcW w:w="37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37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8,460</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People's Republic of China ("PRC")</w:t>
            </w:r>
          </w:p>
        </w:tc>
        <w:tc>
          <w:tcPr>
            <w:tcW w:w="3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11,102</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(excluding the PRC)</w:t>
            </w:r>
          </w:p>
        </w:tc>
        <w:tc>
          <w:tcPr>
            <w:tcW w:w="3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8,145</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America</w:t>
            </w:r>
          </w:p>
        </w:tc>
        <w:tc>
          <w:tcPr>
            <w:tcW w:w="37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12,617</w:t>
            </w:r>
          </w:p>
        </w:tc>
        <w:tc>
          <w:tcPr>
            <w:tcW w:w="0" w:type="dxa"/>
            <w:vAlign w:val="bottom"/>
          </w:tcPr>
          <w:p>
            <w:pPr>
              <w:spacing w:after="0"/>
              <w:rPr>
                <w:sz w:val="1"/>
                <w:szCs w:val="1"/>
                <w:color w:val="auto"/>
              </w:rPr>
            </w:pPr>
          </w:p>
        </w:tc>
      </w:tr>
      <w:tr>
        <w:trPr>
          <w:trHeight w:val="223"/>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7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26,783</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42,751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760" w:type="dxa"/>
            <w:vAlign w:val="bottom"/>
            <w:vMerge w:val="restart"/>
          </w:tcPr>
          <w:p>
            <w:pPr>
              <w:jc w:val="right"/>
              <w:ind w:right="2030"/>
              <w:spacing w:after="0"/>
              <w:rPr>
                <w:sz w:val="20"/>
                <w:szCs w:val="20"/>
                <w:color w:val="auto"/>
              </w:rPr>
            </w:pPr>
            <w:r>
              <w:rPr>
                <w:rFonts w:ascii="Times New Roman" w:cs="Times New Roman" w:eastAsia="Times New Roman" w:hAnsi="Times New Roman"/>
                <w:sz w:val="18"/>
                <w:szCs w:val="18"/>
                <w:color w:val="auto"/>
              </w:rPr>
              <w:t>57</w:t>
            </w: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08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On January 25, 2022, we entered into a one-year term deposit cash account with Banco Santander (Brasil) S.A., denominated in Brazilian Real. The term deposit earned interest at a variable annual rate based upon the Brazilian CDI overnight interbank rate. As of December 31, 2022, all of this term deposit was redeemed.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 and Accounts Receivable,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Details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pattern of revenue recognition was as follows: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060" w:type="dxa"/>
            <w:vAlign w:val="bottom"/>
            <w:vMerge w:val="continue"/>
          </w:tcPr>
          <w:p>
            <w:pPr>
              <w:spacing w:after="0"/>
              <w:rPr>
                <w:sz w:val="15"/>
                <w:szCs w:val="15"/>
                <w:color w:val="auto"/>
              </w:rPr>
            </w:pPr>
          </w:p>
        </w:tc>
        <w:tc>
          <w:tcPr>
            <w:tcW w:w="13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0" w:type="dxa"/>
            <w:vAlign w:val="bottom"/>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8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Goods and services transferred at a point in time</w:t>
            </w: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321,410</w:t>
            </w:r>
          </w:p>
        </w:tc>
        <w:tc>
          <w:tcPr>
            <w:tcW w:w="1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324,433</w:t>
            </w:r>
          </w:p>
        </w:tc>
        <w:tc>
          <w:tcPr>
            <w:tcW w:w="1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450,227</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Goods and services transferred over time</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73,469</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96,024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92,524</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394,879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542,751</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Our net sales to external customers by geographic area were as follows: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0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8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167,501</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(excluding the PRC)</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127,702</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103,993</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28,363</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PRC</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85,215</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29,977</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394,879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542,751</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identification of the customer billing location was the basis used for attributing revenues from external customers to geographic areas.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 gross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106,182</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sales returns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23"/>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receivables, net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91,527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104,835</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22,655</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w:t>
            </w:r>
          </w:p>
        </w:tc>
        <w:tc>
          <w:tcPr>
            <w:tcW w:w="0" w:type="dxa"/>
            <w:vAlign w:val="bottom"/>
          </w:tcPr>
          <w:p>
            <w:pPr>
              <w:spacing w:after="0"/>
              <w:rPr>
                <w:sz w:val="1"/>
                <w:szCs w:val="1"/>
                <w:color w:val="auto"/>
              </w:rPr>
            </w:pPr>
          </w:p>
        </w:tc>
      </w:tr>
      <w:tr>
        <w:trPr>
          <w:trHeight w:val="223"/>
        </w:trPr>
        <w:tc>
          <w:tcPr>
            <w:tcW w:w="7840" w:type="dxa"/>
            <w:vAlign w:val="bottom"/>
          </w:tcPr>
          <w:p>
            <w:pPr>
              <w:ind w:left="360"/>
              <w:spacing w:after="0" w:line="223" w:lineRule="exact"/>
              <w:rPr>
                <w:sz w:val="20"/>
                <w:szCs w:val="20"/>
                <w:color w:val="auto"/>
              </w:rPr>
            </w:pPr>
            <w:r>
              <w:rPr>
                <w:rFonts w:ascii="Times New Roman" w:cs="Times New Roman" w:eastAsia="Times New Roman" w:hAnsi="Times New Roman"/>
                <w:sz w:val="18"/>
                <w:szCs w:val="18"/>
                <w:color w:val="auto"/>
              </w:rPr>
              <w:t xml:space="preserve">Accounts receivable, net </w:t>
            </w:r>
            <w:r>
              <w:rPr>
                <w:rFonts w:ascii="Times New Roman" w:cs="Times New Roman" w:eastAsia="Times New Roman" w:hAnsi="Times New Roman"/>
                <w:sz w:val="23"/>
                <w:szCs w:val="23"/>
                <w:color w:val="auto"/>
                <w:vertAlign w:val="superscript"/>
              </w:rPr>
              <w:t>(2)</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114,182</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112,596</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620" w:hanging="288"/>
        <w:spacing w:after="0"/>
        <w:tabs>
          <w:tab w:leader="none" w:pos="62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accounts receivable is primarily comprised of supplier, supplier rebate and interest receivables.</w:t>
      </w:r>
    </w:p>
    <w:p>
      <w:pPr>
        <w:spacing w:after="0" w:line="55" w:lineRule="exact"/>
        <w:rPr>
          <w:rFonts w:ascii="Times New Roman" w:cs="Times New Roman" w:eastAsia="Times New Roman" w:hAnsi="Times New Roman"/>
          <w:sz w:val="23"/>
          <w:szCs w:val="23"/>
          <w:color w:val="auto"/>
          <w:vertAlign w:val="superscript"/>
        </w:rPr>
      </w:pPr>
    </w:p>
    <w:p>
      <w:pPr>
        <w:ind w:left="620" w:hanging="288"/>
        <w:spacing w:after="0" w:line="194" w:lineRule="auto"/>
        <w:tabs>
          <w:tab w:leader="none" w:pos="62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Accounts receivable, net at December 31, 2022 was $112.3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allowance for credit losses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(reductions) to costs and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Write-offs/Foreign exchange effects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were $10.3 million, $4.2 million, and $8.0 million at December 31, 2024, 2023 and 2022, respectively. The change in balances between periods is due to the fluctuation of custom product inventory balances for which we have an enforceable right to payment for performance completed to date.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current and non-current contract liability balances primarily consist of cash received in advance of providing our cloud-based software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liabilities are included within other accrued liabilities and other long-term liabilities in our consolidated balance sheets.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contract liabilities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4"/>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received</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 effects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Customers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to the following customers totaled more than 10% of our net sales: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11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11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11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32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vMerge w:val="restart"/>
          </w:tcPr>
          <w:p>
            <w:pPr>
              <w:jc w:val="right"/>
              <w:ind w:right="87"/>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300" w:type="dxa"/>
            <w:vAlign w:val="bottom"/>
          </w:tcPr>
          <w:p>
            <w:pPr>
              <w:spacing w:after="0"/>
              <w:rPr>
                <w:sz w:val="11"/>
                <w:szCs w:val="11"/>
                <w:color w:val="auto"/>
              </w:rPr>
            </w:pPr>
          </w:p>
        </w:tc>
        <w:tc>
          <w:tcPr>
            <w:tcW w:w="12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 of Net</w:t>
            </w:r>
          </w:p>
        </w:tc>
        <w:tc>
          <w:tcPr>
            <w:tcW w:w="32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vMerge w:val="restart"/>
          </w:tcPr>
          <w:p>
            <w:pPr>
              <w:jc w:val="right"/>
              <w:ind w:right="87"/>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300" w:type="dxa"/>
            <w:vAlign w:val="bottom"/>
          </w:tcPr>
          <w:p>
            <w:pPr>
              <w:spacing w:after="0"/>
              <w:rPr>
                <w:sz w:val="11"/>
                <w:szCs w:val="11"/>
                <w:color w:val="auto"/>
              </w:rPr>
            </w:pPr>
          </w:p>
        </w:tc>
        <w:tc>
          <w:tcPr>
            <w:tcW w:w="12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 of Net</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320" w:type="dxa"/>
            <w:vAlign w:val="bottom"/>
          </w:tcPr>
          <w:p>
            <w:pPr>
              <w:spacing w:after="0"/>
              <w:rPr>
                <w:sz w:val="11"/>
                <w:szCs w:val="11"/>
                <w:color w:val="auto"/>
              </w:rPr>
            </w:pPr>
          </w:p>
        </w:tc>
        <w:tc>
          <w:tcPr>
            <w:tcW w:w="12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 of Net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24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0" w:type="dxa"/>
            <w:vAlign w:val="bottom"/>
          </w:tcPr>
          <w:p>
            <w:pPr>
              <w:spacing w:after="0"/>
              <w:rPr>
                <w:sz w:val="1"/>
                <w:szCs w:val="1"/>
                <w:color w:val="auto"/>
              </w:rPr>
            </w:pPr>
          </w:p>
        </w:tc>
      </w:tr>
      <w:tr>
        <w:trPr>
          <w:trHeight w:val="228"/>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Daikin Industries Ltd.</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52,421</w:t>
            </w:r>
          </w:p>
        </w:tc>
        <w:tc>
          <w:tcPr>
            <w:tcW w:w="3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3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58,843</w:t>
            </w:r>
          </w:p>
        </w:tc>
        <w:tc>
          <w:tcPr>
            <w:tcW w:w="3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3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78,413</w:t>
            </w:r>
          </w:p>
        </w:tc>
        <w:tc>
          <w:tcPr>
            <w:tcW w:w="3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3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Comcast Corporation</w:t>
            </w:r>
          </w:p>
        </w:tc>
        <w:tc>
          <w:tcPr>
            <w:tcW w:w="260" w:type="dxa"/>
            <w:vAlign w:val="bottom"/>
          </w:tcPr>
          <w:p>
            <w:pPr>
              <w:spacing w:after="0"/>
              <w:rPr>
                <w:sz w:val="13"/>
                <w:szCs w:val="13"/>
                <w:color w:val="auto"/>
              </w:rPr>
            </w:pPr>
          </w:p>
        </w:tc>
        <w:tc>
          <w:tcPr>
            <w:tcW w:w="900" w:type="dxa"/>
            <w:vAlign w:val="bottom"/>
          </w:tcPr>
          <w:p>
            <w:pPr>
              <w:jc w:val="right"/>
              <w:ind w:right="427"/>
              <w:spacing w:after="0"/>
              <w:rPr>
                <w:sz w:val="20"/>
                <w:szCs w:val="20"/>
                <w:color w:val="auto"/>
              </w:rPr>
            </w:pPr>
            <w:r>
              <w:rPr>
                <w:rFonts w:ascii="Times New Roman" w:cs="Times New Roman" w:eastAsia="Times New Roman" w:hAnsi="Times New Roman"/>
                <w:sz w:val="12"/>
                <w:szCs w:val="12"/>
                <w:color w:val="auto"/>
              </w:rPr>
              <w:t>(1)</w:t>
            </w:r>
          </w:p>
        </w:tc>
        <w:tc>
          <w:tcPr>
            <w:tcW w:w="1500" w:type="dxa"/>
            <w:vAlign w:val="bottom"/>
            <w:gridSpan w:val="2"/>
          </w:tcPr>
          <w:p>
            <w:pPr>
              <w:jc w:val="center"/>
              <w:ind w:left="255"/>
              <w:spacing w:after="0"/>
              <w:rPr>
                <w:sz w:val="20"/>
                <w:szCs w:val="20"/>
                <w:color w:val="auto"/>
              </w:rPr>
            </w:pPr>
            <w:r>
              <w:rPr>
                <w:rFonts w:ascii="Times New Roman" w:cs="Times New Roman" w:eastAsia="Times New Roman" w:hAnsi="Times New Roman"/>
                <w:sz w:val="12"/>
                <w:szCs w:val="12"/>
                <w:color w:val="auto"/>
                <w:w w:val="99"/>
              </w:rPr>
              <w:t>(1)</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427"/>
              <w:spacing w:after="0"/>
              <w:rPr>
                <w:sz w:val="20"/>
                <w:szCs w:val="20"/>
                <w:color w:val="auto"/>
              </w:rPr>
            </w:pPr>
            <w:r>
              <w:rPr>
                <w:rFonts w:ascii="Times New Roman" w:cs="Times New Roman" w:eastAsia="Times New Roman" w:hAnsi="Times New Roman"/>
                <w:sz w:val="12"/>
                <w:szCs w:val="12"/>
                <w:color w:val="auto"/>
              </w:rPr>
              <w:t>(1)</w:t>
            </w:r>
          </w:p>
        </w:tc>
        <w:tc>
          <w:tcPr>
            <w:tcW w:w="1520" w:type="dxa"/>
            <w:vAlign w:val="bottom"/>
            <w:gridSpan w:val="2"/>
          </w:tcPr>
          <w:p>
            <w:pPr>
              <w:jc w:val="center"/>
              <w:ind w:left="235"/>
              <w:spacing w:after="0"/>
              <w:rPr>
                <w:sz w:val="20"/>
                <w:szCs w:val="20"/>
                <w:color w:val="auto"/>
              </w:rPr>
            </w:pPr>
            <w:r>
              <w:rPr>
                <w:rFonts w:ascii="Times New Roman" w:cs="Times New Roman" w:eastAsia="Times New Roman" w:hAnsi="Times New Roman"/>
                <w:sz w:val="12"/>
                <w:szCs w:val="12"/>
                <w:color w:val="auto"/>
                <w:w w:val="99"/>
              </w:rPr>
              <w:t>(1)</w:t>
            </w:r>
          </w:p>
        </w:tc>
        <w:tc>
          <w:tcPr>
            <w:tcW w:w="3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75,917</w:t>
            </w: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3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700" w:hanging="368"/>
        <w:spacing w:after="0"/>
        <w:tabs>
          <w:tab w:leader="none" w:pos="7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Sales associated with this customer did not total more than 10% of our net sales for the indicated period.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customers that totaled more than 10% of our accounts receivable at December 31, 2024 or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Inventories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32,794</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45,394</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40,591</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88,273</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Supplier</w:t>
      </w:r>
    </w:p>
    <w:p>
      <w:pPr>
        <w:spacing w:after="0" w:line="2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We purchase integrated circuits, components and finished goods from multiple sources. Purchases from the following supplier totaled 10% of our total inventory purchases:</w:t>
      </w:r>
    </w:p>
    <w:tbl>
      <w:tblPr>
        <w:tblLayout w:type="fixed"/>
        <w:tblInd w:w="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1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620" w:type="dxa"/>
            <w:vAlign w:val="bottom"/>
          </w:tcPr>
          <w:p>
            <w:pPr>
              <w:spacing w:after="0"/>
              <w:rPr>
                <w:sz w:val="11"/>
                <w:szCs w:val="11"/>
                <w:color w:val="auto"/>
              </w:rPr>
            </w:pPr>
          </w:p>
        </w:tc>
        <w:tc>
          <w:tcPr>
            <w:tcW w:w="1040" w:type="dxa"/>
            <w:vAlign w:val="bottom"/>
            <w:vMerge w:val="restart"/>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Inventory</w:t>
            </w:r>
          </w:p>
        </w:tc>
        <w:tc>
          <w:tcPr>
            <w:tcW w:w="1040" w:type="dxa"/>
            <w:vAlign w:val="bottom"/>
            <w:vMerge w:val="restart"/>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Inventory</w:t>
            </w:r>
          </w:p>
        </w:tc>
        <w:tc>
          <w:tcPr>
            <w:tcW w:w="140" w:type="dxa"/>
            <w:vAlign w:val="bottom"/>
          </w:tcPr>
          <w:p>
            <w:pPr>
              <w:spacing w:after="0"/>
              <w:rPr>
                <w:sz w:val="11"/>
                <w:szCs w:val="11"/>
                <w:color w:val="auto"/>
              </w:rPr>
            </w:pPr>
          </w:p>
        </w:tc>
        <w:tc>
          <w:tcPr>
            <w:tcW w:w="100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320" w:type="dxa"/>
            <w:vAlign w:val="bottom"/>
          </w:tcPr>
          <w:p>
            <w:pPr>
              <w:spacing w:after="0"/>
              <w:rPr>
                <w:sz w:val="11"/>
                <w:szCs w:val="11"/>
                <w:color w:val="auto"/>
              </w:rPr>
            </w:pPr>
          </w:p>
        </w:tc>
        <w:tc>
          <w:tcPr>
            <w:tcW w:w="152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Inventory</w:t>
            </w:r>
          </w:p>
        </w:tc>
        <w:tc>
          <w:tcPr>
            <w:tcW w:w="0" w:type="dxa"/>
            <w:vAlign w:val="bottom"/>
          </w:tcPr>
          <w:p>
            <w:pPr>
              <w:spacing w:after="0"/>
              <w:rPr>
                <w:sz w:val="1"/>
                <w:szCs w:val="1"/>
                <w:color w:val="auto"/>
              </w:rPr>
            </w:pPr>
          </w:p>
        </w:tc>
      </w:tr>
      <w:tr>
        <w:trPr>
          <w:trHeight w:val="190"/>
        </w:trPr>
        <w:tc>
          <w:tcPr>
            <w:tcW w:w="26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0" w:type="dxa"/>
            <w:vAlign w:val="bottom"/>
          </w:tcPr>
          <w:p>
            <w:pPr>
              <w:spacing w:after="0"/>
              <w:rPr>
                <w:sz w:val="1"/>
                <w:szCs w:val="1"/>
                <w:color w:val="auto"/>
              </w:rPr>
            </w:pPr>
          </w:p>
        </w:tc>
      </w:tr>
      <w:tr>
        <w:trPr>
          <w:trHeight w:val="23"/>
        </w:trPr>
        <w:tc>
          <w:tcPr>
            <w:tcW w:w="26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Qorvo International Pte Ltd.</w:t>
            </w:r>
          </w:p>
        </w:tc>
        <w:tc>
          <w:tcPr>
            <w:tcW w:w="104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85"/>
              </w:rPr>
              <w:t>(1)</w:t>
            </w:r>
          </w:p>
        </w:tc>
        <w:tc>
          <w:tcPr>
            <w:tcW w:w="3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33,293</w:t>
            </w:r>
          </w:p>
        </w:tc>
        <w:tc>
          <w:tcPr>
            <w:tcW w:w="1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2620" w:type="dxa"/>
            <w:vAlign w:val="bottom"/>
            <w:vMerge w:val="continue"/>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20" w:hanging="188"/>
        <w:spacing w:after="0"/>
        <w:tabs>
          <w:tab w:leader="none" w:pos="5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Purchases associated with this supplier did not total more than 10% of our total inventory purchases for the indicated period.</w:t>
      </w:r>
    </w:p>
    <w:p>
      <w:pPr>
        <w:spacing w:after="0" w:line="1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trade payable balances from suppliers that totaled more than 10% of our total accounts payable at December 31, 2024 and December 31, 2023.</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Property, Plant, and Equipment,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("PP&amp;E")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17,806</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9,679</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and building improvements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33,049</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75,637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82,302</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28,074</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Tooling</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30,724</w:t>
            </w:r>
          </w:p>
        </w:tc>
        <w:tc>
          <w:tcPr>
            <w:tcW w:w="0" w:type="dxa"/>
            <w:vAlign w:val="bottom"/>
          </w:tcPr>
          <w:p>
            <w:pPr>
              <w:spacing w:after="0"/>
              <w:rPr>
                <w:sz w:val="1"/>
                <w:szCs w:val="1"/>
                <w:color w:val="auto"/>
              </w:rPr>
            </w:pPr>
          </w:p>
        </w:tc>
      </w:tr>
      <w:tr>
        <w:trPr>
          <w:trHeight w:val="223"/>
        </w:trPr>
        <w:tc>
          <w:tcPr>
            <w:tcW w:w="7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189,699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205,232</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(156,804)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(163,301)</w:t>
            </w:r>
          </w:p>
        </w:tc>
        <w:tc>
          <w:tcPr>
            <w:tcW w:w="0" w:type="dxa"/>
            <w:vAlign w:val="bottom"/>
          </w:tcPr>
          <w:p>
            <w:pPr>
              <w:spacing w:after="0"/>
              <w:rPr>
                <w:sz w:val="1"/>
                <w:szCs w:val="1"/>
                <w:color w:val="auto"/>
              </w:rPr>
            </w:pPr>
          </w:p>
        </w:tc>
      </w:tr>
      <w:tr>
        <w:trPr>
          <w:trHeight w:val="223"/>
        </w:trPr>
        <w:tc>
          <w:tcPr>
            <w:tcW w:w="7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41,931</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0" w:type="dxa"/>
            <w:vAlign w:val="bottom"/>
          </w:tcPr>
          <w:p>
            <w:pPr>
              <w:spacing w:after="0"/>
              <w:rPr>
                <w:sz w:val="1"/>
                <w:szCs w:val="1"/>
                <w:color w:val="auto"/>
              </w:rPr>
            </w:pPr>
          </w:p>
        </w:tc>
      </w:tr>
      <w:tr>
        <w:trPr>
          <w:trHeight w:val="223"/>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34,207</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44,619</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$12.9 million, $18.0 million and $19.9 million for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2023, as part of our manufacturing footprint optimization efforts, we made the decision to close our southwestern PRC factory and manufacturing operations were stopped in September 2023. We also downsized and streamlined the Mexico operations by moving to a smaller, more efficient facility. As a result of these decisions, we recorded impairment charges of $7.7 million, of which $7.6 million and $0.1 million was recorded in cost of sales and SG&amp;A expenses, respectively. In addition, during the year ended December 31, 2023, we recorded an additional $0.2 million of impairment charges, recorded in cost of sales, relating to the underutilization of property, plant and equipment in our other PRC-based factories. During the year ended December 31, 2022, we incurred $2.9 million in impairment charges, recorded in cost of sales, relating to the underutilization of certain property, plant and equipment in our Mexico factory.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Construction in progress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2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and building improvements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Tooling</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3"/>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construction in progress</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most of the assets under construction will be placed into service during the first six months of 2025. We will begin to depreciate the cost of these assets under construction once they are placed into service.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Long-lived tangible assets by geographic area, which include property, plant, and equipment, net and operating lease ROU assets,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13,245</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PRC</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26,679</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9,227</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countries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0" w:type="dxa"/>
            <w:vAlign w:val="bottom"/>
          </w:tcPr>
          <w:p>
            <w:pPr>
              <w:spacing w:after="0"/>
              <w:rPr>
                <w:sz w:val="1"/>
                <w:szCs w:val="1"/>
                <w:color w:val="auto"/>
              </w:rPr>
            </w:pPr>
          </w:p>
        </w:tc>
      </w:tr>
      <w:tr>
        <w:trPr>
          <w:trHeight w:val="223"/>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long-lived tangible assets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48,529</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63,312</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 and Intangible Assets,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2023, a decline in our financial performance, overall negative trend in the video service provider channel and an uncertain economic environment contributed to a significant decline in our market capitalization. We considered this to be an impairment trigger. We, therefore, performed a quantitative valuation analysis under an income approach to estimate our reporting unit's fair value. The income approach used projections of estimated operating results and cash flows that were discounted using a discount rate based on the weighted-average cost of capital. The main assumptions supporting the cash flow projections include, but are not limited to, revenue growth, margins, discount rate, and terminal growth rate. The financial projections reflect our best estimate of economic and market conditions over the projected period, including forecasted revenue growth, margins, capital expenditures, depreciation and amortization. In addition to our valuation analysis under an income approach, we also considered the implied control premium compared to our market capitalization. We determined that the implied control premium over our market capitalization to be substantial; therefore, we recorded an impairment charge of $49.1 million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were as follows:</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ectPr>
          <w:pgSz w:w="11900" w:h="16838" w:orient="portrait"/>
          <w:cols w:equalWidth="0" w:num="1">
            <w:col w:w="11240"/>
          </w:cols>
          <w:pgMar w:left="320" w:top="114" w:right="339" w:bottom="1440" w:gutter="0" w:footer="0" w:header="0"/>
        </w:sectPr>
      </w:pP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 exchange effects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left="853" w:hanging="853"/>
        <w:spacing w:after="0"/>
        <w:tabs>
          <w:tab w:leader="none" w:pos="85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49,085</w:t>
      </w:r>
    </w:p>
    <w:p>
      <w:pPr>
        <w:spacing w:after="0" w:line="27" w:lineRule="exact"/>
        <w:rPr>
          <w:rFonts w:ascii="Times New Roman" w:cs="Times New Roman" w:eastAsia="Times New Roman" w:hAnsi="Times New Roman"/>
          <w:sz w:val="18"/>
          <w:szCs w:val="18"/>
          <w:color w:val="auto"/>
        </w:rPr>
      </w:pPr>
    </w:p>
    <w:p>
      <w:pPr>
        <w:ind w:left="77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(49,075)</w:t>
      </w:r>
    </w:p>
    <w:p>
      <w:pPr>
        <w:spacing w:after="0" w:line="22" w:lineRule="exact"/>
        <w:rPr>
          <w:rFonts w:ascii="Times New Roman" w:cs="Times New Roman" w:eastAsia="Times New Roman" w:hAnsi="Times New Roman"/>
          <w:sz w:val="18"/>
          <w:szCs w:val="18"/>
          <w:color w:val="auto"/>
        </w:rPr>
      </w:pPr>
    </w:p>
    <w:p>
      <w:pPr>
        <w:ind w:left="109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086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1" w:lineRule="exact"/>
        <w:rPr>
          <w:sz w:val="20"/>
          <w:szCs w:val="20"/>
          <w:color w:val="auto"/>
        </w:rPr>
      </w:pPr>
    </w:p>
    <w:p>
      <w:pPr>
        <w:ind w:left="1153" w:hanging="1153"/>
        <w:spacing w:after="0"/>
        <w:tabs>
          <w:tab w:leader="none" w:pos="115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086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9086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07" w:space="720"/>
            <w:col w:w="1413"/>
          </w:cols>
          <w:pgMar w:left="320" w:top="114" w:right="339" w:bottom="1440" w:gutter="0" w:footer="0" w:header="0"/>
          <w:type w:val="continuous"/>
        </w:sectPr>
      </w:pP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intangible assets, net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Gross </w:t>
            </w:r>
            <w:r>
              <w:rPr>
                <w:rFonts w:ascii="Times New Roman" w:cs="Times New Roman" w:eastAsia="Times New Roman" w:hAnsi="Times New Roman"/>
                <w:sz w:val="18"/>
                <w:szCs w:val="18"/>
                <w:b w:val="1"/>
                <w:bCs w:val="1"/>
                <w:color w:val="auto"/>
                <w:vertAlign w:val="superscript"/>
              </w:rPr>
              <w:t>(1)</w:t>
            </w:r>
          </w:p>
        </w:tc>
        <w:tc>
          <w:tcPr>
            <w:tcW w:w="18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1"/>
                <w:szCs w:val="11"/>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Net </w:t>
            </w:r>
            <w:r>
              <w:rPr>
                <w:rFonts w:ascii="Times New Roman" w:cs="Times New Roman" w:eastAsia="Times New Roman" w:hAnsi="Times New Roman"/>
                <w:sz w:val="18"/>
                <w:szCs w:val="18"/>
                <w:b w:val="1"/>
                <w:bCs w:val="1"/>
                <w:color w:val="auto"/>
                <w:vertAlign w:val="superscript"/>
              </w:rPr>
              <w:t>(1)</w:t>
            </w:r>
          </w:p>
        </w:tc>
        <w:tc>
          <w:tcPr>
            <w:tcW w:w="340" w:type="dxa"/>
            <w:vAlign w:val="bottom"/>
          </w:tcPr>
          <w:p>
            <w:pPr>
              <w:spacing w:after="0"/>
              <w:rPr>
                <w:sz w:val="11"/>
                <w:szCs w:val="11"/>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Gross </w:t>
            </w:r>
            <w:r>
              <w:rPr>
                <w:rFonts w:ascii="Times New Roman" w:cs="Times New Roman" w:eastAsia="Times New Roman" w:hAnsi="Times New Roman"/>
                <w:sz w:val="18"/>
                <w:szCs w:val="18"/>
                <w:b w:val="1"/>
                <w:bCs w:val="1"/>
                <w:color w:val="auto"/>
                <w:vertAlign w:val="superscript"/>
              </w:rPr>
              <w:t>(1)</w:t>
            </w:r>
          </w:p>
        </w:tc>
        <w:tc>
          <w:tcPr>
            <w:tcW w:w="180" w:type="dxa"/>
            <w:vAlign w:val="bottom"/>
          </w:tcPr>
          <w:p>
            <w:pPr>
              <w:spacing w:after="0"/>
              <w:rPr>
                <w:sz w:val="11"/>
                <w:szCs w:val="11"/>
                <w:color w:val="auto"/>
              </w:rPr>
            </w:pPr>
          </w:p>
        </w:tc>
        <w:tc>
          <w:tcPr>
            <w:tcW w:w="14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82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 xml:space="preserve">Net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xml:space="preserve">Amortization </w:t>
            </w:r>
            <w:r>
              <w:rPr>
                <w:rFonts w:ascii="Times New Roman" w:cs="Times New Roman" w:eastAsia="Times New Roman" w:hAnsi="Times New Roman"/>
                <w:sz w:val="9"/>
                <w:szCs w:val="9"/>
                <w:b w:val="1"/>
                <w:bCs w:val="1"/>
                <w:color w:val="auto"/>
              </w:rPr>
              <w:t>(1)</w:t>
            </w:r>
          </w:p>
        </w:tc>
        <w:tc>
          <w:tcPr>
            <w:tcW w:w="26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 xml:space="preserve">Amortization </w:t>
            </w:r>
            <w:r>
              <w:rPr>
                <w:rFonts w:ascii="Times New Roman" w:cs="Times New Roman" w:eastAsia="Times New Roman" w:hAnsi="Times New Roman"/>
                <w:sz w:val="9"/>
                <w:szCs w:val="9"/>
                <w:b w:val="1"/>
                <w:bCs w:val="1"/>
                <w:color w:val="auto"/>
              </w:rPr>
              <w:t>(1)</w:t>
            </w: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and core technology</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20,509</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3"/>
        </w:trPr>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44,863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25,349</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60" w:hanging="328"/>
        <w:spacing w:after="0" w:line="229" w:lineRule="auto"/>
        <w:tabs>
          <w:tab w:leader="none" w:pos="64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table excludes the gross value of fully amortized intangible assets totaling $49.3 million and $45.0 million on December 31, 2024 and 2023, respectively.</w:t>
      </w:r>
    </w:p>
    <w:p>
      <w:pPr>
        <w:spacing w:after="0" w:line="22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Amortization expense is recorded in SG&amp;A expenses, except amortization expense related to capitalized software development costs, which is recorded in cost of sales. Amortization expense by statement of operations caption was as follows:</w:t>
      </w: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Estimated future annual amortization expense related to our intangible assets at December 31, 2024 is as follows: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5,336</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weighted average amortization period of our intangible assets at December 31, 2024 is 6.3 years.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entered into various operating lease agreements for automobiles, offices and manufacturing facilities throughout the world. At December 31, 2024, our operating leases had remaining lease terms of up to 36 years, including any reasonably probable extensions.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balances within our consolidated balance sheets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0"/>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18,693</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7"/>
        </w:trPr>
        <w:tc>
          <w:tcPr>
            <w:tcW w:w="78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29"/>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w:t>
            </w:r>
          </w:p>
        </w:tc>
      </w:tr>
      <w:tr>
        <w:trPr>
          <w:trHeight w:val="22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obligations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12,560</w:t>
            </w:r>
          </w:p>
        </w:tc>
      </w:tr>
      <w:tr>
        <w:trPr>
          <w:trHeight w:val="223"/>
        </w:trPr>
        <w:tc>
          <w:tcPr>
            <w:tcW w:w="78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lease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17,373</w:t>
            </w:r>
          </w:p>
        </w:tc>
      </w:tr>
      <w:tr>
        <w:trPr>
          <w:trHeight w:val="20"/>
        </w:trPr>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entered into lease amendments for our southwestern PRC and Mexico factories during the year ended December 31, 2023 as a part of our manufacturing footprint optimization efforts. As a result of these modifications, our operating lease right-of-use assets decreased by $1.2 million and our total lease liabilities decreased by $1.3 million.</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expense, operating lease cash flows and supplemental cash flow information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6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5,017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4,378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expenses from variable and short-term lease costs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8,152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7,736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lease obligations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4"/>
        </w:trPr>
        <w:tc>
          <w:tcPr>
            <w:tcW w:w="8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weighted average remaining lease liability term and the weighted average discount rate were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gridSpan w:val="7"/>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Borders>
              <w:bottom w:val="single" w:sz="8" w:color="CCEEFF"/>
            </w:tcBorders>
          </w:tcPr>
          <w:p>
            <w:pPr>
              <w:spacing w:after="0"/>
              <w:rPr>
                <w:sz w:val="16"/>
                <w:szCs w:val="16"/>
                <w:color w:val="auto"/>
              </w:rPr>
            </w:pPr>
          </w:p>
        </w:tc>
        <w:tc>
          <w:tcPr>
            <w:tcW w:w="666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lease liability term (in years)</w:t>
            </w: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4"/>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5.04 %</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undiscounted cash flows for each of the first five years and thereafter to the operating lease liabilities recognized in our consolidated balance sheet at December 31, 2024. The reconciliation excludes short-term leases that are not recorded on the balance sheet.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
        </w:trPr>
        <w:tc>
          <w:tcPr>
            <w:tcW w:w="9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w:t>
            </w:r>
          </w:p>
        </w:tc>
      </w:tr>
      <w:tr>
        <w:trPr>
          <w:trHeight w:val="223"/>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payments</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14,615</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w:t>
            </w:r>
          </w:p>
        </w:tc>
      </w:tr>
      <w:tr>
        <w:trPr>
          <w:trHeight w:val="248"/>
        </w:trPr>
        <w:tc>
          <w:tcPr>
            <w:tcW w:w="9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12,785</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we did not have any operating leases that had not yet commenced.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Land Lease</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operate one factory within the PRC on which the land is leased from the government as of December 31, 2024. This land lease was prepaid to the PRC government at the time our subsidiary occupied the land. We have obtained a land-use right certificate for the land pertaining to this factory.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factory is located in the city of Yangzhou in the Jiangsu province. The remaining net book value of this operating lease ROU asset was $2.1 million at December 31, 2024, and is being amortized on a straight-line basis over the remaining term of approximately 34 years. The buildings located on this land had a net book value of $11.2 million at December 31, 2024 and are being depreciated over a remaining weighted average period of approximately 15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Lines of Credit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Line of Credit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16, 2024, we executed an amendment to our Second Amended and Restated Credit Agreement ("Second Amended Credit Agreement") with U.S. Bank National Association ("U.S. Bank"), which provides for a revolving line of credit ("U.S. Credit Line") through April 30, 2026. The U.S. Credit Line may be used for working capital and other general corporate purposes including acquisitions, share repurchases and capital expenditures.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Credit Line has a maximum availability up to $75.0 million, subject to meeting certain financial conditions, including an accounts receivable coverage ratio ("AR Ratio"). This AR Ratio is calculated monthly and adjusts the current U.S. Credit Line total availability. At December 31, 2024, the U.S. Credit Line availability was $58.3 million based upon the AR Ratio. At February 18, 2025, the U.S. Credit Line total availability was $60.5 million based upon the AR Ratio.</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available for borrowing under the U.S. Credit Line are reduced by the balance of any outstanding letters of credit, of which there were none at December 31, 2024.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obligations under the U.S. Credit Line are secured by substantially all of our U.S. personal property and tangible and intangible assets, as well as a guaranty of the U.S. Credit Line by our wholly-owned subsidiary, Universal Electronics BV.</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Second Amended Credit Agreement, up through March 13, 2024, we may elect to pay interest on the U.S. Credit Line based on the Secured Overnight Financing Rate ("SOFR") plus an applicable margin (varying from 2.00% to 2.75%), or base rate (based on the prime rate of U.S. Bank or as otherwise specified in the Second Amended Credit Agreement) plus an applicable margin (varying from —% to 0.75%). Subsequent to March 13, 2024, we pay interest on the U.S. Credit Line based on SOFR plus a 3.00% margin. Additionally, subsequent to March 13, 2024, the Second Amended Credit Agreement also contains a facility fee of 0.25%. The interest rates in effect at December 31, 2024 and 2023 were 7.31% and 8.06%, respectively.</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Second Amended Credit Agreement includes financial covenants and contains other customary affirmative and negative covenants and events of default. From January 1, 2024 to September 30, 2024, our covenants were based upon EBITDA and a minimum accounts receivable coverage ratio. From October 1, 2024 to December 31, 2024, our covenants were based upon a minimum fixed charge coverage ratio. Subsequent to December 31, 2024, our covenants will be based upon a minimum fixed charge coverage ratio and a maximum cash flow leverage ratio. We were in compliance with the covenants and conditions of the Second Amended Credit Agreement at and during the years ended December 31, 2024 and 2023.</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2024, we had $26.0 million outstanding under the U.S. Credit Line. At December 31, 2024, our remaining availability under the U.S. Credit Line was $32.3 million. Our total interest expense on borrowings under the U.S. Credit Line was $4.2 million, $6.0 million and $3.3 million during the years ended December 31, 2024, 2023 and 2022, respectively. Our total facility fee expense under the U.S. Credit Line was $0.2 million during the year ended 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China Line of Credit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29, 2024, our subsidiary Gemstar Technology (Yangzhou) Co. Ltd. ("GTY"), executed a Line of Credit Agreement (the "Line of Credit Agreement") with the Bank of China, which provides for a revolving line of credit ("China Credit Line")</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July 24, 2025. We expect to renew our Line of Credit Agreement with the Bank of China prior to its expiration; however, no assurance can be given that future financing will be available or, if available, that we will be offered terms satisfactory to us. The China Credit Line may be used for working capital purposes.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China Credit Line has a maximum availability up to RMB 80.0 million (approximately $11.0 million), subject to meeting certain financial conditions.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available for borrowing under the China Credit Line are reduced by the balance of any outstanding letters of credit, of which there were none at December 31,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obligations under the China Credit Line are secured by GTY's buildings and land use rights.</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Line of Credit Agreement, we pay interest on the China Credit Line based on the one-year rate from the National Interbank Funding Center less a 0.1% margin. There are no associated commitment fees on the China Credit Line. The interest rate in effect at December 31, 2024 was 3.07%.</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Line of Credit Agreement includes financial covenants and contains other customary affirmative and negative covenants and events of default. Our covenants are based on a debt to asset ratio and a dividends paid to net income ratio. We were in compliance with the covenants and conditions of the Line of Credit Agreement at and during the year ended December 31, 2024.</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we had RMB 80.0 million (approximately $11.0 million) outstanding under the China Credit Line. At December 31, 2024, we had no remaining availability under our China Credit Line. Our total interest expense on borrowings under the China Credit Line was RMB 0.5 million (approximately $0.1 million) during the year ended December 31,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2023 and 2022, pre-tax income (loss) was attributed to the following jurisdictions: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6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operations</w:t>
            </w:r>
          </w:p>
        </w:tc>
        <w:tc>
          <w:tcPr>
            <w:tcW w:w="14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(69,058)</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operations</w:t>
            </w:r>
          </w:p>
        </w:tc>
        <w:tc>
          <w:tcPr>
            <w:tcW w:w="14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80,451</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pre-tax income (loss)</w:t>
            </w:r>
          </w:p>
        </w:tc>
        <w:tc>
          <w:tcPr>
            <w:tcW w:w="1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provision for income taxes charged to operations was as follows:</w:t>
            </w:r>
          </w:p>
        </w:tc>
        <w:tc>
          <w:tcPr>
            <w:tcW w:w="1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526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6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 expense:</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18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 and local</w:t>
            </w:r>
          </w:p>
        </w:tc>
        <w:tc>
          <w:tcPr>
            <w:tcW w:w="1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4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8,523</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w:t>
            </w:r>
          </w:p>
        </w:tc>
        <w:tc>
          <w:tcPr>
            <w:tcW w:w="14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9,169</w:t>
            </w: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(benefit) expense:</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1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30"/>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 and local</w:t>
            </w: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4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deferred</w:t>
            </w:r>
          </w:p>
        </w:tc>
        <w:tc>
          <w:tcPr>
            <w:tcW w:w="14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1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65</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2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deferred tax assets were comprised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0" w:type="dxa"/>
            <w:vAlign w:val="bottom"/>
            <w:tcBorders>
              <w:bottom w:val="single" w:sz="8" w:color="CCEEFF"/>
            </w:tcBorders>
            <w:vMerge w:val="continue"/>
          </w:tcPr>
          <w:p>
            <w:pPr>
              <w:spacing w:after="0"/>
              <w:rPr>
                <w:sz w:val="16"/>
                <w:szCs w:val="16"/>
                <w:color w:val="auto"/>
              </w:rPr>
            </w:pPr>
          </w:p>
        </w:tc>
        <w:tc>
          <w:tcPr>
            <w:tcW w:w="32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6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3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inventory costs</w:t>
            </w:r>
          </w:p>
        </w:tc>
        <w:tc>
          <w:tcPr>
            <w:tcW w:w="3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3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3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0" w:type="dxa"/>
            <w:vAlign w:val="bottom"/>
          </w:tcPr>
          <w:p>
            <w:pPr>
              <w:spacing w:after="0"/>
              <w:rPr>
                <w:sz w:val="1"/>
                <w:szCs w:val="1"/>
                <w:color w:val="auto"/>
              </w:rPr>
            </w:pPr>
          </w:p>
        </w:tc>
      </w:tr>
      <w:tr>
        <w:trPr>
          <w:trHeight w:val="229"/>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credits</w:t>
            </w:r>
          </w:p>
        </w:tc>
        <w:tc>
          <w:tcPr>
            <w:tcW w:w="3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19,615</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 reserves</w:t>
            </w:r>
          </w:p>
        </w:tc>
        <w:tc>
          <w:tcPr>
            <w:tcW w:w="3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0" w:type="dxa"/>
            <w:vAlign w:val="bottom"/>
          </w:tcPr>
          <w:p>
            <w:pPr>
              <w:spacing w:after="0"/>
              <w:rPr>
                <w:sz w:val="1"/>
                <w:szCs w:val="1"/>
                <w:color w:val="auto"/>
              </w:rPr>
            </w:pPr>
          </w:p>
        </w:tc>
      </w:tr>
      <w:tr>
        <w:trPr>
          <w:trHeight w:val="229"/>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losses</w:t>
            </w:r>
          </w:p>
        </w:tc>
        <w:tc>
          <w:tcPr>
            <w:tcW w:w="3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12,053</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71,806</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assets</w:t>
            </w:r>
          </w:p>
        </w:tc>
        <w:tc>
          <w:tcPr>
            <w:tcW w:w="3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2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 before valuation allowance</w:t>
            </w:r>
          </w:p>
        </w:tc>
        <w:tc>
          <w:tcPr>
            <w:tcW w:w="3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64,481</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(65,629)</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(59,686)</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bottom w:val="single" w:sz="8" w:color="CCEEFF"/>
            </w:tcBorders>
            <w:vMerge w:val="restart"/>
          </w:tcPr>
          <w:p>
            <w:pPr>
              <w:jc w:val="right"/>
              <w:ind w:right="2030"/>
              <w:spacing w:after="0"/>
              <w:rPr>
                <w:sz w:val="20"/>
                <w:szCs w:val="20"/>
                <w:color w:val="auto"/>
              </w:rPr>
            </w:pPr>
            <w:r>
              <w:rPr>
                <w:rFonts w:ascii="Times New Roman" w:cs="Times New Roman" w:eastAsia="Times New Roman" w:hAnsi="Times New Roman"/>
                <w:sz w:val="18"/>
                <w:szCs w:val="18"/>
                <w:color w:val="auto"/>
              </w:rPr>
              <w:t>66</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60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8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The provision for income taxes differs from the amount of income tax determined by applying the applicable U.S. statutory federal income tax rate to pre-tax income from operations as a result of the following:</w:t>
      </w: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 (benefit) at statutory U.S. rate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tax provision (benefit) resulting from:</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of previously taxed foreign earnings and profits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(16,776)</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 research and development credits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participation exemption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permanent benefit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15,133</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undistributed earnings, net of credits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6,486</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Non-deductible items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Non-territorial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to return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 of intangible asset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 and local taxes,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rate change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12,058</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Withholding tax</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we had U.S. federal and state Research and Development ("R&amp;D") income tax credit carryforwards of approximately $6.0 million and $17.6 million, respectively. The federal R&amp;D income tax credits begin expiring in 2039. The state R&amp;D income tax credits do not have an expiration date.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we had U.S. federal, state and local, and foreign net operating loss carryforwards of approximately $28.6 million, $91.0 million and $7.5 million, respectively. The U.S. federal net operating loss carryforwards do not have an expiration date. The state and local and foreign net operating loss carryforwards begin to expire in 2025 and 2027, respectively.</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2024, we assessed the realizability of the Company's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the scheduled reversal of deferred tax liabilities, tax planning strategies and projected future taxable income in making this assessment. Due to cumulative operating losses for the three years ended December 31, 2024, we have recorded a valuation allowance against our U.S. federal and state deferred tax assets of $39.3 million and $23.8 million, respectively, as we have determined that it is more likely than not that the tax benefits will not be realized in the future. The valuation allowance increased by $6.0 million and $15.1 million during the years ended December 31, 2024 and 2023, respectively. The Company had an overall U.S. federal deferred tax liability as of December 31, 2024 for foreign withholding taxes that cannot be used as a source of income to offset deferred tax assets.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general, under Section 382, a corporation that undergoes an "ownership change" is subject to limitations on its ability to utilize pre-change net operating losses and tax credits to offset future taxable income. We do not believe that we have experienced such an ownership change and do not expect our net operating losses and tax credits to be subject to the limitations under Section 382.</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and 2023, we had gross unrecognized tax benefits of approximately $3.7 million and $3.4 million, respectively, including interest and penalties. In accordance with accounting guidance, we have elected to classify interest and penalties as components of tax expense. Interest and penalties were immaterial for the year ended December 31, 2024, 2023 and 2022. Interest and penalties are included in the unrecognized tax benefits.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to our gross unrecognized tax benefits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Additions as a result of tax positions taken during the current year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Approximately $3.7 million, $3.3 million and $3.2 million of the total amount of unrecognized tax benefits at December 31, 2024, 2023 and 2022, respectively, would favorably effect the annual effective tax rate if not for the valuation allowance. We are unaware of any positions for which it is reasonably possible that the total amounts of unrecognized tax benefits will significantly increase within the next twelve months. We do not anticipate a decrease in unrecognized tax benefits within the next twelve months based on federal, state, and foreign statute expirations in various jurisdictions. We have classified uncertain tax positions as non-current income tax liabilities unless expected to be paid within one year.</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file income tax returns in the U.S. and in various state and foreign jurisdictions. As of December 31, 2024, the open statutes of limitations for our significant tax jurisdictions are as follows: U.S. federal for 2021 through 2023, state and local for 2020 through 2023, and non-U.S. for 2018 through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Indefinite Reinvestment Assertion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in 2018, the Tax Act generally provides a 100% federal deduction for dividends received from foreign subsidiaries. Nevertheless, companies must still apply the guidance of ASC Topic 740 to account for the tax consequences of outside basis differences and other tax impacts of their investments in foreign subsidiaries, including potential foreign withholding taxes on distributions. For the years ended December 31, 2024, 2023 and 2022, we recorded a deferred tax liability of $0.4 million, $0.4 million and $0.5 million, respectively, relating to state tax and foreign tax withholding liabilities on future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Accrued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accrued compensation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commission</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Accrued salary/wages </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Accrued social insurance </w:t>
            </w:r>
            <w:r>
              <w:rPr>
                <w:rFonts w:ascii="Times New Roman" w:cs="Times New Roman" w:eastAsia="Times New Roman" w:hAnsi="Times New Roman"/>
                <w:sz w:val="23"/>
                <w:szCs w:val="23"/>
                <w:color w:val="auto"/>
                <w:vertAlign w:val="superscript"/>
              </w:rPr>
              <w:t>(2)(3)</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7,082</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vacation/holiday</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compensation</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compensation</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20,305</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left="660" w:hanging="328"/>
        <w:spacing w:after="0" w:line="235"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year ended December 31, 2024, accrued severance expenses of $0.8 million and $0.1 million related to our Mexico and Asia manufacturing footprint optimization efforts, respectively, are included in this amount. See Note 13 for further information related to our restructuring activities.</w:t>
      </w:r>
    </w:p>
    <w:p>
      <w:pPr>
        <w:spacing w:after="0" w:line="10" w:lineRule="exact"/>
        <w:rPr>
          <w:rFonts w:ascii="Times New Roman" w:cs="Times New Roman" w:eastAsia="Times New Roman" w:hAnsi="Times New Roman"/>
          <w:sz w:val="23"/>
          <w:szCs w:val="23"/>
          <w:color w:val="auto"/>
          <w:vertAlign w:val="superscript"/>
        </w:rPr>
      </w:pPr>
    </w:p>
    <w:p>
      <w:pPr>
        <w:ind w:left="660" w:right="20" w:hanging="328"/>
        <w:spacing w:after="0" w:line="229"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$0.1 million of accrued severance expenses at December 31, 2023, related to our Asia manufacturing footprint optimization efforts. See Note 13 for further information related to our restructuring activities.</w:t>
      </w:r>
    </w:p>
    <w:p>
      <w:pPr>
        <w:spacing w:after="0" w:line="22" w:lineRule="exact"/>
        <w:rPr>
          <w:rFonts w:ascii="Times New Roman" w:cs="Times New Roman" w:eastAsia="Times New Roman" w:hAnsi="Times New Roman"/>
          <w:sz w:val="23"/>
          <w:szCs w:val="23"/>
          <w:color w:val="auto"/>
          <w:vertAlign w:val="superscript"/>
        </w:rPr>
      </w:pPr>
    </w:p>
    <w:p>
      <w:pPr>
        <w:jc w:val="both"/>
        <w:ind w:left="660" w:hanging="328"/>
        <w:spacing w:after="0" w:line="239"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PRC employers are required by law to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December 31, 2024 and 2023.</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Other Accrued Liabilities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other accrued liabilities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associated with fulfilled performance obligations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Freight and handling fees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Legal judgment </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warranty claim costs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value added taxes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(2)</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0" w:type="dxa"/>
            <w:vAlign w:val="bottom"/>
          </w:tcPr>
          <w:p>
            <w:pPr>
              <w:spacing w:after="0"/>
              <w:rPr>
                <w:sz w:val="1"/>
                <w:szCs w:val="1"/>
                <w:color w:val="auto"/>
              </w:rPr>
            </w:pPr>
          </w:p>
        </w:tc>
      </w:tr>
      <w:tr>
        <w:trPr>
          <w:trHeight w:val="223"/>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accrued liabilities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21,008</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21,181</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660" w:hanging="328"/>
        <w:spacing w:after="0" w:line="229" w:lineRule="auto"/>
        <w:tabs>
          <w:tab w:leader="none" w:pos="648"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amount relates to the judgment of a lawsuit with an employment agency in the PRC. See Note 13 for further information related to this matter.</w:t>
      </w:r>
    </w:p>
    <w:p>
      <w:pPr>
        <w:spacing w:after="0" w:line="22"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48"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$0.1 million and $0.2 million at December 31, 2024 and 2023, respectively, associated with the purchase of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indemnify our directors and officers to the maximum extent permitted under the laws of the state of Delaware and we have entered into indemnification agreements with each of our directors and executive officers. In addition, we insure our individual directors and officers against certain claims and attorney's fees and related expenses incurred in connection with the defense of such claims. The amounts and types of coverage may vary from period to period as dictated by market conditions. Management is not aware of any matters that require material indemnification of its officers or directors.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Price Provisions and Other Anti-Takeover Measures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as amended, contains certain provisions restricting business combinations with interested stockholders under certain circumstances and imposing higher voting requirements for the approval of certain transactions ("fair price" provisions). Any of these provisions may delay or prevent a change in control.</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price" provisions require that holders of at least two-thirds of our outstanding shares of voting stock approve certain business combinations and significant transactions with interested stockholders.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various inventory and property, plant and equipment related purchase agreements with suppliers. Certain of these agreements have provisions for a binding forecast (inventory) or non-cancellable purchase orders (inventory and PP&amp;E). As of December 31, 2024, we had non-cancellable purchase commitments with suppliers for inventory and PP&amp;E of $9.3 million and $0.9 million, respectively. These amounts are expected to be paid within the next twelve months.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liability for product warranty claim costs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(reductions) to costs and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(in cash or in kind)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Activities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Asia</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conjunction with our plan to restructure and optimize our manufacturing footprint while reducing our concentration risk in the PRC, we stopped all production activities and began to shut down our southwestern PRC factory beginning in the third quarter of 2023. In addition, during the fourth quarter of 2024, we stopped production activities and shut down one of our eastern PRC factories. We incurred $0.5 million of severance and $0.1 million of other exit costs during the year ended December 31, 2024 and $3.4 million of severance and $0.6 million of other exit costs for the year ended December 31, 2023. These costs are included within factory restructuring charges on our consolidated statements of operations. We have recognized a total of $4.6 million in factory restructuring charges since September 2023. This factory restructuring was completed in the fourth quarter of 2024 and we do not expect any further expenses associated with this plan.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Mexico</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our plan to restructure and optimize our factory footprint, we have worked to downsize our factory in Mexico due to decreased demand in the U.S. market and our Vietnam facility's ability to supply our North American customers. We have</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leased a smaller facility and reduced our factory headcount during the year ended December 31, 2024. We incurred $1.5 million of severance and $1.5 million of other exit costs during the year ended December 31, 2024. These costs are included within factory restructuring charges on our consolidated statements of operations. We have recognized a total of $3.0 million in factory restructuring charges since January 2024. This factory restructuring is scheduled to be completed in the second quarter of 2025 and we do not expect any further expenses associated with this plan.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Restructuring liabilities are included in accrued compensation, accounts payable and other accrued liabilities on our consolidated balance sheets. Total restructuring activities for the years ended December 31, 2024 and December 31, 2023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Restructuring Costs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220" w:type="dxa"/>
            <w:vAlign w:val="bottom"/>
          </w:tcPr>
          <w:p>
            <w:pPr>
              <w:spacing w:after="0"/>
              <w:rPr>
                <w:sz w:val="11"/>
                <w:szCs w:val="11"/>
                <w:color w:val="auto"/>
              </w:rPr>
            </w:pPr>
          </w:p>
        </w:tc>
        <w:tc>
          <w:tcPr>
            <w:tcW w:w="1100" w:type="dxa"/>
            <w:vAlign w:val="bottom"/>
          </w:tcPr>
          <w:p>
            <w:pPr>
              <w:jc w:val="right"/>
              <w:ind w:right="253"/>
              <w:spacing w:after="0" w:line="131" w:lineRule="exact"/>
              <w:rPr>
                <w:sz w:val="20"/>
                <w:szCs w:val="20"/>
                <w:color w:val="auto"/>
              </w:rPr>
            </w:pPr>
            <w:r>
              <w:rPr>
                <w:rFonts w:ascii="Times New Roman" w:cs="Times New Roman" w:eastAsia="Times New Roman" w:hAnsi="Times New Roman"/>
                <w:sz w:val="14"/>
                <w:szCs w:val="14"/>
                <w:b w:val="1"/>
                <w:bCs w:val="1"/>
                <w:color w:val="auto"/>
              </w:rPr>
              <w:t>Other Exit</w:t>
            </w:r>
          </w:p>
        </w:tc>
        <w:tc>
          <w:tcPr>
            <w:tcW w:w="0" w:type="dxa"/>
            <w:vAlign w:val="bottom"/>
          </w:tcPr>
          <w:p>
            <w:pPr>
              <w:spacing w:after="0"/>
              <w:rPr>
                <w:sz w:val="1"/>
                <w:szCs w:val="1"/>
                <w:color w:val="auto"/>
              </w:rPr>
            </w:pPr>
          </w:p>
        </w:tc>
      </w:tr>
      <w:tr>
        <w:trPr>
          <w:trHeight w:val="195"/>
        </w:trPr>
        <w:tc>
          <w:tcPr>
            <w:tcW w:w="70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20" w:type="dxa"/>
            <w:vAlign w:val="bottom"/>
          </w:tcPr>
          <w:p>
            <w:pPr>
              <w:spacing w:after="0"/>
              <w:rPr>
                <w:sz w:val="16"/>
                <w:szCs w:val="16"/>
                <w:color w:val="auto"/>
              </w:rPr>
            </w:pPr>
          </w:p>
        </w:tc>
        <w:tc>
          <w:tcPr>
            <w:tcW w:w="11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28"/>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Total costs incurred inception to date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060" w:type="dxa"/>
            <w:vAlign w:val="bottom"/>
            <w:vMerge w:val="continue"/>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7,600</w:t>
            </w:r>
          </w:p>
        </w:tc>
        <w:tc>
          <w:tcPr>
            <w:tcW w:w="100" w:type="dxa"/>
            <w:vAlign w:val="bottom"/>
          </w:tcPr>
          <w:p>
            <w:pPr>
              <w:spacing w:after="0"/>
              <w:rPr>
                <w:sz w:val="17"/>
                <w:szCs w:val="17"/>
                <w:color w:val="auto"/>
              </w:rPr>
            </w:pPr>
          </w:p>
        </w:tc>
        <w:tc>
          <w:tcPr>
            <w:tcW w:w="240" w:type="dxa"/>
            <w:vAlign w:val="bottom"/>
          </w:tcPr>
          <w:p>
            <w:pPr>
              <w:jc w:val="right"/>
              <w:ind w:right="33"/>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5,433</w:t>
            </w:r>
          </w:p>
        </w:tc>
        <w:tc>
          <w:tcPr>
            <w:tcW w:w="12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2,167</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estimated expense to be incurred after December 31, 2024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Roku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UEI and Roku Inc. ("Roku") and certain of its customers have been in litigation in various forums since 2018—i.e., two actions in the Central District of California ("CDCA") beginning in 2018 and 2020 including related cases against certain of Roku's customers (collectively, the "CDCA cases"), the International Trade Commission ("ITC"), the Patent and Trademark Office ("PTO")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reexams) and the Patent and Trademark Appeals Board ("PTAB"). The CDCA cases have all been stayed on various grounds since 2019. The 2018 case was stayed in November 2019 pending resolution of Roku initiated PTO and PTAB matters, all of which have since been resolved.</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2020 case was also immediately stayed due to UEI's related ITC action against Roku, in which UEI ultimately prevailed when on July 9, 2021, the Administrative Law Judge ("ALJ") issued an initial determination finding Roku in violation of Section 337. The Commission issued a final determination on November 10, 2021, affirming the ALJ’s finding. The Commission then issued a limited exclusion order and cease and desist order against Roku, which went into effect following the expiration of the Presidential Review Period on January 9, 2022. The Federal Circuit affirmed on January 19, 2024. Following UEI's win and affirmance by the Federal Circuit, Roku sought rehearing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and sought cert from the Supreme Court on a domestic industry question. On January 13, 2025, the Supreme Court denied cert.</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this ITC matter has been finally resolved and Roku has no more ability to appeal, we have agreed to continue the stay of the CDCA cases pending the outcome of one final PTAB action involving one of our patents, which we expect to occur in the first half of 2025.</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Roku also filed its own retaliatory ITC action against UEI and certain of our customers on two patents it purchased for this purpose. Roku’s action failed when on June 24, 2022, the ALJ found on of Roku’s patents to be invalid as indefinite. Thereafter, on June 28, 2022, the ALJ issued its initial determination ("ID") fully exonerating us and our customers finding Roku’s second patent invalid and that Roku failed to establish the requisite domestic industry and thus no violation of the Tariff Act. Roku and we filed petitions to appeal certain portions of the ID. On October 28, 2022, the full ITC issued its final determination affirming the ID, ruling there was no violation of the Tariff Act and terminated the investigation. In December 2022, Roku filed an appeal, which remains pending. Further, on October 23, 2023, the PTBA issued its Final Written Decision invalidating all of the claims Roku alleges we infringe. As a companion to its ITC request, on April 8, 2021, Roku also filed a</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8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lawsuit against us in Federal CDCA alleging that we are infringing the same two patents they alleged being infringed in the ITC investigation explained above. This District Court case has been stayed pending their ITC case, and will likely continue to be stayed pending the conclusion of Roku's appeal of their ITC case.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Court of International Trade Action against the United States of America, et. al.</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9, 2020, we and our subsidiaries, Ecolink Intelligent Technology, Inc. ("Ecolink") and RCS Technology, LLC ("RCS"), filed an amended complaint (20-cv-00670) in the Court of International Trade (the "CIT") against the United States of America; the Office of the United States Trade Representative; Robert E. Lighthizer, U.S. Trade Representative; U.S. Customs &amp; Border Protection; and Mark A. Morgan, U.S. Customs &amp; Border Protection Acting Commissioner, challenging both the substantive and procedural processes followed by the United States Trade Representative ("USTR") when instituting Section 301 Tariffs on imports from the PRC under Lists 3 and 4A.</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8, 2025, the U.S. Court of Appeals for the Federal Circuit ("USCAFC") heard oral arguments on the appeal by the lead plaintiff from the Court of International Trade's ("CIT") March 17, 2023 decision in which the CIT sustained the List 3 and List 4 tariffs, concluding that USTR's rationale in support of the tariffs was not impermissibly post hoc. A decision from the USCAFC is expected by the end of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Tongshun Matters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23, 2024, Tongshun Company ("TS") filed suit against one of our subsidiaries, Gemstar Technology (Yangzhou) Co. Ltd. ("GTY"), claiming among other things, breach of an employment agency, and as is standard in Chinese litigation matters such as these, TS had also requested the Court to order a hold on GTY's bank account for the total claimed amount of RMB 35 million (approximately $4.8 million). On December 20, 2024, the Court rendered a decision in favor of TS and ordered a judgment of RMB 27.4 million (approximately $3.8 million) plus interest and costs totaling approximately RMB 30.4 million (approximately $4.2 million). We recorded an accrual for this judgment during the fourth quarter of 2024. This accrual is included in other accrued expenses on our consolidated balance sheets. The legal fees associated with this matter are expensed as incurred. We filed an appeal against this judgment and on February 11, 2025, the Jiangsu Province Yangzhou Intermediate People's Court heard oral argument and we expect a decision during the first half of 2025.</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Litigation Matters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consolidated financial condition, results of operations, or cash flows. Moreover, we believe that our products do not infringe any third parties' patents or other intellectual property rights.</w:t>
      </w:r>
    </w:p>
    <w:p>
      <w:pPr>
        <w:spacing w:after="0" w:line="21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Plan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subsidiary in India maintains a defined benefit pension plan ("India Plan") for local employees, which is consistent with local statutes and practices. The pension plan was adequately funded on December 31, 2024 based on its latest actuarial report. The India Plan has an independent external manager that advises us of the appropriate funding contribution requirements to which we comply. At December 31, 2024, approximately 53 percent of our India subsidiary employees had qualified for eligibility. An individual must be employed by our India subsidiary for a minimum of five years before becoming eligible. Upon the termination, resignation or retirement of an eligible employee, we are liable to pay the employee an amount equal to 15 days salary for each full year of service completed. The total amount of liability outstanding at December 31, 2024 and 2023</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India Plan was not material. During the years ended December 31, 2024, 2023 and 2022, the net periodic benefit costs were also not material.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Treasury Stock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our Board of Directors authorizes management to repurchase shares of our issued and outstanding common stock. On October 26, 2023, our Board approved a new share repurchase program with an effective date of November 7, 2023. Pursuant to the program, we are authorized to repurchase up to 1,000,000 shares of our common stock. At December 31, 2024, we had 778,362 shares available for repurchase under the program. We may utilize various methods to effect the repurchases under the program, including open market repurchases, negotiated block transactions, accelerated share repurchases or open market solicitations for shares, some or all of which could be effected through Rule 10b5-1 plans.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repurchase shares of our issued and outstanding common stock to satisfy income tax withholding obligations relating to the stock-based compensation of our employees and directors and/or the cost of stock option exercises.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Repurchased shares of our common stock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8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 market shares repurchased</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related shares repurchased</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repurchased</w:t>
            </w: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open market shares repurchased</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9,437</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stock-based compensation related shares repurchased</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shares repurchased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13,035</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Repurchased shares are recorded as shares held in treasury at cost. We hold these shares for future use as management and the Board of Directors deem appropriate.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Stock-Based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for each employee and director is presented in the same statement of operations caption as their cash compensation.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by statement of operations caption and the related income tax benefit were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80" w:type="dxa"/>
            <w:vAlign w:val="bottom"/>
            <w:tcBorders>
              <w:bottom w:val="single" w:sz="8" w:color="CCEEFF"/>
            </w:tcBorders>
            <w:vMerge w:val="continue"/>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Employees</w:t>
            </w: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Outside directors</w:t>
            </w:r>
          </w:p>
        </w:tc>
        <w:tc>
          <w:tcPr>
            <w:tcW w:w="1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0" w:type="dxa"/>
            <w:vAlign w:val="bottom"/>
          </w:tcPr>
          <w:p>
            <w:pPr>
              <w:spacing w:after="0"/>
              <w:rPr>
                <w:sz w:val="1"/>
                <w:szCs w:val="1"/>
                <w:color w:val="auto"/>
              </w:rPr>
            </w:pPr>
          </w:p>
        </w:tc>
      </w:tr>
      <w:tr>
        <w:trPr>
          <w:trHeight w:val="196"/>
        </w:trPr>
        <w:tc>
          <w:tcPr>
            <w:tcW w:w="5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employee and director stock-based compensation expense</w:t>
            </w:r>
          </w:p>
        </w:tc>
        <w:tc>
          <w:tcPr>
            <w:tcW w:w="166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6,700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8,809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10,013</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891"/>
        </w:trPr>
        <w:tc>
          <w:tcPr>
            <w:tcW w:w="5080" w:type="dxa"/>
            <w:vAlign w:val="bottom"/>
          </w:tcPr>
          <w:p>
            <w:pPr>
              <w:spacing w:after="0"/>
              <w:rPr>
                <w:sz w:val="24"/>
                <w:szCs w:val="24"/>
                <w:color w:val="auto"/>
              </w:rPr>
            </w:pPr>
          </w:p>
        </w:tc>
        <w:tc>
          <w:tcPr>
            <w:tcW w:w="166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restricted stock award activity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5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right="58"/>
              <w:spacing w:after="0" w:line="131"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04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vMerge w:val="restart"/>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0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10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beginning of the year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end of the year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3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we expect to recognize $5.1 million of total unrecognized pre-tax stock-based compensation expense related to non-vested restricted stock awards over a weighted-average life of 1.6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performance stock award activity was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3"/>
                <w:szCs w:val="13"/>
                <w:color w:val="auto"/>
              </w:rPr>
            </w:pPr>
          </w:p>
        </w:tc>
        <w:tc>
          <w:tcPr>
            <w:tcW w:w="1360" w:type="dxa"/>
            <w:vAlign w:val="bottom"/>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96"/>
        </w:trPr>
        <w:tc>
          <w:tcPr>
            <w:tcW w:w="73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3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8"/>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360" w:type="dxa"/>
            <w:vAlign w:val="bottom"/>
            <w:tcBorders>
              <w:top w:val="single" w:sz="8" w:color="auto"/>
              <w:bottom w:val="single" w:sz="8" w:color="auto"/>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The assumptions we utilized in the Monte Carlo simulation model and the resulting weighted average fair value of performance stock grants were the following:</w:t>
      </w:r>
    </w:p>
    <w:tbl>
      <w:tblPr>
        <w:tblLayout w:type="fixed"/>
        <w:tblInd w:w="0" w:type="dxa"/>
        <w:tblCellMar>
          <w:top w:w="0" w:type="dxa"/>
          <w:left w:w="0" w:type="dxa"/>
          <w:bottom w:w="0" w:type="dxa"/>
          <w:right w:w="0" w:type="dxa"/>
        </w:tblCellMar>
      </w:tblPr>
      <w:tr>
        <w:trPr>
          <w:trHeight w:val="190"/>
        </w:trPr>
        <w:tc>
          <w:tcPr>
            <w:tcW w:w="9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9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190"/>
        </w:trPr>
        <w:tc>
          <w:tcPr>
            <w:tcW w:w="90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fair value of grants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4.72</w:t>
            </w:r>
          </w:p>
        </w:tc>
      </w:tr>
      <w:tr>
        <w:trPr>
          <w:trHeight w:val="230"/>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4.08 %</w:t>
            </w:r>
          </w:p>
        </w:tc>
      </w:tr>
      <w:tr>
        <w:trPr>
          <w:trHeight w:val="23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57.00 %</w:t>
            </w:r>
          </w:p>
        </w:tc>
      </w:tr>
      <w:tr>
        <w:trPr>
          <w:trHeight w:val="234"/>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20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r>
    </w:tbl>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we expect to recognize $0.4 million of total unrecognized pre-tax stock-based compensation expense related to non-vested performance stock awards over a weighted-average life of 1.8 years.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546"/>
              <w:spacing w:after="0"/>
              <w:rPr>
                <w:sz w:val="20"/>
                <w:szCs w:val="20"/>
                <w:color w:val="auto"/>
              </w:rPr>
            </w:pPr>
            <w:r>
              <w:rPr>
                <w:rFonts w:ascii="Times New Roman" w:cs="Times New Roman" w:eastAsia="Times New Roman" w:hAnsi="Times New Roman"/>
                <w:sz w:val="13"/>
                <w:szCs w:val="13"/>
                <w:color w:val="auto"/>
                <w:w w:val="99"/>
              </w:rPr>
              <w:t>2024</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546"/>
              <w:spacing w:after="0"/>
              <w:rPr>
                <w:sz w:val="20"/>
                <w:szCs w:val="20"/>
                <w:color w:val="auto"/>
              </w:rPr>
            </w:pPr>
            <w:r>
              <w:rPr>
                <w:rFonts w:ascii="Times New Roman" w:cs="Times New Roman" w:eastAsia="Times New Roman" w:hAnsi="Times New Roman"/>
                <w:sz w:val="13"/>
                <w:szCs w:val="13"/>
                <w:color w:val="auto"/>
                <w:w w:val="99"/>
              </w:rPr>
              <w:t>2023</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566"/>
              <w:spacing w:after="0"/>
              <w:rPr>
                <w:sz w:val="20"/>
                <w:szCs w:val="20"/>
                <w:color w:val="auto"/>
              </w:rPr>
            </w:pPr>
            <w:r>
              <w:rPr>
                <w:rFonts w:ascii="Times New Roman" w:cs="Times New Roman" w:eastAsia="Times New Roman" w:hAnsi="Times New Roman"/>
                <w:sz w:val="13"/>
                <w:szCs w:val="13"/>
                <w:color w:val="auto"/>
                <w:w w:val="92"/>
              </w:rPr>
              <w:t>2022</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color w:val="auto"/>
                <w:w w:val="98"/>
              </w:rPr>
              <w:t>Weighted-</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color w:val="auto"/>
                <w:w w:val="94"/>
              </w:rPr>
              <w:t>Weighted-</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color w:val="auto"/>
                <w:w w:val="94"/>
              </w:rPr>
              <w:t>Weighted-</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jc w:val="center"/>
              <w:ind w:right="6"/>
              <w:spacing w:after="0"/>
              <w:rPr>
                <w:sz w:val="20"/>
                <w:szCs w:val="20"/>
                <w:color w:val="auto"/>
              </w:rPr>
            </w:pPr>
            <w:r>
              <w:rPr>
                <w:rFonts w:ascii="Times New Roman" w:cs="Times New Roman" w:eastAsia="Times New Roman" w:hAnsi="Times New Roman"/>
                <w:sz w:val="11"/>
                <w:szCs w:val="11"/>
                <w:color w:val="auto"/>
                <w:w w:val="98"/>
              </w:rPr>
              <w:t>Weighted-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color w:val="auto"/>
                <w:w w:val="91"/>
              </w:rPr>
              <w:t>Average</w:t>
            </w:r>
          </w:p>
        </w:tc>
        <w:tc>
          <w:tcPr>
            <w:tcW w:w="100" w:type="dxa"/>
            <w:vAlign w:val="bottom"/>
          </w:tcPr>
          <w:p>
            <w:pPr>
              <w:spacing w:after="0"/>
              <w:rPr>
                <w:sz w:val="9"/>
                <w:szCs w:val="9"/>
                <w:color w:val="auto"/>
              </w:rPr>
            </w:pPr>
          </w:p>
        </w:tc>
        <w:tc>
          <w:tcPr>
            <w:tcW w:w="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color w:val="auto"/>
              </w:rPr>
              <w:t>Aggregate</w:t>
            </w: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4"/>
              </w:rPr>
              <w:t>Weighted-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color w:val="auto"/>
                <w:w w:val="96"/>
              </w:rPr>
              <w:t>Average</w:t>
            </w:r>
          </w:p>
        </w:tc>
        <w:tc>
          <w:tcPr>
            <w:tcW w:w="100" w:type="dxa"/>
            <w:vAlign w:val="bottom"/>
          </w:tcPr>
          <w:p>
            <w:pPr>
              <w:spacing w:after="0"/>
              <w:rPr>
                <w:sz w:val="9"/>
                <w:szCs w:val="9"/>
                <w:color w:val="auto"/>
              </w:rPr>
            </w:pPr>
          </w:p>
        </w:tc>
        <w:tc>
          <w:tcPr>
            <w:tcW w:w="6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color w:val="auto"/>
                <w:w w:val="95"/>
              </w:rPr>
              <w:t>Aggregate</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jc w:val="center"/>
              <w:ind w:right="6"/>
              <w:spacing w:after="0"/>
              <w:rPr>
                <w:sz w:val="20"/>
                <w:szCs w:val="20"/>
                <w:color w:val="auto"/>
              </w:rPr>
            </w:pPr>
            <w:r>
              <w:rPr>
                <w:rFonts w:ascii="Times New Roman" w:cs="Times New Roman" w:eastAsia="Times New Roman" w:hAnsi="Times New Roman"/>
                <w:sz w:val="11"/>
                <w:szCs w:val="11"/>
                <w:color w:val="auto"/>
                <w:w w:val="98"/>
              </w:rPr>
              <w:t>Weighted-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color w:val="auto"/>
                <w:w w:val="96"/>
              </w:rPr>
              <w:t>Average</w:t>
            </w:r>
          </w:p>
        </w:tc>
        <w:tc>
          <w:tcPr>
            <w:tcW w:w="80" w:type="dxa"/>
            <w:vAlign w:val="bottom"/>
          </w:tcPr>
          <w:p>
            <w:pPr>
              <w:spacing w:after="0"/>
              <w:rPr>
                <w:sz w:val="9"/>
                <w:szCs w:val="9"/>
                <w:color w:val="auto"/>
              </w:rPr>
            </w:pPr>
          </w:p>
        </w:tc>
        <w:tc>
          <w:tcPr>
            <w:tcW w:w="58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color w:val="auto"/>
              </w:rPr>
              <w:t>Aggregate</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9"/>
              </w:rPr>
              <w:t>Number of</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color w:val="auto"/>
                <w:w w:val="95"/>
              </w:rPr>
              <w:t>Remaining</w:t>
            </w:r>
          </w:p>
        </w:tc>
        <w:tc>
          <w:tcPr>
            <w:tcW w:w="1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Number of</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color w:val="auto"/>
                <w:w w:val="99"/>
              </w:rPr>
              <w:t>Remaining</w:t>
            </w:r>
          </w:p>
        </w:tc>
        <w:tc>
          <w:tcPr>
            <w:tcW w:w="1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Number of</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color w:val="auto"/>
                <w:w w:val="99"/>
              </w:rPr>
              <w:t>Remaining</w:t>
            </w: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6"/>
              </w:rPr>
              <w:t>Average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color w:val="auto"/>
                <w:w w:val="97"/>
              </w:rPr>
              <w:t>Contractual</w:t>
            </w:r>
          </w:p>
        </w:tc>
        <w:tc>
          <w:tcPr>
            <w:tcW w:w="100" w:type="dxa"/>
            <w:vAlign w:val="bottom"/>
          </w:tcPr>
          <w:p>
            <w:pPr>
              <w:spacing w:after="0"/>
              <w:rPr>
                <w:sz w:val="9"/>
                <w:szCs w:val="9"/>
                <w:color w:val="auto"/>
              </w:rPr>
            </w:pPr>
          </w:p>
        </w:tc>
        <w:tc>
          <w:tcPr>
            <w:tcW w:w="68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color w:val="auto"/>
                <w:w w:val="98"/>
              </w:rPr>
              <w:t>Intrinsic</w:t>
            </w: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6"/>
              </w:rPr>
              <w:t>Average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color w:val="auto"/>
                <w:w w:val="97"/>
              </w:rPr>
              <w:t>Contractual</w:t>
            </w:r>
          </w:p>
        </w:tc>
        <w:tc>
          <w:tcPr>
            <w:tcW w:w="100" w:type="dxa"/>
            <w:vAlign w:val="bottom"/>
          </w:tcPr>
          <w:p>
            <w:pPr>
              <w:spacing w:after="0"/>
              <w:rPr>
                <w:sz w:val="9"/>
                <w:szCs w:val="9"/>
                <w:color w:val="auto"/>
              </w:rPr>
            </w:pPr>
          </w:p>
        </w:tc>
        <w:tc>
          <w:tcPr>
            <w:tcW w:w="68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color w:val="auto"/>
                <w:w w:val="98"/>
              </w:rPr>
              <w:t>Intrinsic</w:t>
            </w:r>
          </w:p>
        </w:tc>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1"/>
              </w:rPr>
              <w:t>Average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color w:val="auto"/>
                <w:w w:val="97"/>
              </w:rPr>
              <w:t>Contractual</w:t>
            </w:r>
          </w:p>
        </w:tc>
        <w:tc>
          <w:tcPr>
            <w:tcW w:w="80" w:type="dxa"/>
            <w:vAlign w:val="bottom"/>
          </w:tcPr>
          <w:p>
            <w:pPr>
              <w:spacing w:after="0"/>
              <w:rPr>
                <w:sz w:val="9"/>
                <w:szCs w:val="9"/>
                <w:color w:val="auto"/>
              </w:rPr>
            </w:pPr>
          </w:p>
        </w:tc>
        <w:tc>
          <w:tcPr>
            <w:tcW w:w="58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color w:val="auto"/>
                <w:w w:val="98"/>
              </w:rPr>
              <w:t>Intrinsic</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6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Options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rPr>
              <w:t>Exercise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color w:val="auto"/>
                <w:w w:val="92"/>
              </w:rPr>
              <w:t>Term</w:t>
            </w:r>
          </w:p>
        </w:tc>
        <w:tc>
          <w:tcPr>
            <w:tcW w:w="100" w:type="dxa"/>
            <w:vAlign w:val="bottom"/>
          </w:tcPr>
          <w:p>
            <w:pPr>
              <w:spacing w:after="0"/>
              <w:rPr>
                <w:sz w:val="9"/>
                <w:szCs w:val="9"/>
                <w:color w:val="auto"/>
              </w:rPr>
            </w:pPr>
          </w:p>
        </w:tc>
        <w:tc>
          <w:tcPr>
            <w:tcW w:w="6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color w:val="auto"/>
                <w:w w:val="98"/>
              </w:rPr>
              <w:t>Value</w:t>
            </w:r>
          </w:p>
        </w:tc>
        <w:tc>
          <w:tcPr>
            <w:tcW w:w="6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Options</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4"/>
              </w:rPr>
              <w:t>Exercise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color w:val="auto"/>
                <w:w w:val="92"/>
              </w:rPr>
              <w:t>Term</w:t>
            </w:r>
          </w:p>
        </w:tc>
        <w:tc>
          <w:tcPr>
            <w:tcW w:w="100" w:type="dxa"/>
            <w:vAlign w:val="bottom"/>
          </w:tcPr>
          <w:p>
            <w:pPr>
              <w:spacing w:after="0"/>
              <w:rPr>
                <w:sz w:val="9"/>
                <w:szCs w:val="9"/>
                <w:color w:val="auto"/>
              </w:rPr>
            </w:pPr>
          </w:p>
        </w:tc>
        <w:tc>
          <w:tcPr>
            <w:tcW w:w="68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color w:val="auto"/>
                <w:w w:val="91"/>
              </w:rPr>
              <w:t>Value</w:t>
            </w:r>
          </w:p>
        </w:tc>
        <w:tc>
          <w:tcPr>
            <w:tcW w:w="6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Options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rPr>
              <w:t>Exercise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color w:val="auto"/>
                <w:w w:val="92"/>
              </w:rPr>
              <w:t>Term</w:t>
            </w:r>
          </w:p>
        </w:tc>
        <w:tc>
          <w:tcPr>
            <w:tcW w:w="80" w:type="dxa"/>
            <w:vAlign w:val="bottom"/>
          </w:tcPr>
          <w:p>
            <w:pPr>
              <w:spacing w:after="0"/>
              <w:rPr>
                <w:sz w:val="9"/>
                <w:szCs w:val="9"/>
                <w:color w:val="auto"/>
              </w:rPr>
            </w:pPr>
          </w:p>
        </w:tc>
        <w:tc>
          <w:tcPr>
            <w:tcW w:w="580" w:type="dxa"/>
            <w:vAlign w:val="bottom"/>
          </w:tcPr>
          <w:p>
            <w:pPr>
              <w:jc w:val="center"/>
              <w:ind w:right="26"/>
              <w:spacing w:after="0" w:line="108" w:lineRule="exact"/>
              <w:rPr>
                <w:sz w:val="20"/>
                <w:szCs w:val="20"/>
                <w:color w:val="auto"/>
              </w:rPr>
            </w:pPr>
            <w:r>
              <w:rPr>
                <w:rFonts w:ascii="Times New Roman" w:cs="Times New Roman" w:eastAsia="Times New Roman" w:hAnsi="Times New Roman"/>
                <w:sz w:val="11"/>
                <w:szCs w:val="11"/>
                <w:color w:val="auto"/>
                <w:w w:val="98"/>
              </w:rPr>
              <w:t>Value</w:t>
            </w:r>
          </w:p>
        </w:tc>
        <w:tc>
          <w:tcPr>
            <w:tcW w:w="0" w:type="dxa"/>
            <w:vAlign w:val="bottom"/>
          </w:tcPr>
          <w:p>
            <w:pPr>
              <w:spacing w:after="0"/>
              <w:rPr>
                <w:sz w:val="1"/>
                <w:szCs w:val="1"/>
                <w:color w:val="auto"/>
              </w:rPr>
            </w:pPr>
          </w:p>
        </w:tc>
      </w:tr>
      <w:tr>
        <w:trPr>
          <w:trHeight w:val="140"/>
        </w:trPr>
        <w:tc>
          <w:tcPr>
            <w:tcW w:w="200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(in 000's)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7"/>
              </w:rPr>
              <w:t>Price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(in years)</w:t>
            </w:r>
          </w:p>
        </w:tc>
        <w:tc>
          <w:tcPr>
            <w:tcW w:w="10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color w:val="auto"/>
              </w:rPr>
              <w:t>(in 000's)</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(in 000's)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7"/>
              </w:rPr>
              <w:t>Price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(in years)</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w w:val="96"/>
              </w:rPr>
              <w:t>(in 000's)</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(in 000's)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7"/>
              </w:rPr>
              <w:t>Price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(in years)</w:t>
            </w:r>
          </w:p>
        </w:tc>
        <w:tc>
          <w:tcPr>
            <w:tcW w:w="80" w:type="dxa"/>
            <w:vAlign w:val="bottom"/>
          </w:tcPr>
          <w:p>
            <w:pPr>
              <w:spacing w:after="0"/>
              <w:rPr>
                <w:sz w:val="12"/>
                <w:szCs w:val="12"/>
                <w:color w:val="auto"/>
              </w:rPr>
            </w:pPr>
          </w:p>
        </w:tc>
        <w:tc>
          <w:tcPr>
            <w:tcW w:w="580" w:type="dxa"/>
            <w:vAlign w:val="bottom"/>
          </w:tcPr>
          <w:p>
            <w:pPr>
              <w:jc w:val="center"/>
              <w:ind w:right="26"/>
              <w:spacing w:after="0"/>
              <w:rPr>
                <w:sz w:val="20"/>
                <w:szCs w:val="20"/>
                <w:color w:val="auto"/>
              </w:rPr>
            </w:pPr>
            <w:r>
              <w:rPr>
                <w:rFonts w:ascii="Times New Roman" w:cs="Times New Roman" w:eastAsia="Times New Roman" w:hAnsi="Times New Roman"/>
                <w:sz w:val="11"/>
                <w:szCs w:val="11"/>
                <w:color w:val="auto"/>
              </w:rPr>
              <w:t>(in 000's)</w:t>
            </w:r>
          </w:p>
        </w:tc>
        <w:tc>
          <w:tcPr>
            <w:tcW w:w="0" w:type="dxa"/>
            <w:vAlign w:val="bottom"/>
          </w:tcPr>
          <w:p>
            <w:pPr>
              <w:spacing w:after="0"/>
              <w:rPr>
                <w:sz w:val="1"/>
                <w:szCs w:val="1"/>
                <w:color w:val="auto"/>
              </w:rPr>
            </w:pPr>
          </w:p>
        </w:tc>
      </w:tr>
      <w:tr>
        <w:trPr>
          <w:trHeight w:val="22"/>
        </w:trPr>
        <w:tc>
          <w:tcPr>
            <w:tcW w:w="20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Outstanding at beginning of the year</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901</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38.78</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782</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44.16</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800</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45.55</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Granted</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139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Exercised</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7"/>
              </w:rPr>
              <w:t>(80)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19.25</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292</w:t>
            </w:r>
          </w:p>
        </w:tc>
        <w:tc>
          <w:tcPr>
            <w:tcW w:w="0" w:type="dxa"/>
            <w:vAlign w:val="bottom"/>
          </w:tcPr>
          <w:p>
            <w:pPr>
              <w:spacing w:after="0"/>
              <w:rPr>
                <w:sz w:val="1"/>
                <w:szCs w:val="1"/>
                <w:color w:val="auto"/>
              </w:rPr>
            </w:pPr>
          </w:p>
        </w:tc>
      </w:tr>
      <w:tr>
        <w:trPr>
          <w:trHeight w:val="140"/>
        </w:trPr>
        <w:tc>
          <w:tcPr>
            <w:tcW w:w="2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Forfeited/canceled/expired</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58.52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46.59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7"/>
              </w:rPr>
              <w:t>(77)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64.81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0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1"/>
                <w:szCs w:val="11"/>
                <w:color w:val="auto"/>
              </w:rPr>
              <w:t xml:space="preserve">Outstanding at end of the year </w:t>
            </w:r>
            <w:r>
              <w:rPr>
                <w:rFonts w:ascii="Times New Roman" w:cs="Times New Roman" w:eastAsia="Times New Roman" w:hAnsi="Times New Roman"/>
                <w:sz w:val="14"/>
                <w:szCs w:val="14"/>
                <w:color w:val="auto"/>
                <w:vertAlign w:val="superscript"/>
              </w:rPr>
              <w:t>(1)</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779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35.67</w:t>
            </w:r>
          </w:p>
        </w:tc>
        <w:tc>
          <w:tcPr>
            <w:tcW w:w="880" w:type="dxa"/>
            <w:vAlign w:val="bottom"/>
            <w:tcBorders>
              <w:bottom w:val="single" w:sz="8" w:color="CCEEFF"/>
            </w:tcBorders>
            <w:gridSpan w:val="3"/>
            <w:shd w:val="clear" w:color="auto" w:fill="CCEEFF"/>
          </w:tcPr>
          <w:p>
            <w:pPr>
              <w:jc w:val="center"/>
              <w:ind w:left="84"/>
              <w:spacing w:after="0"/>
              <w:rPr>
                <w:sz w:val="20"/>
                <w:szCs w:val="20"/>
                <w:color w:val="auto"/>
              </w:rPr>
            </w:pPr>
            <w:r>
              <w:rPr>
                <w:rFonts w:ascii="Times New Roman" w:cs="Times New Roman" w:eastAsia="Times New Roman" w:hAnsi="Times New Roman"/>
                <w:sz w:val="11"/>
                <w:szCs w:val="11"/>
                <w:color w:val="auto"/>
                <w:w w:val="93"/>
              </w:rPr>
              <w:t>3.12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38.78</w:t>
            </w:r>
          </w:p>
        </w:tc>
        <w:tc>
          <w:tcPr>
            <w:tcW w:w="880" w:type="dxa"/>
            <w:vAlign w:val="bottom"/>
            <w:tcBorders>
              <w:bottom w:val="single" w:sz="8" w:color="CCEEFF"/>
            </w:tcBorders>
            <w:gridSpan w:val="3"/>
            <w:shd w:val="clear" w:color="auto" w:fill="CCEEFF"/>
          </w:tcPr>
          <w:p>
            <w:pPr>
              <w:jc w:val="center"/>
              <w:ind w:left="84"/>
              <w:spacing w:after="0"/>
              <w:rPr>
                <w:sz w:val="20"/>
                <w:szCs w:val="20"/>
                <w:color w:val="auto"/>
              </w:rPr>
            </w:pPr>
            <w:r>
              <w:rPr>
                <w:rFonts w:ascii="Times New Roman" w:cs="Times New Roman" w:eastAsia="Times New Roman" w:hAnsi="Times New Roman"/>
                <w:sz w:val="11"/>
                <w:szCs w:val="11"/>
                <w:color w:val="auto"/>
                <w:w w:val="93"/>
              </w:rPr>
              <w:t>3.67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782</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44.16</w:t>
            </w:r>
          </w:p>
        </w:tc>
        <w:tc>
          <w:tcPr>
            <w:tcW w:w="880" w:type="dxa"/>
            <w:vAlign w:val="bottom"/>
            <w:tcBorders>
              <w:bottom w:val="single" w:sz="8" w:color="CCEEFF"/>
            </w:tcBorders>
            <w:gridSpan w:val="3"/>
            <w:shd w:val="clear" w:color="auto" w:fill="CCEEFF"/>
          </w:tcPr>
          <w:p>
            <w:pPr>
              <w:jc w:val="center"/>
              <w:ind w:left="84"/>
              <w:spacing w:after="0"/>
              <w:rPr>
                <w:sz w:val="20"/>
                <w:szCs w:val="20"/>
                <w:color w:val="auto"/>
              </w:rPr>
            </w:pPr>
            <w:r>
              <w:rPr>
                <w:rFonts w:ascii="Times New Roman" w:cs="Times New Roman" w:eastAsia="Times New Roman" w:hAnsi="Times New Roman"/>
                <w:sz w:val="11"/>
                <w:szCs w:val="11"/>
                <w:color w:val="auto"/>
                <w:w w:val="93"/>
              </w:rPr>
              <w:t>3.45</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bottom w:val="single" w:sz="8" w:color="CCEEFF"/>
            </w:tcBorders>
            <w:vMerge w:val="restart"/>
          </w:tcPr>
          <w:p>
            <w:pPr>
              <w:ind w:left="20"/>
              <w:spacing w:after="0" w:line="95" w:lineRule="exact"/>
              <w:rPr>
                <w:sz w:val="20"/>
                <w:szCs w:val="20"/>
                <w:color w:val="auto"/>
              </w:rPr>
            </w:pPr>
            <w:r>
              <w:rPr>
                <w:rFonts w:ascii="Times New Roman" w:cs="Times New Roman" w:eastAsia="Times New Roman" w:hAnsi="Times New Roman"/>
                <w:sz w:val="11"/>
                <w:szCs w:val="11"/>
                <w:color w:val="auto"/>
                <w:w w:val="99"/>
              </w:rPr>
              <w:t>Vested and expected to vest at the end of the</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00" w:type="dxa"/>
            <w:vAlign w:val="bottom"/>
            <w:vMerge w:val="continue"/>
          </w:tcPr>
          <w:p>
            <w:pPr>
              <w:spacing w:after="0"/>
              <w:rPr>
                <w:sz w:val="4"/>
                <w:szCs w:val="4"/>
                <w:color w:val="auto"/>
              </w:rPr>
            </w:pPr>
          </w:p>
        </w:tc>
        <w:tc>
          <w:tcPr>
            <w:tcW w:w="6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779</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35.67</w:t>
            </w:r>
          </w:p>
        </w:tc>
        <w:tc>
          <w:tcPr>
            <w:tcW w:w="880" w:type="dxa"/>
            <w:vAlign w:val="bottom"/>
            <w:gridSpan w:val="3"/>
            <w:vMerge w:val="restart"/>
          </w:tcPr>
          <w:p>
            <w:pPr>
              <w:jc w:val="center"/>
              <w:ind w:left="84"/>
              <w:spacing w:after="0"/>
              <w:rPr>
                <w:sz w:val="20"/>
                <w:szCs w:val="20"/>
                <w:color w:val="auto"/>
              </w:rPr>
            </w:pPr>
            <w:r>
              <w:rPr>
                <w:rFonts w:ascii="Times New Roman" w:cs="Times New Roman" w:eastAsia="Times New Roman" w:hAnsi="Times New Roman"/>
                <w:sz w:val="11"/>
                <w:szCs w:val="11"/>
                <w:color w:val="auto"/>
                <w:w w:val="93"/>
              </w:rPr>
              <w:t>3.12</w:t>
            </w:r>
          </w:p>
        </w:tc>
        <w:tc>
          <w:tcPr>
            <w:tcW w:w="100" w:type="dxa"/>
            <w:vAlign w:val="bottom"/>
          </w:tcPr>
          <w:p>
            <w:pPr>
              <w:spacing w:after="0"/>
              <w:rPr>
                <w:sz w:val="4"/>
                <w:szCs w:val="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901</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38.78</w:t>
            </w:r>
          </w:p>
        </w:tc>
        <w:tc>
          <w:tcPr>
            <w:tcW w:w="880" w:type="dxa"/>
            <w:vAlign w:val="bottom"/>
            <w:gridSpan w:val="3"/>
            <w:vMerge w:val="restart"/>
          </w:tcPr>
          <w:p>
            <w:pPr>
              <w:jc w:val="center"/>
              <w:ind w:left="84"/>
              <w:spacing w:after="0"/>
              <w:rPr>
                <w:sz w:val="20"/>
                <w:szCs w:val="20"/>
                <w:color w:val="auto"/>
              </w:rPr>
            </w:pPr>
            <w:r>
              <w:rPr>
                <w:rFonts w:ascii="Times New Roman" w:cs="Times New Roman" w:eastAsia="Times New Roman" w:hAnsi="Times New Roman"/>
                <w:sz w:val="11"/>
                <w:szCs w:val="11"/>
                <w:color w:val="auto"/>
                <w:w w:val="93"/>
              </w:rPr>
              <w:t>3.67</w:t>
            </w:r>
          </w:p>
        </w:tc>
        <w:tc>
          <w:tcPr>
            <w:tcW w:w="100" w:type="dxa"/>
            <w:vAlign w:val="bottom"/>
          </w:tcPr>
          <w:p>
            <w:pPr>
              <w:spacing w:after="0"/>
              <w:rPr>
                <w:sz w:val="4"/>
                <w:szCs w:val="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vMerge w:val="restart"/>
          </w:tcPr>
          <w:p>
            <w:pPr>
              <w:ind w:left="440"/>
              <w:spacing w:after="0"/>
              <w:rPr>
                <w:sz w:val="20"/>
                <w:szCs w:val="20"/>
                <w:color w:val="auto"/>
              </w:rPr>
            </w:pPr>
            <w:r>
              <w:rPr>
                <w:rFonts w:ascii="Times New Roman" w:cs="Times New Roman" w:eastAsia="Times New Roman" w:hAnsi="Times New Roman"/>
                <w:sz w:val="11"/>
                <w:szCs w:val="11"/>
                <w:color w:val="auto"/>
              </w:rPr>
              <w:t>782</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44.16</w:t>
            </w:r>
          </w:p>
        </w:tc>
        <w:tc>
          <w:tcPr>
            <w:tcW w:w="880" w:type="dxa"/>
            <w:vAlign w:val="bottom"/>
            <w:gridSpan w:val="3"/>
            <w:vMerge w:val="restart"/>
          </w:tcPr>
          <w:p>
            <w:pPr>
              <w:jc w:val="center"/>
              <w:ind w:left="84"/>
              <w:spacing w:after="0"/>
              <w:rPr>
                <w:sz w:val="20"/>
                <w:szCs w:val="20"/>
                <w:color w:val="auto"/>
              </w:rPr>
            </w:pPr>
            <w:r>
              <w:rPr>
                <w:rFonts w:ascii="Times New Roman" w:cs="Times New Roman" w:eastAsia="Times New Roman" w:hAnsi="Times New Roman"/>
                <w:sz w:val="11"/>
                <w:szCs w:val="11"/>
                <w:color w:val="auto"/>
                <w:w w:val="93"/>
              </w:rPr>
              <w:t>3.45</w:t>
            </w:r>
          </w:p>
        </w:tc>
        <w:tc>
          <w:tcPr>
            <w:tcW w:w="100" w:type="dxa"/>
            <w:vAlign w:val="bottom"/>
          </w:tcPr>
          <w:p>
            <w:pPr>
              <w:spacing w:after="0"/>
              <w:rPr>
                <w:sz w:val="4"/>
                <w:szCs w:val="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2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year </w:t>
            </w:r>
            <w:r>
              <w:rPr>
                <w:rFonts w:ascii="Times New Roman" w:cs="Times New Roman" w:eastAsia="Times New Roman" w:hAnsi="Times New Roman"/>
                <w:sz w:val="14"/>
                <w:szCs w:val="14"/>
                <w:color w:val="auto"/>
                <w:vertAlign w:val="superscript"/>
              </w:rPr>
              <w:t>(1)</w:t>
            </w:r>
          </w:p>
        </w:tc>
        <w:tc>
          <w:tcPr>
            <w:tcW w:w="64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Exercisable at the end of the year </w:t>
            </w:r>
            <w:r>
              <w:rPr>
                <w:rFonts w:ascii="Times New Roman" w:cs="Times New Roman" w:eastAsia="Times New Roman" w:hAnsi="Times New Roman"/>
                <w:sz w:val="14"/>
                <w:szCs w:val="14"/>
                <w:color w:val="auto"/>
                <w:vertAlign w:val="superscript"/>
              </w:rPr>
              <w:t>(1)</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673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37.24</w:t>
            </w:r>
          </w:p>
        </w:tc>
        <w:tc>
          <w:tcPr>
            <w:tcW w:w="880" w:type="dxa"/>
            <w:vAlign w:val="bottom"/>
            <w:gridSpan w:val="3"/>
            <w:shd w:val="clear" w:color="auto" w:fill="CCEEFF"/>
          </w:tcPr>
          <w:p>
            <w:pPr>
              <w:jc w:val="center"/>
              <w:ind w:left="84"/>
              <w:spacing w:after="0"/>
              <w:rPr>
                <w:sz w:val="20"/>
                <w:szCs w:val="20"/>
                <w:color w:val="auto"/>
              </w:rPr>
            </w:pPr>
            <w:r>
              <w:rPr>
                <w:rFonts w:ascii="Times New Roman" w:cs="Times New Roman" w:eastAsia="Times New Roman" w:hAnsi="Times New Roman"/>
                <w:sz w:val="11"/>
                <w:szCs w:val="11"/>
                <w:color w:val="auto"/>
                <w:w w:val="93"/>
              </w:rPr>
              <w:t>2.79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44.06</w:t>
            </w:r>
          </w:p>
        </w:tc>
        <w:tc>
          <w:tcPr>
            <w:tcW w:w="880" w:type="dxa"/>
            <w:vAlign w:val="bottom"/>
            <w:gridSpan w:val="3"/>
            <w:shd w:val="clear" w:color="auto" w:fill="CCEEFF"/>
          </w:tcPr>
          <w:p>
            <w:pPr>
              <w:jc w:val="center"/>
              <w:ind w:left="84"/>
              <w:spacing w:after="0"/>
              <w:rPr>
                <w:sz w:val="20"/>
                <w:szCs w:val="20"/>
                <w:color w:val="auto"/>
              </w:rPr>
            </w:pPr>
            <w:r>
              <w:rPr>
                <w:rFonts w:ascii="Times New Roman" w:cs="Times New Roman" w:eastAsia="Times New Roman" w:hAnsi="Times New Roman"/>
                <w:sz w:val="11"/>
                <w:szCs w:val="11"/>
                <w:color w:val="auto"/>
                <w:w w:val="93"/>
              </w:rPr>
              <w:t>2.60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600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45.77</w:t>
            </w:r>
          </w:p>
        </w:tc>
        <w:tc>
          <w:tcPr>
            <w:tcW w:w="880" w:type="dxa"/>
            <w:vAlign w:val="bottom"/>
            <w:gridSpan w:val="3"/>
            <w:shd w:val="clear" w:color="auto" w:fill="CCEEFF"/>
          </w:tcPr>
          <w:p>
            <w:pPr>
              <w:jc w:val="center"/>
              <w:ind w:left="84"/>
              <w:spacing w:after="0"/>
              <w:rPr>
                <w:sz w:val="20"/>
                <w:szCs w:val="20"/>
                <w:color w:val="auto"/>
              </w:rPr>
            </w:pPr>
            <w:r>
              <w:rPr>
                <w:rFonts w:ascii="Times New Roman" w:cs="Times New Roman" w:eastAsia="Times New Roman" w:hAnsi="Times New Roman"/>
                <w:sz w:val="11"/>
                <w:szCs w:val="11"/>
                <w:color w:val="auto"/>
                <w:w w:val="93"/>
              </w:rPr>
              <w:t>2.61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660" w:hanging="328"/>
        <w:spacing w:after="0" w:line="235" w:lineRule="auto"/>
        <w:tabs>
          <w:tab w:leader="none" w:pos="648"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aggregate intrinsic value represents the total pre-tax value (the difference between our closing stock price on the last trading day of 2024, 2023 and 2022 and the exercise price, multiplied by the number of in-the-money options) that would have been received by the option holders had they all exercised their options on December 31, 2024, 2023 and 2022. This amount will change based on the fair market value of our stock.</w:t>
      </w:r>
    </w:p>
    <w:p>
      <w:pPr>
        <w:spacing w:after="0" w:line="2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option exercises in the years ended December 31, 2024 and 2023. The value of shares withheld in lieu of receiving cash from option exercises in the year ended December 31, 2022 was $1.5 million. There was no cash received from option exercises for the year ended December 31, 2022. The actual tax benefit realized from option exercises was $0.1 million for the year ended December 31, 2022.</w:t>
      </w:r>
    </w:p>
    <w:p>
      <w:pPr>
        <w:spacing w:after="0" w:line="20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The assumptions we utilized in the Black-Scholes option pricing model and the resulting weighted average fair value of stock option grants were the following:</w:t>
      </w:r>
    </w:p>
    <w:tbl>
      <w:tblPr>
        <w:tblLayout w:type="fixed"/>
        <w:tblInd w:w="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4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64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fair value of grants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14.51</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w:t>
            </w: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49.35 %</w:t>
            </w:r>
          </w:p>
        </w:tc>
      </w:tr>
      <w:tr>
        <w:trPr>
          <w:trHeight w:val="234"/>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0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option groups outstanding at December 31, 2024 and the related weighted average exercise price and life information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1"/>
                <w:szCs w:val="11"/>
                <w:color w:val="auto"/>
              </w:rPr>
            </w:pPr>
          </w:p>
        </w:tc>
        <w:tc>
          <w:tcPr>
            <w:tcW w:w="176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3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6"/>
        </w:trPr>
        <w:tc>
          <w:tcPr>
            <w:tcW w:w="4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17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Contractual Term (in</w:t>
            </w:r>
          </w:p>
        </w:tc>
        <w:tc>
          <w:tcPr>
            <w:tcW w:w="1340" w:type="dxa"/>
            <w:vAlign w:val="bottom"/>
            <w:gridSpan w:val="3"/>
            <w:vMerge w:val="continue"/>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220" w:type="dxa"/>
            <w:vAlign w:val="bottom"/>
            <w:gridSpan w:val="2"/>
            <w:vMerge w:val="continue"/>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00" w:type="dxa"/>
            <w:vAlign w:val="bottom"/>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8"/>
        </w:trPr>
        <w:tc>
          <w:tcPr>
            <w:tcW w:w="4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$24.77 to $34.56</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0" w:type="dxa"/>
            <w:vAlign w:val="bottom"/>
          </w:tcPr>
          <w:p>
            <w:pPr>
              <w:spacing w:after="0"/>
              <w:rPr>
                <w:sz w:val="1"/>
                <w:szCs w:val="1"/>
                <w:color w:val="auto"/>
              </w:rPr>
            </w:pPr>
          </w:p>
        </w:tc>
      </w:tr>
      <w:tr>
        <w:trPr>
          <w:trHeight w:val="230"/>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$44.95 to $46.17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0" w:type="dxa"/>
            <w:vAlign w:val="bottom"/>
          </w:tcPr>
          <w:p>
            <w:pPr>
              <w:spacing w:after="0"/>
              <w:rPr>
                <w:sz w:val="1"/>
                <w:szCs w:val="1"/>
                <w:color w:val="auto"/>
              </w:rPr>
            </w:pPr>
          </w:p>
        </w:tc>
      </w:tr>
      <w:tr>
        <w:trPr>
          <w:trHeight w:val="229"/>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$52.85 to $59.43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740" w:type="dxa"/>
            <w:vAlign w:val="bottom"/>
            <w:gridSpan w:val="2"/>
            <w:vMerge w:val="restart"/>
          </w:tcPr>
          <w:p>
            <w:pPr>
              <w:jc w:val="right"/>
              <w:ind w:right="1365"/>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0" w:lineRule="exact"/>
        <w:rPr>
          <w:sz w:val="20"/>
          <w:szCs w:val="20"/>
          <w:color w:val="auto"/>
        </w:rPr>
      </w:pPr>
    </w:p>
    <w:p>
      <w:pPr>
        <w:spacing w:after="0" w:line="3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we expect to recognize $1.0 million of total unrecognized pre-tax stock-based compensation expense related to non-vested stock options over a remaining weighted-average life of 1.0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active stock-based incentive plans include those adopted in 2014 and 2018 ("Stock Incentive Plans"). Under the Stock Incentive Plans, we may grant restricted stock units, performance stock units, stock options, stock appreciation rights, or any combination thereof for a period of ten years from the approval date of each respective plan, unless the plan is terminated by resolution of our Board of Directors. No stock appreciation rights have been awarded under our Stock Incentive Plans as of December 31, 2024. Only directors and employees meeting certain employment qualifications are eligible to receive stock-based awards.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grant price of restricted stock and stock option awards granted under our Stock Incentive Plans is the average of the high and low trades of our stock on the grant date. We prohibit the re-pricing or backdating of stock options. Restricted stock awards vest in various proportions over a one- to three-year time period. Our stock options become exercisable in various proportions over a three-year time frame. Stock options have a maximum ten-year term. Our performance stock awards vest in various proportions over a three-year term, subject to a service condition and stock price-based market conditions.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Detailed information regarding our active Stock Incentive Plans was as follows at December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Shares</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 Shares</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Shares</w:t>
            </w:r>
          </w:p>
        </w:tc>
        <w:tc>
          <w:tcPr>
            <w:tcW w:w="0" w:type="dxa"/>
            <w:vAlign w:val="bottom"/>
          </w:tcPr>
          <w:p>
            <w:pPr>
              <w:spacing w:after="0"/>
              <w:rPr>
                <w:sz w:val="1"/>
                <w:szCs w:val="1"/>
                <w:color w:val="auto"/>
              </w:rPr>
            </w:pPr>
          </w:p>
        </w:tc>
      </w:tr>
      <w:tr>
        <w:trPr>
          <w:trHeight w:val="146"/>
        </w:trPr>
        <w:tc>
          <w:tcPr>
            <w:tcW w:w="4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Approval Date</w:t>
            </w:r>
          </w:p>
        </w:tc>
        <w:tc>
          <w:tcPr>
            <w:tcW w:w="17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Available for Grant</w:t>
            </w:r>
          </w:p>
        </w:tc>
        <w:tc>
          <w:tcPr>
            <w:tcW w:w="18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Available for Grant</w:t>
            </w:r>
          </w:p>
        </w:tc>
        <w:tc>
          <w:tcPr>
            <w:tcW w:w="1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Granted</w:t>
            </w:r>
          </w:p>
        </w:tc>
        <w:tc>
          <w:tcPr>
            <w:tcW w:w="0" w:type="dxa"/>
            <w:vAlign w:val="bottom"/>
          </w:tcPr>
          <w:p>
            <w:pPr>
              <w:spacing w:after="0"/>
              <w:rPr>
                <w:sz w:val="1"/>
                <w:szCs w:val="1"/>
                <w:color w:val="auto"/>
              </w:rPr>
            </w:pPr>
          </w:p>
        </w:tc>
      </w:tr>
      <w:tr>
        <w:trPr>
          <w:trHeight w:val="196"/>
        </w:trPr>
        <w:tc>
          <w:tcPr>
            <w:tcW w:w="4480" w:type="dxa"/>
            <w:vAlign w:val="bottom"/>
            <w:gridSpan w:val="2"/>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Under the Plan</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Under the Plan</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 the Plan</w:t>
            </w:r>
          </w:p>
        </w:tc>
        <w:tc>
          <w:tcPr>
            <w:tcW w:w="0" w:type="dxa"/>
            <w:vAlign w:val="bottom"/>
          </w:tcPr>
          <w:p>
            <w:pPr>
              <w:spacing w:after="0"/>
              <w:rPr>
                <w:sz w:val="1"/>
                <w:szCs w:val="1"/>
                <w:color w:val="auto"/>
              </w:rPr>
            </w:pPr>
          </w:p>
        </w:tc>
      </w:tr>
      <w:tr>
        <w:trPr>
          <w:trHeight w:val="229"/>
        </w:trPr>
        <w:tc>
          <w:tcPr>
            <w:tcW w:w="4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2014 Stock Incentive Plan</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6/12/2014</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1,100,000</w:t>
            </w:r>
          </w:p>
        </w:tc>
        <w:tc>
          <w:tcPr>
            <w:tcW w:w="8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87,660</w:t>
            </w:r>
          </w:p>
        </w:tc>
        <w:tc>
          <w:tcPr>
            <w:tcW w:w="0" w:type="dxa"/>
            <w:vAlign w:val="bottom"/>
          </w:tcPr>
          <w:p>
            <w:pPr>
              <w:spacing w:after="0"/>
              <w:rPr>
                <w:sz w:val="1"/>
                <w:szCs w:val="1"/>
                <w:color w:val="auto"/>
              </w:rPr>
            </w:pPr>
          </w:p>
        </w:tc>
      </w:tr>
      <w:tr>
        <w:trPr>
          <w:trHeight w:val="176"/>
        </w:trPr>
        <w:tc>
          <w:tcPr>
            <w:tcW w:w="44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2018 Equity and Incentive</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480" w:type="dxa"/>
            <w:vAlign w:val="bottom"/>
            <w:tcBorders>
              <w:bottom w:val="single" w:sz="8" w:color="CCEEFF"/>
            </w:tcBorders>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Compensation Plan </w:t>
            </w:r>
            <w:r>
              <w:rPr>
                <w:rFonts w:ascii="Times New Roman" w:cs="Times New Roman" w:eastAsia="Times New Roman" w:hAnsi="Times New Roman"/>
                <w:sz w:val="23"/>
                <w:szCs w:val="23"/>
                <w:color w:val="auto"/>
                <w:vertAlign w:val="superscript"/>
              </w:rPr>
              <w:t>(1)</w:t>
            </w:r>
          </w:p>
        </w:tc>
        <w:tc>
          <w:tcPr>
            <w:tcW w:w="12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6/11/2024</w:t>
            </w:r>
          </w:p>
        </w:tc>
        <w:tc>
          <w:tcPr>
            <w:tcW w:w="12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8"/>
                <w:szCs w:val="18"/>
                <w:color w:val="auto"/>
              </w:rPr>
              <w:t>3,391,794</w:t>
            </w:r>
          </w:p>
        </w:tc>
        <w:tc>
          <w:tcPr>
            <w:tcW w:w="8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970,387</w:t>
            </w:r>
          </w:p>
        </w:tc>
        <w:tc>
          <w:tcPr>
            <w:tcW w:w="12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1,402,148</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970,387</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1,489,808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60" w:hanging="328"/>
        <w:spacing w:after="0" w:line="242" w:lineRule="auto"/>
        <w:tabs>
          <w:tab w:leader="none" w:pos="648"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The 2018 Equity and Incentive Compensation Plan, as amended on June 8, 2021, was amended and restated on June 11, 2024 to create the Amended and Restated 2018 Equity and Incentive Compensation Plan which added an additional 1,000,000 shares.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Other Income (Expense),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consisted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Net gain (loss) on foreign currency exchange contracts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(loss) on foreign currency exchange transactions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60" w:hanging="328"/>
        <w:spacing w:after="0" w:line="229" w:lineRule="auto"/>
        <w:tabs>
          <w:tab w:leader="none" w:pos="648"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represents the gains (losses) incurred on foreign currency hedging derivatives. See Note 18 for further information concerning our foreign currency exchange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Earnings (Loss)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(loss) per share was calculated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per-share amounts)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(24,029)</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(98,238)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12,703</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(24,029)</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(98,238)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for basic</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12,959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12,855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12,703</w:t>
            </w:r>
          </w:p>
        </w:tc>
        <w:tc>
          <w:tcPr>
            <w:tcW w:w="0" w:type="dxa"/>
            <w:vAlign w:val="bottom"/>
          </w:tcPr>
          <w:p>
            <w:pPr>
              <w:spacing w:after="0"/>
              <w:rPr>
                <w:sz w:val="1"/>
                <w:szCs w:val="1"/>
                <w:color w:val="auto"/>
              </w:rPr>
            </w:pPr>
          </w:p>
        </w:tc>
      </w:tr>
      <w:tr>
        <w:trPr>
          <w:trHeight w:val="176"/>
        </w:trPr>
        <w:tc>
          <w:tcPr>
            <w:tcW w:w="67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Dilutive effect of restricted stock, performance stock awards, stock options and common</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warrants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on a diluted basis</w:t>
            </w: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12,959</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12,855</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12,779</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number of restricted stock awards, performance stock awards, stock options and common stock warrants were excluded from the computation of diluted earnings per common share as their inclusion would have been anti-dilutive: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vMerge w:val="continue"/>
          </w:tcPr>
          <w:p>
            <w:pPr>
              <w:spacing w:after="0"/>
              <w:rPr>
                <w:sz w:val="16"/>
                <w:szCs w:val="16"/>
                <w:color w:val="auto"/>
              </w:rPr>
            </w:pPr>
          </w:p>
        </w:tc>
        <w:tc>
          <w:tcPr>
            <w:tcW w:w="142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40" w:type="dxa"/>
            <w:vAlign w:val="bottom"/>
            <w:gridSpan w:val="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stock awards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Derivatives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total net fair value of derivatives: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3"/>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7"/>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7"/>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9"/>
        </w:trPr>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7"/>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8"/>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7"/>
                <w:szCs w:val="17"/>
                <w:color w:val="auto"/>
              </w:rPr>
            </w:pPr>
          </w:p>
        </w:tc>
        <w:tc>
          <w:tcPr>
            <w:tcW w:w="900" w:type="dxa"/>
            <w:vAlign w:val="bottom"/>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60" w:type="dxa"/>
            <w:vAlign w:val="bottom"/>
          </w:tcPr>
          <w:p>
            <w:pPr>
              <w:spacing w:after="0"/>
              <w:rPr>
                <w:sz w:val="17"/>
                <w:szCs w:val="17"/>
                <w:color w:val="auto"/>
              </w:rPr>
            </w:pPr>
          </w:p>
        </w:tc>
        <w:tc>
          <w:tcPr>
            <w:tcW w:w="900" w:type="dxa"/>
            <w:vAlign w:val="bottom"/>
            <w:gridSpan w:val="3"/>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228"/>
        </w:trPr>
        <w:tc>
          <w:tcPr>
            <w:tcW w:w="3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held foreign currency exchange contracts which resulted in a net pre-tax loss of $0.7 million, $3.2 million, and $1.3 million for the years ended December 31, 2024, 2023 and 2022, respectively. See Note 16 for further information concerning our foreign currency exchange contracts.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foreign currency exchange contracts held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Unrealized Gain/(Loss) Recorded</w:t>
            </w: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80" w:type="dxa"/>
            <w:vAlign w:val="bottom"/>
            <w:gridSpan w:val="2"/>
          </w:tcPr>
          <w:p>
            <w:pPr>
              <w:jc w:val="center"/>
              <w:ind w:right="460"/>
              <w:spacing w:after="0" w:line="146" w:lineRule="exact"/>
              <w:rPr>
                <w:sz w:val="20"/>
                <w:szCs w:val="20"/>
                <w:color w:val="auto"/>
              </w:rPr>
            </w:pPr>
            <w:r>
              <w:rPr>
                <w:rFonts w:ascii="Times New Roman" w:cs="Times New Roman" w:eastAsia="Times New Roman" w:hAnsi="Times New Roman"/>
                <w:sz w:val="14"/>
                <w:szCs w:val="14"/>
                <w:b w:val="1"/>
                <w:bCs w:val="1"/>
                <w:color w:val="auto"/>
              </w:rPr>
              <w:t>at Balance Sheet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Date Held</w:t>
            </w:r>
          </w:p>
        </w:tc>
        <w:tc>
          <w:tcPr>
            <w:tcW w:w="12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3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Position Held</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Forward Rate</w:t>
            </w:r>
          </w:p>
        </w:tc>
        <w:tc>
          <w:tcPr>
            <w:tcW w:w="360" w:type="dxa"/>
            <w:vAlign w:val="bottom"/>
          </w:tcPr>
          <w:p>
            <w:pPr>
              <w:spacing w:after="0"/>
              <w:rPr>
                <w:sz w:val="12"/>
                <w:szCs w:val="12"/>
                <w:color w:val="auto"/>
              </w:rPr>
            </w:pPr>
          </w:p>
        </w:tc>
        <w:tc>
          <w:tcPr>
            <w:tcW w:w="19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Settlement Date</w:t>
            </w:r>
          </w:p>
        </w:tc>
        <w:tc>
          <w:tcPr>
            <w:tcW w:w="0" w:type="dxa"/>
            <w:vAlign w:val="bottom"/>
          </w:tcPr>
          <w:p>
            <w:pPr>
              <w:spacing w:after="0"/>
              <w:rPr>
                <w:sz w:val="1"/>
                <w:szCs w:val="1"/>
                <w:color w:val="auto"/>
              </w:rPr>
            </w:pPr>
          </w:p>
        </w:tc>
      </w:tr>
      <w:tr>
        <w:trPr>
          <w:trHeight w:val="203"/>
        </w:trPr>
        <w:tc>
          <w:tcPr>
            <w:tcW w:w="2140" w:type="dxa"/>
            <w:vAlign w:val="bottom"/>
            <w:gridSpan w:val="2"/>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0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980" w:type="dxa"/>
            <w:vAlign w:val="bottom"/>
            <w:gridSpan w:val="2"/>
          </w:tcPr>
          <w:p>
            <w:pPr>
              <w:jc w:val="center"/>
              <w:ind w:right="460"/>
              <w:spacing w:after="0" w:line="202" w:lineRule="exact"/>
              <w:rPr>
                <w:sz w:val="20"/>
                <w:szCs w:val="20"/>
                <w:color w:val="auto"/>
              </w:rPr>
            </w:pPr>
            <w:r>
              <w:rPr>
                <w:rFonts w:ascii="Times New Roman" w:cs="Times New Roman" w:eastAsia="Times New Roman" w:hAnsi="Times New Roman"/>
                <w:sz w:val="14"/>
                <w:szCs w:val="14"/>
                <w:b w:val="1"/>
                <w:bCs w:val="1"/>
                <w:color w:val="auto"/>
              </w:rPr>
              <w:t>(in thousands)</w:t>
            </w:r>
            <w:r>
              <w:rPr>
                <w:rFonts w:ascii="Times New Roman" w:cs="Times New Roman" w:eastAsia="Times New Roman" w:hAnsi="Times New Roman"/>
                <w:sz w:val="18"/>
                <w:szCs w:val="18"/>
                <w:b w:val="1"/>
                <w:bCs w:val="1"/>
                <w:color w:val="auto"/>
                <w:vertAlign w:val="superscript"/>
              </w:rPr>
              <w:t>(1)</w:t>
            </w: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USD/CNY</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CNY</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7.2316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January 10, 2025</w:t>
            </w:r>
          </w:p>
        </w:tc>
        <w:tc>
          <w:tcPr>
            <w:tcW w:w="0" w:type="dxa"/>
            <w:vAlign w:val="bottom"/>
          </w:tcPr>
          <w:p>
            <w:pPr>
              <w:spacing w:after="0"/>
              <w:rPr>
                <w:sz w:val="1"/>
                <w:szCs w:val="1"/>
                <w:color w:val="auto"/>
              </w:rPr>
            </w:pPr>
          </w:p>
        </w:tc>
      </w:tr>
      <w:tr>
        <w:trPr>
          <w:trHeight w:val="229"/>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USD/EUR</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1.0569</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10, 2025</w:t>
            </w:r>
          </w:p>
        </w:tc>
        <w:tc>
          <w:tcPr>
            <w:tcW w:w="0" w:type="dxa"/>
            <w:vAlign w:val="bottom"/>
          </w:tcPr>
          <w:p>
            <w:pPr>
              <w:spacing w:after="0"/>
              <w:rPr>
                <w:sz w:val="1"/>
                <w:szCs w:val="1"/>
                <w:color w:val="auto"/>
              </w:rPr>
            </w:pPr>
          </w:p>
        </w:tc>
      </w:tr>
      <w:tr>
        <w:trPr>
          <w:trHeight w:val="230"/>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USD/CNY</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CNY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5, 2024</w:t>
            </w:r>
          </w:p>
        </w:tc>
        <w:tc>
          <w:tcPr>
            <w:tcW w:w="0" w:type="dxa"/>
            <w:vAlign w:val="bottom"/>
          </w:tcPr>
          <w:p>
            <w:pPr>
              <w:spacing w:after="0"/>
              <w:rPr>
                <w:sz w:val="1"/>
                <w:szCs w:val="1"/>
                <w:color w:val="auto"/>
              </w:rPr>
            </w:pPr>
          </w:p>
        </w:tc>
      </w:tr>
      <w:tr>
        <w:trPr>
          <w:trHeight w:val="234"/>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USD/EUR</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1.1009</w:t>
            </w:r>
          </w:p>
        </w:tc>
        <w:tc>
          <w:tcPr>
            <w:tcW w:w="100" w:type="dxa"/>
            <w:vAlign w:val="bottom"/>
          </w:tcPr>
          <w:p>
            <w:pPr>
              <w:spacing w:after="0"/>
              <w:rPr>
                <w:sz w:val="20"/>
                <w:szCs w:val="20"/>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5, 2024</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660" w:right="220" w:hanging="328"/>
        <w:spacing w:after="0" w:line="229" w:lineRule="auto"/>
        <w:tabs>
          <w:tab w:leader="none" w:pos="648"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Unrealized gains on foreign currency exchange contracts are recorded in prepaid expenses and other current assets. Unrealized losses on foreign currency exchange contracts are recorded in other accrued liabilities.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Employee Benefit Plans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a retirement and profit sharing plan under Section 401(k) of the Internal Revenue Code for all of our domestic employees that meet certain qualifications. Participants in the plan may elect to contribute up to the maximum allowed by law. Prior to October 1, 2024 we matched 50% of the participants' contributions up to 15% of their gross salary in the form of newly issued shares of our common stock. As of October 1, 2024 we match 25% of the participants' contributions up to 15% of their gross salary in the form of newly issued shares of our common stock. We may also make other discretionary contributions to the plan. We recorded $1.1 million, $1.3 million and $1.2 million of expense for company contributions for the years ended December 31, 2024, 2023 and 2022,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Reportable Segment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chief operating decision maker, our Chief Executive Officer, reviews financial information presented on a consolidated basis, including consolidated net income and its components, as reported on our consolidated statements of operations, accompanied by disaggregated information about revenues, for purposes of making operating decisions and assessing financial performance of our single consolidated segment, primarily by monitoring actual results versus our internal budget and forecasts.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reported segment revenue, segment profit or loss, and significant segment expenses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542,751</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Adjusted cost of sales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387,437</w:t>
            </w:r>
          </w:p>
        </w:tc>
        <w:tc>
          <w:tcPr>
            <w:tcW w:w="0" w:type="dxa"/>
            <w:vAlign w:val="bottom"/>
          </w:tcPr>
          <w:p>
            <w:pPr>
              <w:spacing w:after="0"/>
              <w:rPr>
                <w:sz w:val="1"/>
                <w:szCs w:val="1"/>
                <w:color w:val="auto"/>
              </w:rPr>
            </w:pPr>
          </w:p>
        </w:tc>
      </w:tr>
      <w:tr>
        <w:trPr>
          <w:trHeight w:val="230"/>
        </w:trPr>
        <w:tc>
          <w:tcPr>
            <w:tcW w:w="67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Adjusted research and development expenses </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Adjusted operating expenses </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89,355</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(4)</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34,442</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60" w:right="20" w:hanging="328"/>
        <w:spacing w:after="0" w:line="229" w:lineRule="auto"/>
        <w:tabs>
          <w:tab w:leader="none" w:pos="64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Cost of sales from the consolidated statements of operations, adjusted to exclude impairment of long-lived assets and stock-based compensation expense.</w:t>
      </w:r>
    </w:p>
    <w:p>
      <w:pPr>
        <w:spacing w:after="0" w:line="6"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R&amp;D expenses from the consolidated statements of operations, adjusted to exclude stock-based compensation expense.</w:t>
      </w:r>
    </w:p>
    <w:p>
      <w:pPr>
        <w:spacing w:after="0" w:line="55" w:lineRule="exact"/>
        <w:rPr>
          <w:rFonts w:ascii="Times New Roman" w:cs="Times New Roman" w:eastAsia="Times New Roman" w:hAnsi="Times New Roman"/>
          <w:sz w:val="23"/>
          <w:szCs w:val="23"/>
          <w:color w:val="auto"/>
          <w:vertAlign w:val="superscript"/>
        </w:rPr>
      </w:pPr>
    </w:p>
    <w:p>
      <w:pPr>
        <w:jc w:val="both"/>
        <w:ind w:left="660" w:hanging="328"/>
        <w:spacing w:after="0" w:line="228" w:lineRule="auto"/>
        <w:tabs>
          <w:tab w:leader="none" w:pos="64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Operating expenses less R&amp;D expenses from the consolidated statements of operations, adjusted to exclude stock-based compensation, amortization of acquired intangible assets, costs associated with our Roku litigation, factory restructuring charges, legal judgment, severance, lease termination costs and goodwill impairment.</w:t>
      </w:r>
    </w:p>
    <w:p>
      <w:pPr>
        <w:spacing w:after="0" w:line="37"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4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segment items include the adjustments described in the notes above; as well as interest income (expense), net; other income (expense), net; and provision for income taxes.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measure of segment assets is reported on our consolidated balance sheets as consolidated total assets. Long-lived assets by geographic area are disclosed in Note 6. The measure of revenues from external customers is reported on the consolidated statements of operations as net sales. Revenues by geographic region and information about major customers are disclosed in Note 4. Depreciation expense is disclosed in Note 6. Amortization expense is disclosed in Note 7. Interest expense is disclosed in Note 9 and income taxes are disclosed in Note 10.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Business Combination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17, 2022, we acquired substantially all of the net assets of Qterics, a U.S.-based provider of multimedia connectivity solutions and services for internet-enabled consumer products. Under the terms of the Asset Purchase Agreement, we paid a cash purchase price of approximately $0.9 million. The acquisition of these assets has allowed us to expand our customer base in the consumer electronics market.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income statement for the year ended December 31, 2024 includes net sales of $3.1 million and net income of $1.2 million attributable to Qterics. Our consolidated income statement for the year ended December 31, 2023 includes net sales of $2.1 million and net income of $16 thousand attributable to Qterics. Our consolidated income statement for the year ended December 31, 2022 includes net sales of $2.1 million and net income of $145 thousand attributable to Qterics for the period commencing on February 17,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Results (unaudited)</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financial information of combined results of our operations and the operations of Qterics as if the transaction had occurred on January 1, 2022, is immaterially different from the net sales, net income and income per share amounts reported in the Consolidated Statements of Operations for the year ended December 31, 2022.</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Exchange Act Rule 13a-15(e)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Exchange Act Rule 13a-15(f). Our internal control over financial reporting is a process designed to provide reasonable assurance regarding the reliability of financial reporting and preparation of financial statements for external purposes in accordance with U.S. GAAP.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and principal financial officers, we evaluated the effectiveness of our internal control over financial reporting based on the 2013 Internal Control-Integrated Framework issued by the Committee of Sponsoring Organizations of the Treadway Commission ("COSO") in Internal Control Integrated Framework. Based on our evaluation under this framework, our management concluded that our internal control over financial reporting was effective as of December 31, 2024.</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2024 has been audited by Grant Thornton LLP, an independent registered public accounting firm, as stated in its attestation report which is included herein.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fourth quarter of 2024 that have materially affected, or are reasonably likely to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Universal Electronics Inc. (a Delaware corporation) and subsidiaries (the "Company") as of December 31, 2024,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COSO.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December 31, 2024, and our report dated March 11, 2025 expressed an unqualified opinion on those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Arizona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2025</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2024, no director or officer (as defined in Rule 16a-1(f) promulgated under the Exchange Act) of the Company adopted or terminated a "Rule 10b5-1 trading arrangement" or "non-Rule 10b5-1 trading arrangement" (as each term is defined in Item 408 of Regulation S-K).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required by Item 401 of Regulation S-K with respect to our directors will be contained in and is hereby incorporated by reference to our definitive Proxy Statement for our 2025 Annual Meeting of Stockholders to be filed pursuant to Regulation 14A promulgated by the Securities and Exchange Commission under the Exchange Act. Information regarding executive officers of the Company is set forth in Part I of this Form 10-K.</w:t>
      </w:r>
    </w:p>
    <w:p>
      <w:pPr>
        <w:spacing w:after="0" w:line="2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Code of Conduct. </w:t>
      </w:r>
      <w:r>
        <w:rPr>
          <w:rFonts w:ascii="Times New Roman" w:cs="Times New Roman" w:eastAsia="Times New Roman" w:hAnsi="Times New Roman"/>
          <w:sz w:val="18"/>
          <w:szCs w:val="18"/>
          <w:color w:val="auto"/>
        </w:rPr>
        <w:t>We have adopted a code of conduct that applies to all of our employees, including without limitation our principal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principal financial officer and principal accounting officer. A copy of the Code of Conduct is included as Exhibit 14.1 to our Annual Report on Form 10-K for the year ended December 31, 2023, filed on March 14, 2024 (File No. 0-21044). The Code of Conduct is also available on our website, </w:t>
      </w:r>
      <w:r>
        <w:rPr>
          <w:rFonts w:ascii="Times New Roman" w:cs="Times New Roman" w:eastAsia="Times New Roman" w:hAnsi="Times New Roman"/>
          <w:sz w:val="18"/>
          <w:szCs w:val="18"/>
          <w:u w:val="single" w:color="auto"/>
          <w:color w:val="auto"/>
        </w:rPr>
        <w:t>www.uei.com</w:t>
      </w:r>
      <w:r>
        <w:rPr>
          <w:rFonts w:ascii="Times New Roman" w:cs="Times New Roman" w:eastAsia="Times New Roman" w:hAnsi="Times New Roman"/>
          <w:sz w:val="18"/>
          <w:szCs w:val="18"/>
          <w:color w:val="auto"/>
        </w:rPr>
        <w:t xml:space="preserve"> under the caption "Governance" and then "Committee composition, documents and confidential ethics line" on the Investor page. We will post on our website information regarding any amendment to, or waiver from, any provision of the Code of Conduct that applies to our principal executive officer, principal financial officer or principal accounting officer.</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required by Items 405, 407(c)(3), (d)(4) and (d)(5), and 408(b) of Regulation S-K will be contained in and is hereby incorporated by reference to our definitive Proxy Statement for our 2025 Annual Meeting of Stockholders to be filed pursuant to Regulation 14A promulgated by the Securities and Exchange Commission under the Exchange 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by Items 402 and 407(e)(4) and (e)(5) of Regulation S-K will be contained in and is hereby incorporated by reference to our definitive Proxy Statement for our 2025 Annual Meeting of Stockholders to be filed pursuant to Regulation 14A promulgated by the SEC under the Exchange Act.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by Item 403 of Regulation S-K will be contained in and is hereby incorporated by reference to our definitive Proxy Statement for our 2025 Annual Meeting of Stockholders to be filed pursuant to Regulation 14A promulgated by the SEC under the Exchange Act.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our equity compensation plans at December 31, 2024:</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6"/>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35"/>
        </w:trPr>
        <w:tc>
          <w:tcPr>
            <w:tcW w:w="5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98"/>
        </w:trPr>
        <w:tc>
          <w:tcPr>
            <w:tcW w:w="5620" w:type="dxa"/>
            <w:vAlign w:val="bottom"/>
            <w:gridSpan w:val="2"/>
            <w:vMerge w:val="continue"/>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column (a))</w:t>
            </w:r>
          </w:p>
        </w:tc>
        <w:tc>
          <w:tcPr>
            <w:tcW w:w="0" w:type="dxa"/>
            <w:vAlign w:val="bottom"/>
          </w:tcPr>
          <w:p>
            <w:pPr>
              <w:spacing w:after="0"/>
              <w:rPr>
                <w:sz w:val="1"/>
                <w:szCs w:val="1"/>
                <w:color w:val="auto"/>
              </w:rPr>
            </w:pPr>
          </w:p>
        </w:tc>
      </w:tr>
      <w:tr>
        <w:trPr>
          <w:trHeight w:val="228"/>
        </w:trPr>
        <w:tc>
          <w:tcPr>
            <w:tcW w:w="5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779,045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35.67</w:t>
            </w:r>
          </w:p>
        </w:tc>
        <w:tc>
          <w:tcPr>
            <w:tcW w:w="10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970,387</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779,045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35.67</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970,387</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See "ITEM 8. FINANCIAL STATEMENTS AND SUPPLEMENTARY DATA- Notes to Consolidated Financial Statements - Note 15" for a description of each of our stock incentive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required by Items 404 and 407(a) of Regulation S-K will be contained in and is hereby incorporated by reference to our definitive Proxy Statement for our 2025 Annual Meeting of Stockholders to be filed pursuant to Regulation 14A promulgated by the SEC under the Exchange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contained in and is hereby incorporated by reference to our definitive Proxy Statement for our 2025 Annual Meeting of Stockholders to be filed pursuant to Regulation 14A promulgated by the SEC under the Exchange Act.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52" w:lineRule="exact"/>
        <w:rPr>
          <w:sz w:val="20"/>
          <w:szCs w:val="20"/>
          <w:color w:val="auto"/>
        </w:rPr>
      </w:pPr>
    </w:p>
    <w:p>
      <w:pPr>
        <w:ind w:left="640" w:hanging="308"/>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Statements</w:t>
      </w:r>
    </w:p>
    <w:p>
      <w:pPr>
        <w:spacing w:after="0" w:line="25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include this portion of ITEM 15 under ITEM 8 of this Report on Form 10-K.</w:t>
      </w:r>
    </w:p>
    <w:p>
      <w:pPr>
        <w:spacing w:after="0" w:line="24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 Schedules</w:t>
      </w:r>
    </w:p>
    <w:p>
      <w:pPr>
        <w:spacing w:after="0" w:line="256"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include the financial statement schedules required by the applicable accounting regulations of the SEC in the notes to our consolidated financial statements and incorporate that information in this ITEM 15 by reference.</w:t>
      </w:r>
    </w:p>
    <w:p>
      <w:pPr>
        <w:spacing w:after="0" w:line="18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Exhibits</w:t>
      </w:r>
    </w:p>
    <w:p>
      <w:pPr>
        <w:spacing w:after="0" w:line="31"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who would like a copy of any of the exhibits listed on the Exhibit Index in this Report may obtain one from us upon request at a charge that reflects the reproduction cost of such Exhibits. Requests should be made to the Secretary, 15147 N. Scottsdale Road, Suite H300, Scottsdale, Arizona 85254.</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1"/>
        </w:trPr>
        <w:tc>
          <w:tcPr>
            <w:tcW w:w="3220" w:type="dxa"/>
            <w:vAlign w:val="bottom"/>
          </w:tcPr>
          <w:p>
            <w:pPr>
              <w:jc w:val="center"/>
              <w:ind w:right="226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520" w:type="dxa"/>
            <w:vAlign w:val="bottom"/>
            <w:vMerge w:val="restart"/>
          </w:tcPr>
          <w:p>
            <w:pPr>
              <w:ind w:left="2140"/>
              <w:spacing w:after="0"/>
              <w:rPr>
                <w:sz w:val="20"/>
                <w:szCs w:val="20"/>
                <w:color w:val="auto"/>
              </w:rPr>
            </w:pPr>
            <w:r>
              <w:rPr>
                <w:rFonts w:ascii="Times New Roman" w:cs="Times New Roman" w:eastAsia="Times New Roman" w:hAnsi="Times New Roman"/>
                <w:sz w:val="14"/>
                <w:szCs w:val="14"/>
                <w:b w:val="1"/>
                <w:bCs w:val="1"/>
                <w:u w:val="single" w:color="auto"/>
                <w:color w:val="auto"/>
              </w:rPr>
              <w:t>Document Description</w:t>
            </w:r>
          </w:p>
        </w:tc>
        <w:tc>
          <w:tcPr>
            <w:tcW w:w="0" w:type="dxa"/>
            <w:vAlign w:val="bottom"/>
          </w:tcPr>
          <w:p>
            <w:pPr>
              <w:spacing w:after="0"/>
              <w:rPr>
                <w:sz w:val="1"/>
                <w:szCs w:val="1"/>
                <w:color w:val="auto"/>
              </w:rPr>
            </w:pPr>
          </w:p>
        </w:tc>
      </w:tr>
      <w:tr>
        <w:trPr>
          <w:trHeight w:val="190"/>
        </w:trPr>
        <w:tc>
          <w:tcPr>
            <w:tcW w:w="3220" w:type="dxa"/>
            <w:vAlign w:val="bottom"/>
          </w:tcPr>
          <w:p>
            <w:pPr>
              <w:jc w:val="center"/>
              <w:ind w:right="2268"/>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tc>
        <w:tc>
          <w:tcPr>
            <w:tcW w:w="3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both"/>
        <w:ind w:left="900" w:hanging="561"/>
        <w:spacing w:after="0" w:line="237" w:lineRule="auto"/>
        <w:tabs>
          <w:tab w:leader="none" w:pos="8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Restated Certificate of Incorporation of Universal Electronics Inc., as amended (incorporated by reference to Exhibit 3.1 to the Company's Form S-1 Registration filed on or about December 24, 1992 (File No. 33-56358)) (paper file)</w:t>
      </w:r>
    </w:p>
    <w:p>
      <w:pPr>
        <w:spacing w:after="0" w:line="64" w:lineRule="exact"/>
        <w:rPr>
          <w:sz w:val="20"/>
          <w:szCs w:val="20"/>
          <w:color w:val="auto"/>
        </w:rPr>
      </w:pPr>
    </w:p>
    <w:p>
      <w:pPr>
        <w:jc w:val="both"/>
        <w:ind w:left="900" w:hanging="561"/>
        <w:spacing w:after="0" w:line="237" w:lineRule="auto"/>
        <w:tabs>
          <w:tab w:leader="none" w:pos="8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Certificate of Amendment to Restated Certificate of Incorporation of Universal Electronics Inc. (incorporated by reference to Exhibit 3.3 to the Company's Annual Report on Form 10-K for the year ended December 31, 1995 filed on April 1, 1996 (File No. 0-21044)) (paper file)</w:t>
      </w:r>
    </w:p>
    <w:p>
      <w:pPr>
        <w:spacing w:after="0" w:line="64" w:lineRule="exact"/>
        <w:rPr>
          <w:sz w:val="20"/>
          <w:szCs w:val="20"/>
          <w:color w:val="auto"/>
        </w:rPr>
      </w:pPr>
    </w:p>
    <w:p>
      <w:pPr>
        <w:jc w:val="both"/>
        <w:ind w:left="900" w:hanging="561"/>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3.3</w:t>
      </w:r>
      <w:r>
        <w:rPr>
          <w:sz w:val="20"/>
          <w:szCs w:val="20"/>
          <w:color w:val="auto"/>
        </w:rPr>
        <w:tab/>
      </w:r>
      <w:hyperlink r:id="rId103">
        <w:r>
          <w:rPr>
            <w:rFonts w:ascii="Times New Roman" w:cs="Times New Roman" w:eastAsia="Times New Roman" w:hAnsi="Times New Roman"/>
            <w:sz w:val="18"/>
            <w:szCs w:val="18"/>
            <w:u w:val="single" w:color="auto"/>
            <w:color w:val="0000FF"/>
          </w:rPr>
          <w:t>Certificate of Amendment to Restated Certificate of Incorporation of Universal Electronics Inc. (incorporated by reference to Exhibit 3.3 to the</w:t>
        </w:r>
      </w:hyperlink>
      <w:r>
        <w:rPr>
          <w:rFonts w:ascii="Times New Roman" w:cs="Times New Roman" w:eastAsia="Times New Roman" w:hAnsi="Times New Roman"/>
          <w:sz w:val="18"/>
          <w:szCs w:val="18"/>
          <w:u w:val="single" w:color="auto"/>
          <w:color w:val="0000FF"/>
        </w:rPr>
        <w:t xml:space="preserve"> </w:t>
      </w:r>
      <w:hyperlink r:id="rId103">
        <w:r>
          <w:rPr>
            <w:rFonts w:ascii="Times New Roman" w:cs="Times New Roman" w:eastAsia="Times New Roman" w:hAnsi="Times New Roman"/>
            <w:sz w:val="18"/>
            <w:szCs w:val="18"/>
            <w:u w:val="single" w:color="auto"/>
            <w:color w:val="0000FF"/>
          </w:rPr>
          <w:t>Company's Annual Report on Form 10-K for the year ended December 31, 2017 filed on March 13, 2018 (File No. 0-21044))</w:t>
        </w:r>
      </w:hyperlink>
    </w:p>
    <w:p>
      <w:pPr>
        <w:spacing w:after="0" w:line="64" w:lineRule="exact"/>
        <w:rPr>
          <w:sz w:val="20"/>
          <w:szCs w:val="20"/>
          <w:color w:val="auto"/>
        </w:rPr>
      </w:pPr>
    </w:p>
    <w:p>
      <w:pPr>
        <w:jc w:val="both"/>
        <w:ind w:left="900" w:hanging="561"/>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3.4</w:t>
      </w:r>
      <w:r>
        <w:rPr>
          <w:sz w:val="20"/>
          <w:szCs w:val="20"/>
          <w:color w:val="auto"/>
        </w:rPr>
        <w:tab/>
      </w:r>
      <w:hyperlink r:id="rId104">
        <w:r>
          <w:rPr>
            <w:rFonts w:ascii="Times New Roman" w:cs="Times New Roman" w:eastAsia="Times New Roman" w:hAnsi="Times New Roman"/>
            <w:sz w:val="18"/>
            <w:szCs w:val="18"/>
            <w:u w:val="single" w:color="auto"/>
            <w:color w:val="0000FF"/>
          </w:rPr>
          <w:t>Amended and Restated By-laws of Universal Electronics Inc. (incorporated by reference to Exhibit 3.4 to the Company's Annual Report on</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Form 10-K for the year ended December 31, 2017 filed on March 13, 2018 (File No.0-21044))</w:t>
        </w:r>
      </w:hyperlink>
    </w:p>
    <w:p>
      <w:pPr>
        <w:spacing w:after="0" w:line="64" w:lineRule="exact"/>
        <w:rPr>
          <w:sz w:val="20"/>
          <w:szCs w:val="20"/>
          <w:color w:val="auto"/>
        </w:rPr>
      </w:pPr>
    </w:p>
    <w:p>
      <w:pPr>
        <w:jc w:val="both"/>
        <w:ind w:left="900" w:hanging="561"/>
        <w:spacing w:after="0" w:line="216" w:lineRule="auto"/>
        <w:tabs>
          <w:tab w:leader="none" w:pos="8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Article Eighth of our Restated Certificate of Incorporation, as amended, contains certain provisions restricting business combinations with interested stockholders under certain circumstances and imposing higher voting requirements for the approval of certain transactions unless the transaction has been approved by two-thirds of the disinterested directors or fair price provisions have been met. (incorporated by reference to</w:t>
      </w:r>
    </w:p>
    <w:p>
      <w:pPr>
        <w:ind w:left="900"/>
        <w:spacing w:after="0" w:line="204" w:lineRule="auto"/>
        <w:rPr>
          <w:sz w:val="20"/>
          <w:szCs w:val="20"/>
          <w:color w:val="auto"/>
        </w:rPr>
      </w:pPr>
      <w:r>
        <w:rPr>
          <w:rFonts w:ascii="Times New Roman" w:cs="Times New Roman" w:eastAsia="Times New Roman" w:hAnsi="Times New Roman"/>
          <w:sz w:val="18"/>
          <w:szCs w:val="18"/>
          <w:color w:val="auto"/>
        </w:rPr>
        <w:t>Exhibit 3.3 to the Company's Annual Report on Form 10-K for the year ended December 31, 1995 filed on April 1, 1996 (File No. 0-21044))</w:t>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(paper file)</w:t>
      </w:r>
    </w:p>
    <w:p>
      <w:pPr>
        <w:spacing w:after="0" w:line="70" w:lineRule="exact"/>
        <w:rPr>
          <w:sz w:val="20"/>
          <w:szCs w:val="20"/>
          <w:color w:val="auto"/>
        </w:rPr>
      </w:pPr>
    </w:p>
    <w:p>
      <w:pPr>
        <w:ind w:left="900" w:hanging="561"/>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105">
        <w:r>
          <w:rPr>
            <w:rFonts w:ascii="Times New Roman" w:cs="Times New Roman" w:eastAsia="Times New Roman" w:hAnsi="Times New Roman"/>
            <w:sz w:val="18"/>
            <w:szCs w:val="18"/>
            <w:u w:val="single" w:color="auto"/>
            <w:color w:val="0000FF"/>
          </w:rPr>
          <w:t>Description of Securities (incorporated by reference to Exhibit 4.3 to the Company's Annual Report on Form 10-K for the year ended</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December 31, 2019, filed on March 16, 2020 (File No. 0-21044))</w:t>
        </w:r>
      </w:hyperlink>
    </w:p>
    <w:p>
      <w:pPr>
        <w:spacing w:after="0" w:line="64" w:lineRule="exact"/>
        <w:rPr>
          <w:sz w:val="20"/>
          <w:szCs w:val="20"/>
          <w:color w:val="auto"/>
        </w:rPr>
      </w:pPr>
    </w:p>
    <w:p>
      <w:pPr>
        <w:jc w:val="both"/>
        <w:ind w:left="900" w:hanging="652"/>
        <w:spacing w:after="0" w:line="22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106">
        <w:r>
          <w:rPr>
            <w:rFonts w:ascii="Times New Roman" w:cs="Times New Roman" w:eastAsia="Times New Roman" w:hAnsi="Times New Roman"/>
            <w:sz w:val="18"/>
            <w:szCs w:val="18"/>
            <w:u w:val="single" w:color="auto"/>
            <w:color w:val="0000FF"/>
          </w:rPr>
          <w:t>Form of Salary Continuation Agreement by and between Universal Electronics Inc. and certain employees (incorporated by reference to</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Exhibit 10.25 to the Company's Annual Report on Form 10-K for the year ended December 31, 1997, filed on March 30, 1998 (File No. 0-</w:t>
        </w:r>
      </w:hyperlink>
      <w:hyperlink r:id="rId106">
        <w:r>
          <w:rPr>
            <w:rFonts w:ascii="Times New Roman" w:cs="Times New Roman" w:eastAsia="Times New Roman" w:hAnsi="Times New Roman"/>
            <w:sz w:val="18"/>
            <w:szCs w:val="18"/>
            <w:u w:val="single" w:color="auto"/>
            <w:color w:val="0000FF"/>
          </w:rPr>
          <w:t>21044))</w:t>
        </w:r>
      </w:hyperlink>
    </w:p>
    <w:p>
      <w:pPr>
        <w:spacing w:after="0" w:line="63" w:lineRule="exact"/>
        <w:rPr>
          <w:rFonts w:ascii="Times New Roman" w:cs="Times New Roman" w:eastAsia="Times New Roman" w:hAnsi="Times New Roman"/>
          <w:sz w:val="18"/>
          <w:szCs w:val="18"/>
          <w:u w:val="single" w:color="auto"/>
          <w:color w:val="0000FF"/>
        </w:rPr>
      </w:pPr>
    </w:p>
    <w:p>
      <w:pPr>
        <w:jc w:val="both"/>
        <w:ind w:left="900" w:hanging="652"/>
        <w:spacing w:after="0" w:line="226" w:lineRule="auto"/>
        <w:tabs>
          <w:tab w:leader="none" w:pos="880" w:val="left"/>
        </w:tabs>
        <w:rPr>
          <w:sz w:val="20"/>
          <w:szCs w:val="20"/>
          <w:color w:val="auto"/>
        </w:rPr>
      </w:pPr>
      <w:r>
        <w:rPr>
          <w:rFonts w:ascii="Times New Roman" w:cs="Times New Roman" w:eastAsia="Times New Roman" w:hAnsi="Times New Roman"/>
          <w:sz w:val="18"/>
          <w:szCs w:val="18"/>
          <w:color w:val="auto"/>
        </w:rPr>
        <w:t>*10.2</w:t>
        <w:tab/>
        <w:t>Form of Amendment to Salary Continuation Agreement by and between Universal Electronics Inc. and certain employees (incorporated by reference to Exhibit 10.26 to the Company's Annual Report on Form 10-K for the year ended December 31, 1997, filed on March 30, 1998 (File No. 0-21044)) (paper file)</w:t>
      </w:r>
    </w:p>
    <w:p>
      <w:pPr>
        <w:spacing w:after="0" w:line="63" w:lineRule="exact"/>
        <w:rPr>
          <w:rFonts w:ascii="Times New Roman" w:cs="Times New Roman" w:eastAsia="Times New Roman" w:hAnsi="Times New Roman"/>
          <w:sz w:val="18"/>
          <w:szCs w:val="18"/>
          <w:u w:val="single" w:color="auto"/>
          <w:color w:val="0000FF"/>
        </w:rPr>
      </w:pPr>
    </w:p>
    <w:p>
      <w:pPr>
        <w:jc w:val="both"/>
        <w:ind w:left="900" w:hanging="652"/>
        <w:spacing w:after="0" w:line="226" w:lineRule="auto"/>
        <w:tabs>
          <w:tab w:leader="none" w:pos="880" w:val="left"/>
        </w:tabs>
        <w:rPr>
          <w:sz w:val="20"/>
          <w:szCs w:val="20"/>
          <w:color w:val="auto"/>
        </w:rPr>
      </w:pPr>
      <w:r>
        <w:rPr>
          <w:rFonts w:ascii="Times New Roman" w:cs="Times New Roman" w:eastAsia="Times New Roman" w:hAnsi="Times New Roman"/>
          <w:sz w:val="18"/>
          <w:szCs w:val="18"/>
          <w:color w:val="auto"/>
        </w:rPr>
        <w:t>*10.3</w:t>
        <w:tab/>
        <w:t>Form of Salary Continuation Agreement by and between Universal Electronics Inc. and certain employees (incorporated by reference to Exhibit 10.39 to the Company's Annual Report on Form 10-K for the year ended December 31, 1999 filed on March 30, 2000 (File No. 0-21044)) (paper file)</w:t>
      </w:r>
    </w:p>
    <w:p>
      <w:pPr>
        <w:spacing w:after="0" w:line="63" w:lineRule="exact"/>
        <w:rPr>
          <w:rFonts w:ascii="Times New Roman" w:cs="Times New Roman" w:eastAsia="Times New Roman" w:hAnsi="Times New Roman"/>
          <w:sz w:val="18"/>
          <w:szCs w:val="18"/>
          <w:u w:val="single" w:color="auto"/>
          <w:color w:val="0000FF"/>
        </w:rPr>
      </w:pPr>
    </w:p>
    <w:p>
      <w:pPr>
        <w:jc w:val="both"/>
        <w:ind w:left="900" w:hanging="652"/>
        <w:spacing w:after="0" w:line="22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107">
        <w:r>
          <w:rPr>
            <w:rFonts w:ascii="Times New Roman" w:cs="Times New Roman" w:eastAsia="Times New Roman" w:hAnsi="Times New Roman"/>
            <w:sz w:val="18"/>
            <w:szCs w:val="18"/>
            <w:u w:val="single" w:color="auto"/>
            <w:color w:val="0000FF"/>
          </w:rPr>
          <w:t>Form of Executive Officer Employment Agreement dated April 23, 2003 by and between Universal Electronics Inc. and Paul D. Arling</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(incorporated by reference to Exhibit 10.42 to the Company's Annual Report on Form 10-K for the year ended December 31, 2003 filed on</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March 14, 2004 (File No. 0-21044))</w:t>
        </w:r>
      </w:hyperlink>
    </w:p>
    <w:p>
      <w:pPr>
        <w:spacing w:after="0" w:line="63" w:lineRule="exact"/>
        <w:rPr>
          <w:rFonts w:ascii="Times New Roman" w:cs="Times New Roman" w:eastAsia="Times New Roman" w:hAnsi="Times New Roman"/>
          <w:sz w:val="18"/>
          <w:szCs w:val="18"/>
          <w:u w:val="single" w:color="auto"/>
          <w:color w:val="0000FF"/>
        </w:rPr>
      </w:pPr>
    </w:p>
    <w:p>
      <w:pPr>
        <w:jc w:val="both"/>
        <w:ind w:left="900" w:hanging="652"/>
        <w:spacing w:after="0" w:line="22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108">
        <w:r>
          <w:rPr>
            <w:rFonts w:ascii="Times New Roman" w:cs="Times New Roman" w:eastAsia="Times New Roman" w:hAnsi="Times New Roman"/>
            <w:sz w:val="18"/>
            <w:szCs w:val="18"/>
            <w:u w:val="single" w:color="auto"/>
            <w:color w:val="0000FF"/>
          </w:rPr>
          <w:t>Form of Indemnification Agreements, dated as of January 2, 2007 between the Company and each director and certain officers of the Company</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(incorporated by reference to Exhibit 10.28 to the Company's Annual Report on Form 10-K for the year ended December 31, 2006 filed on</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March 16, 2007 (File No. 0-21044))</w:t>
        </w:r>
      </w:hyperlink>
    </w:p>
    <w:p>
      <w:pPr>
        <w:spacing w:after="0" w:line="63" w:lineRule="exact"/>
        <w:rPr>
          <w:rFonts w:ascii="Times New Roman" w:cs="Times New Roman" w:eastAsia="Times New Roman" w:hAnsi="Times New Roman"/>
          <w:sz w:val="18"/>
          <w:szCs w:val="18"/>
          <w:u w:val="single" w:color="auto"/>
          <w:color w:val="0000FF"/>
        </w:rPr>
      </w:pPr>
    </w:p>
    <w:p>
      <w:pPr>
        <w:jc w:val="both"/>
        <w:ind w:left="900" w:hanging="606"/>
        <w:spacing w:after="0" w:line="22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109">
        <w:r>
          <w:rPr>
            <w:rFonts w:ascii="Times New Roman" w:cs="Times New Roman" w:eastAsia="Times New Roman" w:hAnsi="Times New Roman"/>
            <w:sz w:val="18"/>
            <w:szCs w:val="18"/>
            <w:u w:val="single" w:color="auto"/>
            <w:color w:val="0000FF"/>
          </w:rPr>
          <w:t>Security Agreement dated November 1, 2010 from Universal Electronics Inc. to U.S. Bank National Association (incorporated by reference to</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Exhibit 10.31 to the Company's Annual Report on Form 10-K for the year ended December 31, 2010 filed on March 16, 2011 (File No. 0-</w:t>
        </w:r>
      </w:hyperlink>
      <w:hyperlink r:id="rId109">
        <w:r>
          <w:rPr>
            <w:rFonts w:ascii="Times New Roman" w:cs="Times New Roman" w:eastAsia="Times New Roman" w:hAnsi="Times New Roman"/>
            <w:sz w:val="18"/>
            <w:szCs w:val="18"/>
            <w:u w:val="single" w:color="auto"/>
            <w:color w:val="0000FF"/>
          </w:rPr>
          <w:t>21044))</w:t>
        </w:r>
      </w:hyperlink>
    </w:p>
    <w:p>
      <w:pPr>
        <w:spacing w:after="0" w:line="63" w:lineRule="exact"/>
        <w:rPr>
          <w:rFonts w:ascii="Times New Roman" w:cs="Times New Roman" w:eastAsia="Times New Roman" w:hAnsi="Times New Roman"/>
          <w:sz w:val="18"/>
          <w:szCs w:val="18"/>
          <w:u w:val="single" w:color="auto"/>
          <w:color w:val="0000FF"/>
        </w:rPr>
      </w:pPr>
    </w:p>
    <w:p>
      <w:pPr>
        <w:jc w:val="both"/>
        <w:ind w:left="900" w:hanging="652"/>
        <w:spacing w:after="0" w:line="22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110">
        <w:r>
          <w:rPr>
            <w:rFonts w:ascii="Times New Roman" w:cs="Times New Roman" w:eastAsia="Times New Roman" w:hAnsi="Times New Roman"/>
            <w:sz w:val="18"/>
            <w:szCs w:val="18"/>
            <w:u w:val="single" w:color="auto"/>
            <w:color w:val="0000FF"/>
          </w:rPr>
          <w:t>Form of Second Amendment to Executive Officer Employment Agreement dated February 29, 2008 by and between Universal Electronics Inc.</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and Paul D. Arling (incorporated by reference to Exhibit 10.31 to the Company's Annual Report on Form 10-K for the year ended December</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31, 2012 filed on March 14, 2013 (File No. 0-21044))</w:t>
        </w:r>
      </w:hyperlink>
    </w:p>
    <w:p>
      <w:pPr>
        <w:spacing w:after="0" w:line="63" w:lineRule="exact"/>
        <w:rPr>
          <w:rFonts w:ascii="Times New Roman" w:cs="Times New Roman" w:eastAsia="Times New Roman" w:hAnsi="Times New Roman"/>
          <w:sz w:val="18"/>
          <w:szCs w:val="18"/>
          <w:u w:val="single" w:color="auto"/>
          <w:color w:val="0000FF"/>
        </w:rPr>
      </w:pPr>
    </w:p>
    <w:p>
      <w:pPr>
        <w:jc w:val="both"/>
        <w:ind w:left="900" w:hanging="652"/>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111">
        <w:r>
          <w:rPr>
            <w:rFonts w:ascii="Times New Roman" w:cs="Times New Roman" w:eastAsia="Times New Roman" w:hAnsi="Times New Roman"/>
            <w:sz w:val="18"/>
            <w:szCs w:val="18"/>
            <w:u w:val="single" w:color="auto"/>
            <w:color w:val="0000FF"/>
          </w:rPr>
          <w:t>Universal Electronics Inc. 2014 Stock Incentive Plan (incorporated by reference to Exhibit 4.5 to the Company's Registration Statement on</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Form S-8 filed on August 12, 2014 (File No. 333-198083))</w:t>
        </w:r>
      </w:hyperlink>
    </w:p>
    <w:p>
      <w:pPr>
        <w:spacing w:after="0" w:line="64" w:lineRule="exact"/>
        <w:rPr>
          <w:sz w:val="20"/>
          <w:szCs w:val="20"/>
          <w:color w:val="auto"/>
        </w:rPr>
      </w:pPr>
    </w:p>
    <w:p>
      <w:pPr>
        <w:jc w:val="both"/>
        <w:ind w:left="900" w:hanging="652"/>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112">
        <w:r>
          <w:rPr>
            <w:rFonts w:ascii="Times New Roman" w:cs="Times New Roman" w:eastAsia="Times New Roman" w:hAnsi="Times New Roman"/>
            <w:sz w:val="18"/>
            <w:szCs w:val="18"/>
            <w:u w:val="single" w:color="auto"/>
            <w:color w:val="0000FF"/>
          </w:rPr>
          <w:t>Form of Option Agreement used in connection with the Universal Electronics Inc. 2014 Stock Incentive Plan (incorporated by reference to</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Exhibit 4.6 to the Company's Registration Statement on Form S-8 filed on August 12, 2014 (File No. 333-198083))</w:t>
        </w:r>
      </w:hyperlink>
    </w:p>
    <w:p>
      <w:pPr>
        <w:spacing w:after="0" w:line="64" w:lineRule="exact"/>
        <w:rPr>
          <w:sz w:val="20"/>
          <w:szCs w:val="20"/>
          <w:color w:val="auto"/>
        </w:rPr>
      </w:pPr>
    </w:p>
    <w:p>
      <w:pPr>
        <w:jc w:val="both"/>
        <w:ind w:left="900" w:hanging="652"/>
        <w:spacing w:after="0" w:line="22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113">
        <w:r>
          <w:rPr>
            <w:rFonts w:ascii="Times New Roman" w:cs="Times New Roman" w:eastAsia="Times New Roman" w:hAnsi="Times New Roman"/>
            <w:sz w:val="18"/>
            <w:szCs w:val="18"/>
            <w:u w:val="single" w:color="auto"/>
            <w:color w:val="0000FF"/>
          </w:rPr>
          <w:t>Second Amended and Restated Credit Agreement dated October 27, 2017 between Universal Electronics Inc. and U.S. Bank National</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Association and Wells Fargo Bank, National Association (incorporated by reference to Exhibit 10.39 to the Company's Annual Report on form</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10-K for the year ended December 31, 2017 filed on March 13, 2018 (File No. 0-21044))</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05"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1"/>
        </w:trPr>
        <w:tc>
          <w:tcPr>
            <w:tcW w:w="3220" w:type="dxa"/>
            <w:vAlign w:val="bottom"/>
          </w:tcPr>
          <w:p>
            <w:pPr>
              <w:jc w:val="center"/>
              <w:ind w:right="226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520" w:type="dxa"/>
            <w:vAlign w:val="bottom"/>
            <w:vMerge w:val="restart"/>
          </w:tcPr>
          <w:p>
            <w:pPr>
              <w:ind w:left="2140"/>
              <w:spacing w:after="0"/>
              <w:rPr>
                <w:sz w:val="20"/>
                <w:szCs w:val="20"/>
                <w:color w:val="auto"/>
              </w:rPr>
            </w:pPr>
            <w:r>
              <w:rPr>
                <w:rFonts w:ascii="Times New Roman" w:cs="Times New Roman" w:eastAsia="Times New Roman" w:hAnsi="Times New Roman"/>
                <w:sz w:val="14"/>
                <w:szCs w:val="14"/>
                <w:b w:val="1"/>
                <w:bCs w:val="1"/>
                <w:u w:val="single" w:color="auto"/>
                <w:color w:val="auto"/>
              </w:rPr>
              <w:t>Document Description</w:t>
            </w:r>
          </w:p>
        </w:tc>
        <w:tc>
          <w:tcPr>
            <w:tcW w:w="0" w:type="dxa"/>
            <w:vAlign w:val="bottom"/>
          </w:tcPr>
          <w:p>
            <w:pPr>
              <w:spacing w:after="0"/>
              <w:rPr>
                <w:sz w:val="1"/>
                <w:szCs w:val="1"/>
                <w:color w:val="auto"/>
              </w:rPr>
            </w:pPr>
          </w:p>
        </w:tc>
      </w:tr>
      <w:tr>
        <w:trPr>
          <w:trHeight w:val="190"/>
        </w:trPr>
        <w:tc>
          <w:tcPr>
            <w:tcW w:w="3220" w:type="dxa"/>
            <w:vAlign w:val="bottom"/>
          </w:tcPr>
          <w:p>
            <w:pPr>
              <w:jc w:val="center"/>
              <w:ind w:right="2268"/>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tc>
        <w:tc>
          <w:tcPr>
            <w:tcW w:w="3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both"/>
        <w:ind w:left="900" w:hanging="648"/>
        <w:spacing w:after="0" w:line="22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115">
        <w:r>
          <w:rPr>
            <w:rFonts w:ascii="Times New Roman" w:cs="Times New Roman" w:eastAsia="Times New Roman" w:hAnsi="Times New Roman"/>
            <w:sz w:val="18"/>
            <w:szCs w:val="18"/>
            <w:u w:val="single" w:color="auto"/>
            <w:color w:val="0000FF"/>
          </w:rPr>
          <w:t>First Amendment to Second Amended and Restated Credit Agreement dated as of May 4, 2018 between Universal Electronics Inc. and U.S.</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Bank National Association and Wells Fargo Bank, National Association (incorporated in reference to Exhibit 10.1 to the Company's Quarterly</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Report on Form 10-Q for the quarter ended June 30, 2018 filed on August 8, 2018 (File No. 0-21044))</w:t>
        </w:r>
      </w:hyperlink>
    </w:p>
    <w:p>
      <w:pPr>
        <w:spacing w:after="0" w:line="63" w:lineRule="exact"/>
        <w:rPr>
          <w:rFonts w:ascii="Times New Roman" w:cs="Times New Roman" w:eastAsia="Times New Roman" w:hAnsi="Times New Roman"/>
          <w:sz w:val="18"/>
          <w:szCs w:val="18"/>
          <w:u w:val="single" w:color="auto"/>
          <w:color w:val="0000FF"/>
        </w:rPr>
      </w:pPr>
    </w:p>
    <w:p>
      <w:pPr>
        <w:jc w:val="both"/>
        <w:ind w:left="900" w:hanging="652"/>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116">
        <w:r>
          <w:rPr>
            <w:rFonts w:ascii="Times New Roman" w:cs="Times New Roman" w:eastAsia="Times New Roman" w:hAnsi="Times New Roman"/>
            <w:sz w:val="18"/>
            <w:szCs w:val="18"/>
            <w:u w:val="single" w:color="auto"/>
            <w:color w:val="0000FF"/>
          </w:rPr>
          <w:t>Universal Electronics Inc. 2018 Equity and Incentive Compensation Plan (incorporated by reference to Exhibit 4.5 to the Company's</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Registration Statement on Form S-8 filed on September 26, 2018 (File No. 333-227594))</w:t>
        </w:r>
      </w:hyperlink>
    </w:p>
    <w:p>
      <w:pPr>
        <w:spacing w:after="0" w:line="64" w:lineRule="exact"/>
        <w:rPr>
          <w:sz w:val="20"/>
          <w:szCs w:val="20"/>
          <w:color w:val="auto"/>
        </w:rPr>
      </w:pPr>
    </w:p>
    <w:p>
      <w:pPr>
        <w:jc w:val="both"/>
        <w:ind w:left="900" w:hanging="652"/>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117">
        <w:r>
          <w:rPr>
            <w:rFonts w:ascii="Times New Roman" w:cs="Times New Roman" w:eastAsia="Times New Roman" w:hAnsi="Times New Roman"/>
            <w:sz w:val="18"/>
            <w:szCs w:val="18"/>
            <w:u w:val="single" w:color="auto"/>
            <w:color w:val="0000FF"/>
          </w:rPr>
          <w:t>Form of Restricted Stock Agreement under the 2018 Equity and Incentive Compensation Plan (incorporated by reference to Exhibit 10.5 to the</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Company's Quarterly Report on Form 10-Q for the quarter ended June 30, 2018 filed on August 8, 2018 (File No. 0-21044)</w:t>
        </w:r>
      </w:hyperlink>
    </w:p>
    <w:p>
      <w:pPr>
        <w:spacing w:after="0" w:line="64" w:lineRule="exact"/>
        <w:rPr>
          <w:sz w:val="20"/>
          <w:szCs w:val="20"/>
          <w:color w:val="auto"/>
        </w:rPr>
      </w:pPr>
    </w:p>
    <w:p>
      <w:pPr>
        <w:jc w:val="both"/>
        <w:ind w:left="900" w:hanging="652"/>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118">
        <w:r>
          <w:rPr>
            <w:rFonts w:ascii="Times New Roman" w:cs="Times New Roman" w:eastAsia="Times New Roman" w:hAnsi="Times New Roman"/>
            <w:sz w:val="18"/>
            <w:szCs w:val="18"/>
            <w:u w:val="single" w:color="auto"/>
            <w:color w:val="0000FF"/>
          </w:rPr>
          <w:t>Form of Stock Option Agreement under the 2018 Equity and Incentive Compensation Plan (incorporated by reference to Exhibit 10.6 to the</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Company's Quarterly Report on Form 10-Q for the quarter ended June 30, 2018 filed on August 8, 2018 (File No. 0-21044))</w:t>
        </w:r>
      </w:hyperlink>
    </w:p>
    <w:p>
      <w:pPr>
        <w:spacing w:after="0" w:line="64" w:lineRule="exact"/>
        <w:rPr>
          <w:sz w:val="20"/>
          <w:szCs w:val="20"/>
          <w:color w:val="auto"/>
        </w:rPr>
      </w:pPr>
    </w:p>
    <w:p>
      <w:pPr>
        <w:jc w:val="both"/>
        <w:ind w:left="900" w:hanging="652"/>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119">
        <w:r>
          <w:rPr>
            <w:rFonts w:ascii="Times New Roman" w:cs="Times New Roman" w:eastAsia="Times New Roman" w:hAnsi="Times New Roman"/>
            <w:sz w:val="18"/>
            <w:szCs w:val="18"/>
            <w:u w:val="single" w:color="auto"/>
            <w:color w:val="0000FF"/>
          </w:rPr>
          <w:t>Second Amendment to Second Amended and Restated Credit Agreement (incorporated by reference to Exhibit 10.1 to the Company's Current</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Report on Form 8-K dated December 27, 2018 filed on January 3, 2019 (File No. 0-21044))</w:t>
        </w:r>
      </w:hyperlink>
    </w:p>
    <w:p>
      <w:pPr>
        <w:spacing w:after="0" w:line="64" w:lineRule="exact"/>
        <w:rPr>
          <w:sz w:val="20"/>
          <w:szCs w:val="20"/>
          <w:color w:val="auto"/>
        </w:rPr>
      </w:pPr>
    </w:p>
    <w:p>
      <w:pPr>
        <w:jc w:val="both"/>
        <w:ind w:left="900" w:hanging="652"/>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120">
        <w:r>
          <w:rPr>
            <w:rFonts w:ascii="Times New Roman" w:cs="Times New Roman" w:eastAsia="Times New Roman" w:hAnsi="Times New Roman"/>
            <w:sz w:val="18"/>
            <w:szCs w:val="18"/>
            <w:u w:val="single" w:color="auto"/>
            <w:color w:val="0000FF"/>
          </w:rPr>
          <w:t>Third Amendment to Second Amended and Restated Credit Agreement (incorporated by reference to Exhibit 10.33 to the Company's Annual</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Report on Form 10-K for the year ended December 31, 2020 filed on March 5, 2021 (File No. 0-21044))</w:t>
        </w:r>
      </w:hyperlink>
    </w:p>
    <w:p>
      <w:pPr>
        <w:spacing w:after="0" w:line="64" w:lineRule="exact"/>
        <w:rPr>
          <w:sz w:val="20"/>
          <w:szCs w:val="20"/>
          <w:color w:val="auto"/>
        </w:rPr>
      </w:pPr>
    </w:p>
    <w:p>
      <w:pPr>
        <w:jc w:val="both"/>
        <w:ind w:left="900" w:hanging="652"/>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121">
        <w:r>
          <w:rPr>
            <w:rFonts w:ascii="Times New Roman" w:cs="Times New Roman" w:eastAsia="Times New Roman" w:hAnsi="Times New Roman"/>
            <w:sz w:val="18"/>
            <w:szCs w:val="18"/>
            <w:u w:val="single" w:color="auto"/>
            <w:color w:val="0000FF"/>
          </w:rPr>
          <w:t>Fourth Amendment to Second Amended and Restated Credit Agreement (incorporated by reference to Exhibit 10.34 to the Company's Annual</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Report on Form 10-K for the year ended December 31, 2020 filed on March 5, 2021 (File No. 0-21044))</w:t>
        </w:r>
      </w:hyperlink>
    </w:p>
    <w:p>
      <w:pPr>
        <w:spacing w:after="0" w:line="64" w:lineRule="exact"/>
        <w:rPr>
          <w:sz w:val="20"/>
          <w:szCs w:val="20"/>
          <w:color w:val="auto"/>
        </w:rPr>
      </w:pPr>
    </w:p>
    <w:p>
      <w:pPr>
        <w:jc w:val="both"/>
        <w:ind w:left="900" w:right="20" w:hanging="652"/>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122">
        <w:r>
          <w:rPr>
            <w:rFonts w:ascii="Times New Roman" w:cs="Times New Roman" w:eastAsia="Times New Roman" w:hAnsi="Times New Roman"/>
            <w:sz w:val="18"/>
            <w:szCs w:val="18"/>
            <w:u w:val="single" w:color="auto"/>
            <w:color w:val="0000FF"/>
          </w:rPr>
          <w:t>First Amendment to Universal Electronics Inc. 2018 Equity and Incentive Compensation Plan (incorporated by reference to Exhibit 4.6 to the</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Company's Registration Statement on Form S-8 filed on August 5, 2021 (File No. 333-258488))</w:t>
        </w:r>
      </w:hyperlink>
    </w:p>
    <w:p>
      <w:pPr>
        <w:spacing w:after="0" w:line="64" w:lineRule="exact"/>
        <w:rPr>
          <w:sz w:val="20"/>
          <w:szCs w:val="20"/>
          <w:color w:val="auto"/>
        </w:rPr>
      </w:pPr>
    </w:p>
    <w:p>
      <w:pPr>
        <w:jc w:val="both"/>
        <w:ind w:left="900" w:hanging="652"/>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123">
        <w:r>
          <w:rPr>
            <w:rFonts w:ascii="Times New Roman" w:cs="Times New Roman" w:eastAsia="Times New Roman" w:hAnsi="Times New Roman"/>
            <w:sz w:val="18"/>
            <w:szCs w:val="18"/>
            <w:u w:val="single" w:color="auto"/>
            <w:color w:val="0000FF"/>
          </w:rPr>
          <w:t>Fifth Amendment to the Second Amended and Restated Credit Agreement (incorporated by reference to Exhibit 10.1 to the Company's Current</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Report on Form 8-K filed on October 28, 2021 (File No. 0-21044))</w:t>
        </w:r>
      </w:hyperlink>
    </w:p>
    <w:p>
      <w:pPr>
        <w:spacing w:after="0" w:line="64" w:lineRule="exact"/>
        <w:rPr>
          <w:sz w:val="20"/>
          <w:szCs w:val="20"/>
          <w:color w:val="auto"/>
        </w:rPr>
      </w:pPr>
    </w:p>
    <w:p>
      <w:pPr>
        <w:jc w:val="both"/>
        <w:ind w:left="900" w:hanging="652"/>
        <w:spacing w:after="0" w:line="22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124">
        <w:r>
          <w:rPr>
            <w:rFonts w:ascii="Times New Roman" w:cs="Times New Roman" w:eastAsia="Times New Roman" w:hAnsi="Times New Roman"/>
            <w:sz w:val="18"/>
            <w:szCs w:val="18"/>
            <w:u w:val="single" w:color="auto"/>
            <w:color w:val="0000FF"/>
          </w:rPr>
          <w:t>Termination of Pledge Agreement dated October 25, 2021 between UEI Hong Kong Private Limited and Enson Assets Limited to U.S. Bank</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National Association (incorporated by reference to Exhibit 10.2 to the Company's Current Report on Form 8-K filed on October 28, 2021 (File</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No. 0-21044))</w:t>
        </w:r>
      </w:hyperlink>
    </w:p>
    <w:p>
      <w:pPr>
        <w:spacing w:after="0" w:line="63" w:lineRule="exact"/>
        <w:rPr>
          <w:rFonts w:ascii="Times New Roman" w:cs="Times New Roman" w:eastAsia="Times New Roman" w:hAnsi="Times New Roman"/>
          <w:sz w:val="18"/>
          <w:szCs w:val="18"/>
          <w:u w:val="single" w:color="auto"/>
          <w:color w:val="0000FF"/>
        </w:rPr>
      </w:pPr>
    </w:p>
    <w:p>
      <w:pPr>
        <w:jc w:val="both"/>
        <w:ind w:left="900" w:hanging="652"/>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125">
        <w:r>
          <w:rPr>
            <w:rFonts w:ascii="Times New Roman" w:cs="Times New Roman" w:eastAsia="Times New Roman" w:hAnsi="Times New Roman"/>
            <w:sz w:val="18"/>
            <w:szCs w:val="18"/>
            <w:u w:val="single" w:color="auto"/>
            <w:color w:val="0000FF"/>
          </w:rPr>
          <w:t>Continuing Guaranty dated October 25, 2021 between Universal Electronics BV and U.S. Bank National Association (incorporated by</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reference to Exhibit 10.3 to the Company's Current Report on Form 8-K filed on October 28, 2021 (File No. 0-21044))</w:t>
        </w:r>
      </w:hyperlink>
    </w:p>
    <w:p>
      <w:pPr>
        <w:spacing w:after="0" w:line="64" w:lineRule="exact"/>
        <w:rPr>
          <w:sz w:val="20"/>
          <w:szCs w:val="20"/>
          <w:color w:val="auto"/>
        </w:rPr>
      </w:pPr>
    </w:p>
    <w:p>
      <w:pPr>
        <w:jc w:val="both"/>
        <w:ind w:left="900" w:hanging="652"/>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126">
        <w:r>
          <w:rPr>
            <w:rFonts w:ascii="Times New Roman" w:cs="Times New Roman" w:eastAsia="Times New Roman" w:hAnsi="Times New Roman"/>
            <w:sz w:val="18"/>
            <w:szCs w:val="18"/>
            <w:u w:val="single" w:color="auto"/>
            <w:color w:val="0000FF"/>
          </w:rPr>
          <w:t>Sixth Amendment to the Second Amended and Restated Credit Agreement (incorporated by reference to Exhibit 10.1 to the Company's</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Quarterly Report on Form 10-Q for the quarter ended March 31, 2023 filed on May 9, 2023 (File No. 0-21044))</w:t>
        </w:r>
      </w:hyperlink>
    </w:p>
    <w:p>
      <w:pPr>
        <w:spacing w:after="0" w:line="64" w:lineRule="exact"/>
        <w:rPr>
          <w:sz w:val="20"/>
          <w:szCs w:val="20"/>
          <w:color w:val="auto"/>
        </w:rPr>
      </w:pPr>
    </w:p>
    <w:p>
      <w:pPr>
        <w:jc w:val="both"/>
        <w:ind w:left="900" w:hanging="652"/>
        <w:spacing w:after="0" w:line="22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127">
        <w:r>
          <w:rPr>
            <w:rFonts w:ascii="Times New Roman" w:cs="Times New Roman" w:eastAsia="Times New Roman" w:hAnsi="Times New Roman"/>
            <w:sz w:val="18"/>
            <w:szCs w:val="18"/>
            <w:u w:val="single" w:color="auto"/>
            <w:color w:val="0000FF"/>
          </w:rPr>
          <w:t>Cooperation Agreement, dated December 21, 2023, by and among Universal Electronics Inc., Toro 18 Holdings LLC, Immersion Corporation,</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William C. Martin and Eric Singer (incorporated by reference to Exhibit 10.1 to the Company’s Current Report on Form 8-K filed on</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December 26, 2023 (File No. 0-21044))</w:t>
        </w:r>
      </w:hyperlink>
    </w:p>
    <w:p>
      <w:pPr>
        <w:spacing w:after="0" w:line="63" w:lineRule="exact"/>
        <w:rPr>
          <w:rFonts w:ascii="Times New Roman" w:cs="Times New Roman" w:eastAsia="Times New Roman" w:hAnsi="Times New Roman"/>
          <w:sz w:val="18"/>
          <w:szCs w:val="18"/>
          <w:u w:val="single" w:color="auto"/>
          <w:color w:val="0000FF"/>
        </w:rPr>
      </w:pPr>
    </w:p>
    <w:p>
      <w:pPr>
        <w:jc w:val="both"/>
        <w:ind w:left="900" w:hanging="652"/>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128">
        <w:r>
          <w:rPr>
            <w:rFonts w:ascii="Times New Roman" w:cs="Times New Roman" w:eastAsia="Times New Roman" w:hAnsi="Times New Roman"/>
            <w:sz w:val="18"/>
            <w:szCs w:val="18"/>
            <w:u w:val="single" w:color="auto"/>
            <w:color w:val="0000FF"/>
          </w:rPr>
          <w:t>Seventh Amendment to the Second Amended and Restated Credit Agreement (incorporated by reference to Exhibit 10.24 to the Company's</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Annual Report on Form 10-K for the year ended December 31, 2023 filed on March 14, 2024 (File No. 0-21044))</w:t>
        </w:r>
      </w:hyperlink>
    </w:p>
    <w:p>
      <w:pPr>
        <w:spacing w:after="0" w:line="64" w:lineRule="exact"/>
        <w:rPr>
          <w:sz w:val="20"/>
          <w:szCs w:val="20"/>
          <w:color w:val="auto"/>
        </w:rPr>
      </w:pPr>
    </w:p>
    <w:p>
      <w:pPr>
        <w:jc w:val="both"/>
        <w:ind w:left="900" w:hanging="652"/>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129">
        <w:r>
          <w:rPr>
            <w:rFonts w:ascii="Times New Roman" w:cs="Times New Roman" w:eastAsia="Times New Roman" w:hAnsi="Times New Roman"/>
            <w:sz w:val="18"/>
            <w:szCs w:val="18"/>
            <w:u w:val="single" w:color="auto"/>
            <w:color w:val="0000FF"/>
          </w:rPr>
          <w:t>Universal Electronics Inc. Amended and Restated 2018 Equity and Incentive Compensation Plan (incorporated by reference to Exhibit 4.5 to</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the Company's Registration Statement on Form S-8 filed on August 8, 2024 (File No. 333-281411))</w:t>
        </w:r>
      </w:hyperlink>
    </w:p>
    <w:p>
      <w:pPr>
        <w:spacing w:after="0" w:line="64" w:lineRule="exact"/>
        <w:rPr>
          <w:sz w:val="20"/>
          <w:szCs w:val="20"/>
          <w:color w:val="auto"/>
        </w:rPr>
      </w:pPr>
    </w:p>
    <w:p>
      <w:pPr>
        <w:jc w:val="both"/>
        <w:ind w:left="900" w:hanging="652"/>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130">
        <w:r>
          <w:rPr>
            <w:rFonts w:ascii="Times New Roman" w:cs="Times New Roman" w:eastAsia="Times New Roman" w:hAnsi="Times New Roman"/>
            <w:sz w:val="18"/>
            <w:szCs w:val="18"/>
            <w:u w:val="single" w:color="auto"/>
            <w:color w:val="0000FF"/>
          </w:rPr>
          <w:t>Eighth Amendment to the Second Amended and Restated Credit Agreement signed August 22, 2024 (incorporated by reference to Exhibit 10.1</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to the Company’s Current Report on Form 8-K filed on August 28, 2024 (File No. 0-21044))</w:t>
        </w:r>
      </w:hyperlink>
    </w:p>
    <w:p>
      <w:pPr>
        <w:spacing w:after="0" w:line="64" w:lineRule="exact"/>
        <w:rPr>
          <w:sz w:val="20"/>
          <w:szCs w:val="20"/>
          <w:color w:val="auto"/>
        </w:rPr>
      </w:pPr>
    </w:p>
    <w:p>
      <w:pPr>
        <w:jc w:val="both"/>
        <w:ind w:left="900" w:hanging="652"/>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131">
        <w:r>
          <w:rPr>
            <w:rFonts w:ascii="Times New Roman" w:cs="Times New Roman" w:eastAsia="Times New Roman" w:hAnsi="Times New Roman"/>
            <w:sz w:val="18"/>
            <w:szCs w:val="18"/>
            <w:u w:val="single" w:color="auto"/>
            <w:color w:val="0000FF"/>
          </w:rPr>
          <w:t>Line of Credit Agreement signed August 29, 2024 ((incorporated by reference to Exhibit 10.1 to the Company’s Current Report on Form 8-K</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filed on September 3, 2024 (File No. 0-21044))</w:t>
        </w:r>
      </w:hyperlink>
    </w:p>
    <w:p>
      <w:pPr>
        <w:spacing w:after="0" w:line="52" w:lineRule="exact"/>
        <w:rPr>
          <w:sz w:val="20"/>
          <w:szCs w:val="20"/>
          <w:color w:val="auto"/>
        </w:rPr>
      </w:pPr>
    </w:p>
    <w:p>
      <w:pPr>
        <w:ind w:left="240"/>
        <w:spacing w:after="0"/>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132">
        <w:r>
          <w:rPr>
            <w:rFonts w:ascii="Times New Roman" w:cs="Times New Roman" w:eastAsia="Times New Roman" w:hAnsi="Times New Roman"/>
            <w:sz w:val="18"/>
            <w:szCs w:val="18"/>
            <w:u w:val="single" w:color="auto"/>
            <w:color w:val="0000FF"/>
          </w:rPr>
          <w:t>Maximum Mortgage Contract signed August 29, 2024 ((incorporated by reference to Exhibit 10.2 to the Company’s Current Report on Form</w:t>
        </w:r>
      </w:hyperlink>
    </w:p>
    <w:p>
      <w:pPr>
        <w:ind w:left="900"/>
        <w:spacing w:after="0"/>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8-K filed on September 3, 2024 (File No. 0-21044))</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vMerge w:val="restart"/>
          </w:tcPr>
          <w:p>
            <w:pPr>
              <w:spacing w:after="0"/>
              <w:rPr>
                <w:sz w:val="13"/>
                <w:szCs w:val="13"/>
                <w:color w:val="auto"/>
              </w:rPr>
            </w:pPr>
          </w:p>
        </w:tc>
        <w:tc>
          <w:tcPr>
            <w:tcW w:w="5960" w:type="dxa"/>
            <w:vAlign w:val="bottom"/>
            <w:gridSpan w:val="1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Document Description</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960" w:type="dxa"/>
            <w:vAlign w:val="bottom"/>
            <w:gridSpan w:val="1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10.29</w:t>
            </w:r>
          </w:p>
        </w:tc>
        <w:tc>
          <w:tcPr>
            <w:tcW w:w="180" w:type="dxa"/>
            <w:vAlign w:val="bottom"/>
          </w:tcPr>
          <w:p>
            <w:pPr>
              <w:spacing w:after="0"/>
              <w:rPr>
                <w:sz w:val="24"/>
                <w:szCs w:val="24"/>
                <w:color w:val="auto"/>
              </w:rPr>
            </w:pPr>
          </w:p>
        </w:tc>
        <w:tc>
          <w:tcPr>
            <w:tcW w:w="10440" w:type="dxa"/>
            <w:vAlign w:val="bottom"/>
            <w:gridSpan w:val="23"/>
          </w:tcPr>
          <w:p>
            <w:pPr>
              <w:ind w:left="20"/>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Working Capital Loan Contract signed August 29, 2024 ((incorporated by reference to Exhibit 10.3 to the Company’s Current Report on Form</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380" w:type="dxa"/>
            <w:vAlign w:val="bottom"/>
            <w:tcBorders>
              <w:top w:val="single" w:sz="8" w:color="0000FF"/>
            </w:tcBorders>
            <w:gridSpan w:val="20"/>
          </w:tcPr>
          <w:p>
            <w:pPr>
              <w:ind w:left="20"/>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8-K filed on September 3, 2024 (File No. 0-21044))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10.30</w:t>
            </w:r>
          </w:p>
        </w:tc>
        <w:tc>
          <w:tcPr>
            <w:tcW w:w="180" w:type="dxa"/>
            <w:vAlign w:val="bottom"/>
          </w:tcPr>
          <w:p>
            <w:pPr>
              <w:spacing w:after="0"/>
              <w:rPr>
                <w:sz w:val="24"/>
                <w:szCs w:val="24"/>
                <w:color w:val="auto"/>
              </w:rPr>
            </w:pPr>
          </w:p>
        </w:tc>
        <w:tc>
          <w:tcPr>
            <w:tcW w:w="10440" w:type="dxa"/>
            <w:vAlign w:val="bottom"/>
            <w:gridSpan w:val="23"/>
          </w:tcPr>
          <w:p>
            <w:pPr>
              <w:ind w:left="20"/>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Ninth Amendment to the Second Amended and Restated Credit Agreement signed January 2, 2025 (incorporated by reference to Exhibit 10.1</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320" w:type="dxa"/>
            <w:vAlign w:val="bottom"/>
            <w:tcBorders>
              <w:top w:val="single" w:sz="8" w:color="0000FF"/>
            </w:tcBorders>
            <w:gridSpan w:val="17"/>
          </w:tcPr>
          <w:p>
            <w:pPr>
              <w:ind w:left="20"/>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to the Company’s Current Report on Form 8-K filed on January 2, 2025 (File No. 0-21044))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10.31</w:t>
            </w:r>
          </w:p>
        </w:tc>
        <w:tc>
          <w:tcPr>
            <w:tcW w:w="180" w:type="dxa"/>
            <w:vAlign w:val="bottom"/>
          </w:tcPr>
          <w:p>
            <w:pPr>
              <w:spacing w:after="0"/>
              <w:rPr>
                <w:sz w:val="24"/>
                <w:szCs w:val="24"/>
                <w:color w:val="auto"/>
              </w:rPr>
            </w:pPr>
          </w:p>
        </w:tc>
        <w:tc>
          <w:tcPr>
            <w:tcW w:w="1044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Form of Restricted Stock Unit Award Agreement under the Amended and Restated 2018 Equity and Incentive Compensation Plan (filed</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ind w:left="20"/>
              <w:spacing w:after="0" w:line="156" w:lineRule="exact"/>
              <w:rPr>
                <w:sz w:val="20"/>
                <w:szCs w:val="20"/>
                <w:color w:val="auto"/>
              </w:rPr>
            </w:pPr>
            <w:r>
              <w:rPr>
                <w:rFonts w:ascii="Times New Roman" w:cs="Times New Roman" w:eastAsia="Times New Roman" w:hAnsi="Times New Roman"/>
                <w:sz w:val="18"/>
                <w:szCs w:val="18"/>
                <w:color w:val="0000FF"/>
                <w:w w:val="95"/>
              </w:rPr>
              <w:t>herewith)</w:t>
            </w:r>
          </w:p>
        </w:tc>
        <w:tc>
          <w:tcPr>
            <w:tcW w:w="96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10.32</w:t>
            </w:r>
          </w:p>
        </w:tc>
        <w:tc>
          <w:tcPr>
            <w:tcW w:w="180" w:type="dxa"/>
            <w:vAlign w:val="bottom"/>
          </w:tcPr>
          <w:p>
            <w:pPr>
              <w:spacing w:after="0"/>
              <w:rPr>
                <w:sz w:val="24"/>
                <w:szCs w:val="24"/>
                <w:color w:val="auto"/>
              </w:rPr>
            </w:pPr>
          </w:p>
        </w:tc>
        <w:tc>
          <w:tcPr>
            <w:tcW w:w="1044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Form of Performance-Based Stock Unit Award Agreement under the Amended and Restated 2018 Equity and Incentive Compensation Plan</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Borders>
              <w:top w:val="single" w:sz="8" w:color="0000FF"/>
              <w:bottom w:val="single" w:sz="8" w:color="0000FF"/>
            </w:tcBorders>
            <w:gridSpan w:val="2"/>
          </w:tcPr>
          <w:p>
            <w:pPr>
              <w:ind w:left="20"/>
              <w:spacing w:after="0" w:line="156" w:lineRule="exact"/>
              <w:rPr>
                <w:sz w:val="20"/>
                <w:szCs w:val="20"/>
                <w:color w:val="auto"/>
              </w:rPr>
            </w:pPr>
            <w:r>
              <w:rPr>
                <w:rFonts w:ascii="Times New Roman" w:cs="Times New Roman" w:eastAsia="Times New Roman" w:hAnsi="Times New Roman"/>
                <w:sz w:val="18"/>
                <w:szCs w:val="18"/>
                <w:color w:val="0000FF"/>
                <w:w w:val="97"/>
              </w:rPr>
              <w:t>(filed herewith)</w:t>
            </w:r>
          </w:p>
        </w:tc>
        <w:tc>
          <w:tcPr>
            <w:tcW w:w="928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tcPr>
          <w:p>
            <w:pPr>
              <w:spacing w:after="0"/>
              <w:rPr>
                <w:sz w:val="24"/>
                <w:szCs w:val="24"/>
                <w:color w:val="auto"/>
              </w:rPr>
            </w:pPr>
          </w:p>
        </w:tc>
        <w:tc>
          <w:tcPr>
            <w:tcW w:w="10440" w:type="dxa"/>
            <w:vAlign w:val="bottom"/>
            <w:gridSpan w:val="23"/>
          </w:tcPr>
          <w:p>
            <w:pPr>
              <w:ind w:left="20"/>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Code of Conduct (incorporated by reference to Exhibit 14.1 to the Company's Annual Report on Form 10-K for the year ended December 31,</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4"/>
          </w:tcPr>
          <w:p>
            <w:pPr>
              <w:ind w:left="20"/>
              <w:spacing w:after="0" w:line="15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2023 filed on March 14, 2024 (File No. 0-21044))</w:t>
              </w:r>
            </w:hyperlink>
          </w:p>
        </w:tc>
        <w:tc>
          <w:tcPr>
            <w:tcW w:w="674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tcPr>
          <w:p>
            <w:pPr>
              <w:spacing w:after="0"/>
              <w:rPr>
                <w:sz w:val="24"/>
                <w:szCs w:val="24"/>
                <w:color w:val="auto"/>
              </w:rPr>
            </w:pPr>
          </w:p>
        </w:tc>
        <w:tc>
          <w:tcPr>
            <w:tcW w:w="280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8"/>
              </w:rPr>
              <w:t>Insider Trading Policy (filed herewith)</w:t>
            </w:r>
          </w:p>
        </w:tc>
        <w:tc>
          <w:tcPr>
            <w:tcW w:w="764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tcPr>
          <w:p>
            <w:pPr>
              <w:spacing w:after="0"/>
              <w:rPr>
                <w:sz w:val="22"/>
                <w:szCs w:val="22"/>
                <w:color w:val="auto"/>
              </w:rPr>
            </w:pPr>
          </w:p>
        </w:tc>
        <w:tc>
          <w:tcPr>
            <w:tcW w:w="1044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List of Subsidiaries of the Registrant (filed herewith)</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20" w:type="dxa"/>
            <w:vAlign w:val="bottom"/>
            <w:gridSpan w:val="6"/>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tcPr>
          <w:p>
            <w:pPr>
              <w:spacing w:after="0"/>
              <w:rPr>
                <w:sz w:val="22"/>
                <w:szCs w:val="22"/>
                <w:color w:val="auto"/>
              </w:rPr>
            </w:pPr>
          </w:p>
        </w:tc>
        <w:tc>
          <w:tcPr>
            <w:tcW w:w="550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 (filed herewith)</w:t>
            </w:r>
          </w:p>
        </w:tc>
        <w:tc>
          <w:tcPr>
            <w:tcW w:w="4940" w:type="dxa"/>
            <w:vAlign w:val="bottom"/>
            <w:gridSpan w:val="14"/>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24.1</w:t>
            </w:r>
          </w:p>
        </w:tc>
        <w:tc>
          <w:tcPr>
            <w:tcW w:w="180" w:type="dxa"/>
            <w:vAlign w:val="bottom"/>
          </w:tcPr>
          <w:p>
            <w:pPr>
              <w:spacing w:after="0"/>
              <w:rPr>
                <w:sz w:val="22"/>
                <w:szCs w:val="22"/>
                <w:color w:val="auto"/>
              </w:rPr>
            </w:pPr>
          </w:p>
        </w:tc>
        <w:tc>
          <w:tcPr>
            <w:tcW w:w="1044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Power of Attorney (filed as part of the signature page hereto)</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0" w:type="dxa"/>
            <w:vAlign w:val="bottom"/>
            <w:gridSpan w:val="7"/>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2"/>
                <w:szCs w:val="22"/>
                <w:color w:val="auto"/>
              </w:rPr>
            </w:pPr>
          </w:p>
        </w:tc>
        <w:tc>
          <w:tcPr>
            <w:tcW w:w="552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Rule 13a-14(a) Certifications of the Chief Executive Officer (filed herewith)</w:t>
            </w:r>
          </w:p>
        </w:tc>
        <w:tc>
          <w:tcPr>
            <w:tcW w:w="4920" w:type="dxa"/>
            <w:vAlign w:val="bottom"/>
            <w:gridSpan w:val="13"/>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2"/>
                <w:szCs w:val="22"/>
                <w:color w:val="auto"/>
              </w:rPr>
            </w:pPr>
          </w:p>
        </w:tc>
        <w:tc>
          <w:tcPr>
            <w:tcW w:w="9820" w:type="dxa"/>
            <w:vAlign w:val="bottom"/>
            <w:tcBorders>
              <w:bottom w:val="single" w:sz="8" w:color="0000FF"/>
            </w:tcBorders>
            <w:gridSpan w:val="15"/>
          </w:tcPr>
          <w:p>
            <w:pPr>
              <w:ind w:left="20"/>
              <w:spacing w:after="0"/>
              <w:rPr>
                <w:sz w:val="20"/>
                <w:szCs w:val="20"/>
                <w:color w:val="auto"/>
              </w:rPr>
            </w:pPr>
            <w:r>
              <w:rPr>
                <w:rFonts w:ascii="Times New Roman" w:cs="Times New Roman" w:eastAsia="Times New Roman" w:hAnsi="Times New Roman"/>
                <w:sz w:val="18"/>
                <w:szCs w:val="18"/>
                <w:color w:val="0000FF"/>
                <w:w w:val="99"/>
              </w:rPr>
              <w:t>Rule 13a-14(a) Certifications of the Chief Financial Officer (principal financial officer and principal accounting officer) (filed herewith)</w:t>
            </w:r>
          </w:p>
        </w:tc>
        <w:tc>
          <w:tcPr>
            <w:tcW w:w="62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2"/>
                <w:szCs w:val="22"/>
                <w:color w:val="auto"/>
              </w:rPr>
            </w:pPr>
          </w:p>
        </w:tc>
        <w:tc>
          <w:tcPr>
            <w:tcW w:w="1044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Section 1350 Certifications of the Chief Executive Officer (furnished herewith)</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20" w:type="dxa"/>
            <w:vAlign w:val="bottom"/>
            <w:gridSpan w:val="11"/>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22"/>
                <w:szCs w:val="22"/>
                <w:color w:val="auto"/>
              </w:rPr>
            </w:pPr>
          </w:p>
        </w:tc>
        <w:tc>
          <w:tcPr>
            <w:tcW w:w="1044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Section 1350 Certifications of the Chief Financial Officer (principal financial officer and principal accounting officer) (furnished herewith)</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40" w:type="dxa"/>
            <w:vAlign w:val="bottom"/>
            <w:gridSpan w:val="13"/>
            <w:shd w:val="clear" w:color="auto" w:fill="0000FF"/>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97.1</w:t>
            </w:r>
          </w:p>
        </w:tc>
        <w:tc>
          <w:tcPr>
            <w:tcW w:w="180" w:type="dxa"/>
            <w:vAlign w:val="bottom"/>
          </w:tcPr>
          <w:p>
            <w:pPr>
              <w:spacing w:after="0"/>
              <w:rPr>
                <w:sz w:val="22"/>
                <w:szCs w:val="22"/>
                <w:color w:val="auto"/>
              </w:rPr>
            </w:pPr>
          </w:p>
        </w:tc>
        <w:tc>
          <w:tcPr>
            <w:tcW w:w="10440" w:type="dxa"/>
            <w:vAlign w:val="bottom"/>
            <w:gridSpan w:val="23"/>
          </w:tcPr>
          <w:p>
            <w:pPr>
              <w:ind w:left="20"/>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Universal Electronics Compensation Recoupment Policy (incorporated by reference to Exhibit 97.1 to the Company's Annual Report on Form</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40" w:type="dxa"/>
            <w:vAlign w:val="bottom"/>
            <w:tcBorders>
              <w:top w:val="single" w:sz="8" w:color="0000FF"/>
              <w:bottom w:val="single" w:sz="8" w:color="0000FF"/>
            </w:tcBorders>
            <w:gridSpan w:val="13"/>
          </w:tcPr>
          <w:p>
            <w:pPr>
              <w:ind w:left="20"/>
              <w:spacing w:after="0" w:line="15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10-K for the year ended December 31, 2023 filed on March 14, 2024 (File No. 0-21044))</w:t>
              </w:r>
            </w:hyperlink>
          </w:p>
        </w:tc>
        <w:tc>
          <w:tcPr>
            <w:tcW w:w="396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7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101.INS</w:t>
            </w:r>
          </w:p>
        </w:tc>
        <w:tc>
          <w:tcPr>
            <w:tcW w:w="1044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83"/>
        </w:trPr>
        <w:tc>
          <w:tcPr>
            <w:tcW w:w="7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101.SCH</w:t>
            </w:r>
          </w:p>
        </w:tc>
        <w:tc>
          <w:tcPr>
            <w:tcW w:w="1044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7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w w:val="99"/>
              </w:rPr>
              <w:t>101.CAL</w:t>
            </w:r>
          </w:p>
        </w:tc>
        <w:tc>
          <w:tcPr>
            <w:tcW w:w="1044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4"/>
        </w:trPr>
        <w:tc>
          <w:tcPr>
            <w:tcW w:w="7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101.DEF</w:t>
            </w:r>
          </w:p>
        </w:tc>
        <w:tc>
          <w:tcPr>
            <w:tcW w:w="1044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Linkbase Document</w:t>
            </w:r>
          </w:p>
        </w:tc>
        <w:tc>
          <w:tcPr>
            <w:tcW w:w="0" w:type="dxa"/>
            <w:vAlign w:val="bottom"/>
          </w:tcPr>
          <w:p>
            <w:pPr>
              <w:spacing w:after="0"/>
              <w:rPr>
                <w:sz w:val="1"/>
                <w:szCs w:val="1"/>
                <w:color w:val="auto"/>
              </w:rPr>
            </w:pPr>
          </w:p>
        </w:tc>
      </w:tr>
      <w:tr>
        <w:trPr>
          <w:trHeight w:val="283"/>
        </w:trPr>
        <w:tc>
          <w:tcPr>
            <w:tcW w:w="7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w w:val="99"/>
              </w:rPr>
              <w:t>101.LAB</w:t>
            </w:r>
          </w:p>
        </w:tc>
        <w:tc>
          <w:tcPr>
            <w:tcW w:w="1044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7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101.PRE</w:t>
            </w:r>
          </w:p>
        </w:tc>
        <w:tc>
          <w:tcPr>
            <w:tcW w:w="1044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900" w:hanging="582"/>
        <w:spacing w:after="0"/>
        <w:tabs>
          <w:tab w:leader="none" w:pos="9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77" w:lineRule="exact"/>
        <w:rPr>
          <w:sz w:val="20"/>
          <w:szCs w:val="20"/>
          <w:color w:val="auto"/>
        </w:rPr>
      </w:pPr>
    </w:p>
    <w:p>
      <w:pPr>
        <w:ind w:left="900" w:hanging="50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compensation plan or arrangement identified pursuant to Items 15(a)(3) and 15(c) of Form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in the City of Scottsdale, State of Arizona.</w:t>
      </w:r>
    </w:p>
    <w:p>
      <w:pPr>
        <w:spacing w:after="0" w:line="2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81" w:lineRule="exact"/>
        <w:rPr>
          <w:sz w:val="20"/>
          <w:szCs w:val="20"/>
          <w:color w:val="auto"/>
        </w:rPr>
      </w:pPr>
    </w:p>
    <w:tbl>
      <w:tblPr>
        <w:tblLayout w:type="fixed"/>
        <w:tblInd w:w="524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D. Arling</w:t>
            </w:r>
          </w:p>
        </w:tc>
      </w:tr>
      <w:tr>
        <w:trPr>
          <w:trHeight w:val="216"/>
        </w:trPr>
        <w:tc>
          <w:tcPr>
            <w:tcW w:w="96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D. Arling</w:t>
            </w:r>
          </w:p>
        </w:tc>
      </w:tr>
      <w:tr>
        <w:trPr>
          <w:trHeight w:val="236"/>
        </w:trPr>
        <w:tc>
          <w:tcPr>
            <w:tcW w:w="9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tc>
      </w:tr>
      <w:tr>
        <w:trPr>
          <w:trHeight w:val="37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11, 2025</w:t>
            </w: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Paul D. Arling and Bryan M. Hackworth as true and lawful attorneys-in-fact and agents, each acting alone, with full powers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for all intents and purposes as he might or may do in person, thereby ratifying and confirming all that said attorneys-in-fact and agents, each acting alone, or his substitutes, may lawfully do or cause to be done by virtue hereof.</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NAME &amp; TITLE</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Paul D. Arling</w:t>
      </w:r>
    </w:p>
    <w:p>
      <w:pPr>
        <w:ind w:left="20"/>
        <w:spacing w:after="0" w:line="219" w:lineRule="auto"/>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Bryan M. Hackworth</w:t>
      </w:r>
    </w:p>
    <w:p>
      <w:pPr>
        <w:ind w:left="20"/>
        <w:spacing w:after="0" w:line="219"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ind w:left="20"/>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C. Mulligan</w:t>
      </w:r>
    </w:p>
    <w:p>
      <w:pPr>
        <w:ind w:left="20"/>
        <w:spacing w:after="0"/>
        <w:rPr>
          <w:sz w:val="20"/>
          <w:szCs w:val="20"/>
          <w:color w:val="auto"/>
        </w:rPr>
      </w:pPr>
      <w:r>
        <w:rPr>
          <w:rFonts w:ascii="Times New Roman" w:cs="Times New Roman" w:eastAsia="Times New Roman" w:hAnsi="Times New Roman"/>
          <w:sz w:val="18"/>
          <w:szCs w:val="18"/>
          <w:i w:val="1"/>
          <w:iCs w:val="1"/>
          <w:color w:val="auto"/>
        </w:rPr>
        <w:t>Lead Director</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Satjiv S. Chahil</w:t>
      </w:r>
    </w:p>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Sue Ann R. Hamilton</w:t>
      </w:r>
    </w:p>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Romulo C. Pontual</w:t>
      </w:r>
    </w:p>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Eric B. Singer</w:t>
      </w:r>
    </w:p>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Edward K. Zinser</w:t>
      </w:r>
    </w:p>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0" w:lineRule="exact"/>
        <w:rPr>
          <w:sz w:val="20"/>
          <w:szCs w:val="20"/>
          <w:color w:val="auto"/>
        </w:rPr>
      </w:pPr>
    </w:p>
    <w:p>
      <w:pPr>
        <w:spacing w:after="0" w:line="266"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7"/>
          <w:szCs w:val="17"/>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24765</wp:posOffset>
            </wp:positionV>
            <wp:extent cx="17570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wp:posOffset>
            </wp:positionV>
            <wp:extent cx="17570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William C. Mulligan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wp:posOffset>
            </wp:positionV>
            <wp:extent cx="17570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Satjiv S. Chahil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wp:posOffset>
            </wp:positionV>
            <wp:extent cx="17570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Sue Ann R. Hamilton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wp:posOffset>
            </wp:positionV>
            <wp:extent cx="17570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Romulo C. Pontual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wp:posOffset>
            </wp:positionV>
            <wp:extent cx="17570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 B. 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wp:posOffset>
            </wp:positionV>
            <wp:extent cx="17570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 Edward K. Zinser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24765</wp:posOffset>
            </wp:positionV>
            <wp:extent cx="175704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24765</wp:posOffset>
            </wp:positionV>
            <wp:extent cx="13290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24765</wp:posOffset>
            </wp:positionV>
            <wp:extent cx="13290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8">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24765</wp:posOffset>
            </wp:positionV>
            <wp:extent cx="13290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24765</wp:posOffset>
            </wp:positionV>
            <wp:extent cx="13290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24765</wp:posOffset>
            </wp:positionV>
            <wp:extent cx="13290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24765</wp:posOffset>
            </wp:positionV>
            <wp:extent cx="13290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24765</wp:posOffset>
            </wp:positionV>
            <wp:extent cx="13290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24765</wp:posOffset>
            </wp:positionV>
            <wp:extent cx="13290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3">
            <w:col w:w="5580" w:space="720"/>
            <w:col w:w="2600" w:space="720"/>
            <w:col w:w="1620"/>
          </w:cols>
          <w:pgMar w:left="320" w:top="1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14" w:right="339" w:bottom="1440" w:gutter="0" w:footer="0" w:header="0"/>
          <w:type w:val="continuous"/>
        </w:sectPr>
      </w:pPr>
    </w:p>
    <w:bookmarkStart w:id="88" w:name="page89"/>
    <w:bookmarkEnd w:id="88"/>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10.31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Certificate Number: [[GRANTNUMBER]]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238" w:lineRule="exact"/>
        <w:rPr>
          <w:sz w:val="20"/>
          <w:szCs w:val="20"/>
          <w:color w:val="auto"/>
        </w:rPr>
      </w:pPr>
    </w:p>
    <w:p>
      <w:pPr>
        <w:jc w:val="both"/>
        <w:ind w:firstLine="314"/>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This Restricted Stock Unit Award Agreement </w:t>
      </w:r>
      <w:r>
        <w:rPr>
          <w:rFonts w:ascii="Times New Roman" w:cs="Times New Roman" w:eastAsia="Times New Roman" w:hAnsi="Times New Roman"/>
          <w:sz w:val="20"/>
          <w:szCs w:val="20"/>
          <w:color w:val="auto"/>
        </w:rPr>
        <w:t>(the “Agreement”) is made as of XXX, 20XX (the “Grant Date”) by and between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Universal Electronics Inc., a Delaware corporation (the “Corporation”), and the undersigned employee (the “Employee”). As used in this Agreement, the term “Corporation” shall include, where applicable, any and all of its subsidiaries or related entities. Any capitalized term used in this Agreement that is not defined herein shall have the meaning thereof set forth in the Universal Electronics Inc. Amended and Restated 2018 Equity and Incentive Compensation Plan (the “Plan”), a copy of which can be obtained by written request to the Corporation’s Chief Financial Officer.</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Board of Directors of the Corporation (the “Board”) has approved the Plan;</w:t>
      </w:r>
    </w:p>
    <w:p>
      <w:pPr>
        <w:spacing w:after="0" w:line="256" w:lineRule="exact"/>
        <w:rPr>
          <w:sz w:val="20"/>
          <w:szCs w:val="20"/>
          <w:color w:val="auto"/>
        </w:rPr>
      </w:pPr>
    </w:p>
    <w:p>
      <w:pPr>
        <w:jc w:val="both"/>
        <w:ind w:firstLine="20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Board has designated and empowered the Compensation Committee of the Board (the “Committee”) to administer the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p>
    <w:p>
      <w:pPr>
        <w:spacing w:after="0" w:line="165" w:lineRule="exact"/>
        <w:rPr>
          <w:sz w:val="20"/>
          <w:szCs w:val="20"/>
          <w:color w:val="auto"/>
        </w:rPr>
      </w:pPr>
    </w:p>
    <w:p>
      <w:pPr>
        <w:jc w:val="both"/>
        <w:ind w:firstLine="302"/>
        <w:spacing w:after="0" w:line="26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Committee has authorized grants of Restricted Stock Units (the “RSUs”) to Eligible Persons, payable in shares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Corporation’s Common Stock, par value $0.01 per share (each, a “Share”), pursuant to the terms and conditions set forth in the Plan and in this Agreement.</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Now</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Therefore</w:t>
      </w:r>
      <w:r>
        <w:rPr>
          <w:rFonts w:ascii="Times New Roman" w:cs="Times New Roman" w:eastAsia="Times New Roman" w:hAnsi="Times New Roman"/>
          <w:sz w:val="20"/>
          <w:szCs w:val="20"/>
          <w:color w:val="auto"/>
        </w:rPr>
        <w:t>, the parties, intending to be legally bound, hereto agree as follows:</w:t>
      </w:r>
    </w:p>
    <w:p>
      <w:pPr>
        <w:spacing w:after="0" w:line="256" w:lineRule="exact"/>
        <w:rPr>
          <w:sz w:val="20"/>
          <w:szCs w:val="20"/>
          <w:color w:val="auto"/>
        </w:rPr>
      </w:pPr>
    </w:p>
    <w:p>
      <w:pPr>
        <w:ind w:left="660" w:hanging="652"/>
        <w:spacing w:after="0" w:line="273" w:lineRule="auto"/>
        <w:tabs>
          <w:tab w:leader="none" w:pos="844"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Grant of the RSUs. </w:t>
      </w:r>
      <w:r>
        <w:rPr>
          <w:rFonts w:ascii="Times New Roman" w:cs="Times New Roman" w:eastAsia="Times New Roman" w:hAnsi="Times New Roman"/>
          <w:sz w:val="20"/>
          <w:szCs w:val="20"/>
          <w:color w:val="auto"/>
        </w:rPr>
        <w:t>Subject to the terms and conditions set forth herein, the Employee is hereby granted</w:t>
      </w:r>
      <w:r>
        <w:rPr>
          <w:rFonts w:ascii="Times New Roman" w:cs="Times New Roman" w:eastAsia="Times New Roman" w:hAnsi="Times New Roman"/>
          <w:sz w:val="20"/>
          <w:szCs w:val="20"/>
          <w:b w:val="1"/>
          <w:bCs w:val="1"/>
          <w:color w:val="auto"/>
        </w:rPr>
        <w:t xml:space="preserve"> [[SHARESGRANTEDWORDS]] ([[SHARESGRANTED]]) RSUs </w:t>
      </w:r>
      <w:r>
        <w:rPr>
          <w:rFonts w:ascii="Times New Roman" w:cs="Times New Roman" w:eastAsia="Times New Roman" w:hAnsi="Times New Roman"/>
          <w:sz w:val="20"/>
          <w:szCs w:val="20"/>
          <w:color w:val="auto"/>
        </w:rPr>
        <w:t>on the Grant Date.</w:t>
      </w:r>
    </w:p>
    <w:p>
      <w:pPr>
        <w:spacing w:after="0" w:line="192" w:lineRule="exact"/>
        <w:rPr>
          <w:rFonts w:ascii="Times New Roman" w:cs="Times New Roman" w:eastAsia="Times New Roman" w:hAnsi="Times New Roman"/>
          <w:sz w:val="20"/>
          <w:szCs w:val="20"/>
          <w:b w:val="1"/>
          <w:bCs w:val="1"/>
          <w:color w:val="auto"/>
        </w:rPr>
      </w:pPr>
    </w:p>
    <w:p>
      <w:pPr>
        <w:ind w:left="660" w:hanging="652"/>
        <w:spacing w:after="0" w:line="254" w:lineRule="auto"/>
        <w:tabs>
          <w:tab w:leader="none" w:pos="384"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Vesting of the RSUs and Issuance and Delivery of Shares</w:t>
      </w:r>
      <w:r>
        <w:rPr>
          <w:rFonts w:ascii="Times New Roman" w:cs="Times New Roman" w:eastAsia="Times New Roman" w:hAnsi="Times New Roman"/>
          <w:sz w:val="20"/>
          <w:szCs w:val="20"/>
          <w:color w:val="auto"/>
        </w:rPr>
        <w:t>. Subject to earlier termination, acceleration or cancellation of the RSUs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herein, the RSUs shall vest in three (3) increments (rounded to the nearest whole unit) as indicated in the following vesting table (each a “Vesting Date”), commencing and continuing in accordance with the vesting table; provided that the Employee continues to be employed by the Corporation on each such Vesting Date. The following table indicates the number of RSUs that shall vest on each vesting date: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[[ALLVESTSEGS]]</w:t>
      </w:r>
    </w:p>
    <w:p>
      <w:pPr>
        <w:spacing w:after="0" w:line="243"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Subject to Sections 6 and 7 of this Agreement, upon the vesting of the RSUs and as soon as administratively practicable after each Vesting Date (or, in the event the RSUs vest earlier in accordance with Section 4 below, as soon as administratively practicable following the date of termination or the effective date of the Change in Control, as applicable), the Corporation shall issue and deliver to the Employee (or the Employee’s estate or legal representative, in the event of Employee’s death or “Total Disability” (as such term is defined in Section 4(b)) one (1) Share free and clear of any restrictions for each vested RSU. Such issued and delivered Shares shall be in book-entry form maintained by the Corporation’s Transfer Agent and shall otherwise be transferable utilizing the Corporation’s Direct Registration System and Profile Modification System.</w:t>
      </w:r>
    </w:p>
    <w:p>
      <w:pPr>
        <w:spacing w:after="0" w:line="202" w:lineRule="exact"/>
        <w:rPr>
          <w:sz w:val="20"/>
          <w:szCs w:val="20"/>
          <w:color w:val="auto"/>
        </w:rPr>
      </w:pPr>
    </w:p>
    <w:p>
      <w:pPr>
        <w:ind w:left="660" w:hanging="652"/>
        <w:spacing w:after="0" w:line="270" w:lineRule="auto"/>
        <w:tabs>
          <w:tab w:leader="none" w:pos="487"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 of Termination of Employment</w:t>
      </w:r>
      <w:r>
        <w:rPr>
          <w:rFonts w:ascii="Times New Roman" w:cs="Times New Roman" w:eastAsia="Times New Roman" w:hAnsi="Times New Roman"/>
          <w:sz w:val="20"/>
          <w:szCs w:val="20"/>
          <w:color w:val="auto"/>
        </w:rPr>
        <w:t>. Except as set forth in Section 4, in the event that the Employee’s employment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Corporation is terminated for any reason, any RSUs that are unvested as of such date shall be immediately forfeited and cancelled without further action by the parties hereto, and the Employee shall no longer have any rights with respect to the forfeited</w:t>
      </w:r>
    </w:p>
    <w:p>
      <w:pPr>
        <w:sectPr>
          <w:pgSz w:w="11900" w:h="16838" w:orient="portrait"/>
          <w:cols w:equalWidth="0" w:num="1">
            <w:col w:w="11240"/>
          </w:cols>
          <w:pgMar w:left="320" w:top="114" w:right="339" w:bottom="1440" w:gutter="0" w:footer="0" w:header="0"/>
        </w:sectPr>
      </w:pPr>
    </w:p>
    <w:bookmarkStart w:id="89" w:name="page90"/>
    <w:bookmarkEnd w:id="89"/>
    <w:p>
      <w:pPr>
        <w:ind w:left="652"/>
        <w:spacing w:after="0"/>
        <w:rPr>
          <w:sz w:val="20"/>
          <w:szCs w:val="20"/>
          <w:color w:val="auto"/>
        </w:rPr>
      </w:pPr>
      <w:r>
        <w:rPr>
          <w:rFonts w:ascii="Times New Roman" w:cs="Times New Roman" w:eastAsia="Times New Roman" w:hAnsi="Times New Roman"/>
          <w:sz w:val="20"/>
          <w:szCs w:val="20"/>
          <w:color w:val="auto"/>
        </w:rPr>
        <w:t>and cancelled RSUs (or any Dividend Equivalents (as defined in Section 5 hereof) with respect thereto).</w:t>
      </w:r>
    </w:p>
    <w:p>
      <w:pPr>
        <w:spacing w:after="0" w:line="200" w:lineRule="exact"/>
        <w:rPr>
          <w:sz w:val="20"/>
          <w:szCs w:val="20"/>
          <w:color w:val="auto"/>
        </w:rPr>
      </w:pPr>
    </w:p>
    <w:p>
      <w:pPr>
        <w:spacing w:after="0" w:line="295" w:lineRule="exact"/>
        <w:rPr>
          <w:sz w:val="20"/>
          <w:szCs w:val="20"/>
          <w:color w:val="auto"/>
        </w:rPr>
      </w:pPr>
    </w:p>
    <w:p>
      <w:pPr>
        <w:ind w:left="352" w:hanging="352"/>
        <w:spacing w:after="0"/>
        <w:tabs>
          <w:tab w:leader="none" w:pos="352" w:val="left"/>
        </w:tabs>
        <w:numPr>
          <w:ilvl w:val="0"/>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 of Certain Qualifying Terminations of Employment and Effect of Change In Control</w:t>
      </w:r>
      <w:r>
        <w:rPr>
          <w:rFonts w:ascii="Times New Roman" w:cs="Times New Roman" w:eastAsia="Times New Roman" w:hAnsi="Times New Roman"/>
          <w:sz w:val="20"/>
          <w:szCs w:val="20"/>
          <w:color w:val="auto"/>
        </w:rPr>
        <w:t>.</w:t>
      </w:r>
    </w:p>
    <w:p>
      <w:pPr>
        <w:spacing w:after="0" w:line="246" w:lineRule="exact"/>
        <w:rPr>
          <w:rFonts w:ascii="Times New Roman" w:cs="Times New Roman" w:eastAsia="Times New Roman" w:hAnsi="Times New Roman"/>
          <w:sz w:val="20"/>
          <w:szCs w:val="20"/>
          <w:b w:val="1"/>
          <w:bCs w:val="1"/>
          <w:color w:val="auto"/>
        </w:rPr>
      </w:pPr>
    </w:p>
    <w:p>
      <w:pPr>
        <w:ind w:left="1112" w:hanging="464"/>
        <w:spacing w:after="0"/>
        <w:tabs>
          <w:tab w:leader="none" w:pos="1112"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(i) the Employee’s employment with the Corporation is terminated (A) by the Corporation without “Cause,”</w:t>
      </w:r>
    </w:p>
    <w:p>
      <w:pPr>
        <w:spacing w:after="0" w:line="28" w:lineRule="exact"/>
        <w:rPr>
          <w:rFonts w:ascii="Times New Roman" w:cs="Times New Roman" w:eastAsia="Times New Roman" w:hAnsi="Times New Roman"/>
          <w:sz w:val="20"/>
          <w:szCs w:val="20"/>
          <w:color w:val="auto"/>
        </w:rPr>
      </w:pPr>
    </w:p>
    <w:p>
      <w:pPr>
        <w:jc w:val="both"/>
        <w:ind w:left="1292" w:firstLine="4"/>
        <w:spacing w:after="0" w:line="253" w:lineRule="auto"/>
        <w:tabs>
          <w:tab w:leader="none" w:pos="1607" w:val="left"/>
        </w:tabs>
        <w:numPr>
          <w:ilvl w:val="3"/>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Employee as the result of a “Constructive Termination” (as such term is defined in Section 4(b)), (C) as a result of the Employee’s death, or (D) as a result of the Employee’s “Total Disability” (as such term is defined in Section 4(b)), or (ii) a “Change in Control” occurs, the Employee shall be fully vested in the RSUs as of such date of termination or the effective date of the Change in Control, whichever may apply, without further action by the parties hereto.</w:t>
      </w:r>
    </w:p>
    <w:p>
      <w:pPr>
        <w:spacing w:after="0" w:line="202" w:lineRule="exact"/>
        <w:rPr>
          <w:rFonts w:ascii="Times New Roman" w:cs="Times New Roman" w:eastAsia="Times New Roman" w:hAnsi="Times New Roman"/>
          <w:sz w:val="20"/>
          <w:szCs w:val="20"/>
          <w:color w:val="auto"/>
        </w:rPr>
      </w:pPr>
    </w:p>
    <w:p>
      <w:pPr>
        <w:ind w:left="1952" w:hanging="1304"/>
        <w:spacing w:after="0" w:line="251" w:lineRule="auto"/>
        <w:tabs>
          <w:tab w:leader="none" w:pos="1136"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For purposes of this Agreement, “Constructive Termination” shall mean the termination of the Employee’s employment with the Corporation by the Employee within eighteen (18) months after the occurrence of a material diminution in the Employee’s authority, duties, or responsibilities; provided that a termination by the Employee will only constitute a Constructive Termination if (A) the Employee gives the Corporation a “Notice of Constructive Termination” (as defined in Section 4(b)(ii) below) within ninety (90) calendar days following the occurrence of the event that constitutes a Constructive Termination and (B) the Corporation fails to remedy the event constituting a Constructive Termination within thirty (30) calendar days after receipt of the Notice of Constructive Termination from the Employee. If the Employee determines that a Constructive Termination exists and timely files a Notice of Constructive Termination, such determination shall be presumed to be true and the Corporation will have the burden of proving that a Constructive Termination does not exist</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Failure of the Employee to provide a Notice of Constructive Termination within the 90-day period described above shall be conclusive proof that the Employee shall not have a Constructive Termination.</w:t>
      </w:r>
    </w:p>
    <w:p>
      <w:pPr>
        <w:spacing w:after="0" w:line="204" w:lineRule="exact"/>
        <w:rPr>
          <w:rFonts w:ascii="Times New Roman" w:cs="Times New Roman" w:eastAsia="Times New Roman" w:hAnsi="Times New Roman"/>
          <w:sz w:val="20"/>
          <w:szCs w:val="20"/>
          <w:color w:val="auto"/>
        </w:rPr>
      </w:pPr>
    </w:p>
    <w:p>
      <w:pPr>
        <w:ind w:left="1952" w:hanging="1078"/>
        <w:spacing w:after="0" w:line="258" w:lineRule="auto"/>
        <w:tabs>
          <w:tab w:leader="none" w:pos="1349" w:val="left"/>
        </w:tabs>
        <w:numPr>
          <w:ilvl w:val="2"/>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4(b), “Notice of Constructive Termination” shall mean a written notice by the Employee to the Corporation which sets forth in reasonable detail the specific reason for a termination of employment for Constructive Termination and the facts and circumstances claimed to provide a basis for such termination and is provided to the Corporation in accordance with the terms set forth in Section 4(b)(i) above.</w:t>
      </w:r>
    </w:p>
    <w:p>
      <w:pPr>
        <w:spacing w:after="0" w:line="212" w:lineRule="exact"/>
        <w:rPr>
          <w:rFonts w:ascii="Times New Roman" w:cs="Times New Roman" w:eastAsia="Times New Roman" w:hAnsi="Times New Roman"/>
          <w:sz w:val="20"/>
          <w:szCs w:val="20"/>
          <w:color w:val="auto"/>
        </w:rPr>
      </w:pPr>
    </w:p>
    <w:p>
      <w:pPr>
        <w:ind w:left="1952" w:hanging="1070"/>
        <w:spacing w:after="0" w:line="251" w:lineRule="auto"/>
        <w:tabs>
          <w:tab w:leader="none" w:pos="1420" w:val="left"/>
        </w:tabs>
        <w:numPr>
          <w:ilvl w:val="2"/>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“Total Disability” shall mean that (i) the Employee is unable to engage in any substantial gainful activity by reason of any medically determinable physical or mental impairment that can be expected to result in death or can be expected to last for a continuous period of not less than twelve (12) months or (ii) the Employee is, by reason of any medically determinable physical or mental impairment that can be expected to result in death or can be expected to last for a continuous period of not less than twelve (12) months, receiving income replacement benefits for a period of not less than three (3) months under an accident and health plan covering employees of the Corporation.</w:t>
      </w:r>
    </w:p>
    <w:p>
      <w:pPr>
        <w:sectPr>
          <w:pgSz w:w="11900" w:h="16838" w:orient="portrait"/>
          <w:cols w:equalWidth="0" w:num="1">
            <w:col w:w="11232"/>
          </w:cols>
          <w:pgMar w:left="328" w:top="1413" w:right="339" w:bottom="1440" w:gutter="0" w:footer="0" w:header="0"/>
        </w:sectPr>
      </w:pPr>
    </w:p>
    <w:bookmarkStart w:id="90" w:name="page91"/>
    <w:bookmarkEnd w:id="90"/>
    <w:p>
      <w:pPr>
        <w:ind w:left="652" w:hanging="652"/>
        <w:spacing w:after="0" w:line="254" w:lineRule="auto"/>
        <w:tabs>
          <w:tab w:leader="none" w:pos="381"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Employee’s Rights as Stockholder</w:t>
      </w:r>
      <w:r>
        <w:rPr>
          <w:rFonts w:ascii="Times New Roman" w:cs="Times New Roman" w:eastAsia="Times New Roman" w:hAnsi="Times New Roman"/>
          <w:sz w:val="20"/>
          <w:szCs w:val="20"/>
          <w:color w:val="auto"/>
        </w:rPr>
        <w:t>. Prior to the vesting of the RSUs and delivery of Shares pursuant thereto, the Employee shall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 rights as a stockholder with respect to the Shares to be issued upon the vesting of the RSUs. However, the Employee shall be credited with an amount equal to all cash dividends (“Dividend Equivalents”) that would have been paid to the Employee if one Share had been issued to the Employee on the Grant Date for each RSU granted to the Employee as set forth in this Agreement. Upon the vesting of the RSUs, in addition to the issuance and delivery of Shares in accordance with Section 2, the Employee shall be entitled to payment of the Dividend Equivalents in cash.</w:t>
      </w:r>
    </w:p>
    <w:p>
      <w:pPr>
        <w:spacing w:after="0" w:line="213" w:lineRule="exact"/>
        <w:rPr>
          <w:rFonts w:ascii="Times New Roman" w:cs="Times New Roman" w:eastAsia="Times New Roman" w:hAnsi="Times New Roman"/>
          <w:sz w:val="20"/>
          <w:szCs w:val="20"/>
          <w:b w:val="1"/>
          <w:bCs w:val="1"/>
          <w:color w:val="auto"/>
        </w:rPr>
      </w:pPr>
    </w:p>
    <w:p>
      <w:pPr>
        <w:ind w:left="652" w:hanging="652"/>
        <w:spacing w:after="0" w:line="255" w:lineRule="auto"/>
        <w:tabs>
          <w:tab w:leader="none" w:pos="387"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Taxes. </w:t>
      </w:r>
      <w:r>
        <w:rPr>
          <w:rFonts w:ascii="Times New Roman" w:cs="Times New Roman" w:eastAsia="Times New Roman" w:hAnsi="Times New Roman"/>
          <w:sz w:val="20"/>
          <w:szCs w:val="20"/>
          <w:color w:val="auto"/>
        </w:rPr>
        <w:t>The Employee shall be liable for any and all applicable federal, state and local tax withholding requirements arising out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 or the vesting of the RSUs hereunder. Employee shall satisfy his or her withholding tax obligation in accordance with Employee’s selection of one of the withholding options defined below which Employee shall make immediately prior to each Vesting Date via the participant portal and Employee agrees that each such selection is irrevocable.</w:t>
      </w:r>
    </w:p>
    <w:p>
      <w:pPr>
        <w:spacing w:after="0" w:line="237" w:lineRule="exact"/>
        <w:rPr>
          <w:rFonts w:ascii="Times New Roman" w:cs="Times New Roman" w:eastAsia="Times New Roman" w:hAnsi="Times New Roman"/>
          <w:sz w:val="20"/>
          <w:szCs w:val="20"/>
          <w:b w:val="1"/>
          <w:bCs w:val="1"/>
          <w:color w:val="auto"/>
        </w:rPr>
      </w:pPr>
    </w:p>
    <w:p>
      <w:pPr>
        <w:ind w:left="1292" w:right="20" w:hanging="320"/>
        <w:spacing w:after="0" w:line="263" w:lineRule="auto"/>
        <w:tabs>
          <w:tab w:leader="none" w:pos="1289"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Share Withholding. </w:t>
      </w:r>
      <w:r>
        <w:rPr>
          <w:rFonts w:ascii="Times New Roman" w:cs="Times New Roman" w:eastAsia="Times New Roman" w:hAnsi="Times New Roman"/>
          <w:sz w:val="20"/>
          <w:szCs w:val="20"/>
          <w:color w:val="auto"/>
        </w:rPr>
        <w:t>The Employee hereby authorizes the Corporation to withhold the number of Shares required to satisfy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tax withholding obligations due on the Vesting Date from the Shares to be issued upon the vesting of RSUs.</w:t>
      </w:r>
    </w:p>
    <w:p>
      <w:pPr>
        <w:spacing w:after="0" w:line="213" w:lineRule="exact"/>
        <w:rPr>
          <w:rFonts w:ascii="Times New Roman" w:cs="Times New Roman" w:eastAsia="Times New Roman" w:hAnsi="Times New Roman"/>
          <w:sz w:val="22"/>
          <w:szCs w:val="22"/>
          <w:color w:val="auto"/>
        </w:rPr>
      </w:pPr>
    </w:p>
    <w:p>
      <w:pPr>
        <w:ind w:left="1292" w:hanging="320"/>
        <w:spacing w:after="0" w:line="289" w:lineRule="auto"/>
        <w:tabs>
          <w:tab w:leader="none" w:pos="1287"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b w:val="1"/>
          <w:bCs w:val="1"/>
          <w:color w:val="auto"/>
        </w:rPr>
        <w:t xml:space="preserve">Cash Payment. </w:t>
      </w:r>
      <w:r>
        <w:rPr>
          <w:rFonts w:ascii="Times New Roman" w:cs="Times New Roman" w:eastAsia="Times New Roman" w:hAnsi="Times New Roman"/>
          <w:sz w:val="19"/>
          <w:szCs w:val="19"/>
          <w:color w:val="auto"/>
        </w:rPr>
        <w:t>The Employee hereby agrees to deliver payment to the Corporation on the Vesting Date in an amount equal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the amount required to satisfy the tax withholding obligations due on the Vesting Date as determined by the Corporation.</w:t>
      </w:r>
    </w:p>
    <w:p>
      <w:pPr>
        <w:spacing w:after="0" w:line="166" w:lineRule="exact"/>
        <w:rPr>
          <w:sz w:val="20"/>
          <w:szCs w:val="20"/>
          <w:color w:val="auto"/>
        </w:rPr>
      </w:pPr>
    </w:p>
    <w:p>
      <w:pPr>
        <w:jc w:val="both"/>
        <w:ind w:left="652" w:hanging="415"/>
        <w:spacing w:after="0" w:line="258" w:lineRule="auto"/>
        <w:rPr>
          <w:sz w:val="20"/>
          <w:szCs w:val="20"/>
          <w:color w:val="auto"/>
        </w:rPr>
      </w:pPr>
      <w:r>
        <w:rPr>
          <w:rFonts w:ascii="Times New Roman" w:cs="Times New Roman" w:eastAsia="Times New Roman" w:hAnsi="Times New Roman"/>
          <w:sz w:val="20"/>
          <w:szCs w:val="20"/>
          <w:color w:val="auto"/>
        </w:rPr>
        <w:t>The Employee further agrees that the issuance and delivery of the Shares in accordance with Section 2 is conditioned on the payment by Employee to the Corporation of an amount equal to the taxes required to be withheld by the Corporation as a result of the vesting of the RSUs and that no such Shares shall be issued and delivered to Employee until Employee’s tax withholding obligations have been satisfied.</w:t>
      </w:r>
    </w:p>
    <w:p>
      <w:pPr>
        <w:spacing w:after="0" w:line="209" w:lineRule="exact"/>
        <w:rPr>
          <w:sz w:val="20"/>
          <w:szCs w:val="20"/>
          <w:color w:val="auto"/>
        </w:rPr>
      </w:pPr>
    </w:p>
    <w:p>
      <w:pPr>
        <w:ind w:left="652" w:right="20" w:hanging="652"/>
        <w:spacing w:after="0" w:line="273" w:lineRule="auto"/>
        <w:tabs>
          <w:tab w:leader="none" w:pos="365"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Transferability of RSUs</w:t>
      </w:r>
      <w:r>
        <w:rPr>
          <w:rFonts w:ascii="Times New Roman" w:cs="Times New Roman" w:eastAsia="Times New Roman" w:hAnsi="Times New Roman"/>
          <w:sz w:val="20"/>
          <w:szCs w:val="20"/>
          <w:color w:val="auto"/>
        </w:rPr>
        <w:t>. The RSUs or any of the rights granted hereunder may not be sold, pledged or otherwise transferred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than by will or the laws of descent and distribution.</w:t>
      </w:r>
    </w:p>
    <w:p>
      <w:pPr>
        <w:spacing w:after="0" w:line="192" w:lineRule="exact"/>
        <w:rPr>
          <w:rFonts w:ascii="Times New Roman" w:cs="Times New Roman" w:eastAsia="Times New Roman" w:hAnsi="Times New Roman"/>
          <w:sz w:val="20"/>
          <w:szCs w:val="20"/>
          <w:b w:val="1"/>
          <w:bCs w:val="1"/>
          <w:color w:val="auto"/>
        </w:rPr>
      </w:pPr>
    </w:p>
    <w:p>
      <w:pPr>
        <w:ind w:left="652" w:hanging="652"/>
        <w:spacing w:after="0" w:line="254" w:lineRule="auto"/>
        <w:tabs>
          <w:tab w:leader="none" w:pos="364"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 Any notice or demand provided for in this Agreement must be in writing and must be either personally delivered, delivered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overnight courier, or mailed by first class mail, to the Employee at the Employee’s most recent address on file in the records of the Corporation, and to the Corporation at 15147 N. Scottsdale Road, Suite H300, Scottsdale, Arizona 85254, Attention: Chief Financial Officer (with a copy to the Corporation’s legal department), or to such other address or to the attention of such other person as the recipient party shall have specified by prior written notice to the sending party. Any notice or demand under this Agreement will be deemed to have been given when received.</w:t>
      </w:r>
    </w:p>
    <w:p>
      <w:pPr>
        <w:spacing w:after="0" w:line="200" w:lineRule="exact"/>
        <w:rPr>
          <w:rFonts w:ascii="Times New Roman" w:cs="Times New Roman" w:eastAsia="Times New Roman" w:hAnsi="Times New Roman"/>
          <w:sz w:val="20"/>
          <w:szCs w:val="20"/>
          <w:b w:val="1"/>
          <w:bCs w:val="1"/>
          <w:color w:val="auto"/>
        </w:rPr>
      </w:pPr>
    </w:p>
    <w:p>
      <w:pPr>
        <w:ind w:left="652" w:hanging="652"/>
        <w:spacing w:after="0" w:line="258" w:lineRule="auto"/>
        <w:tabs>
          <w:tab w:leader="none" w:pos="35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This Agreement and each provision hereof shall be valid and enforced to the fullest extent permitted by law. The invalidity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unenforceability of any provision of this Agreement shall not affect the validity or enforceability of any other provision. Without limiting the generality of the foregoing, if the scope of any provision contained in this Agreement is too broad to permit enforcement to its fullest extent, such provision shall be enforced to the maximum extent permitted by law, and the parties hereby agree that such scope may be judicially modified accordingly.</w:t>
      </w:r>
    </w:p>
    <w:p>
      <w:pPr>
        <w:sectPr>
          <w:pgSz w:w="11900" w:h="16838" w:orient="portrait"/>
          <w:cols w:equalWidth="0" w:num="1">
            <w:col w:w="11232"/>
          </w:cols>
          <w:pgMar w:left="328" w:top="1409" w:right="339" w:bottom="1440" w:gutter="0" w:footer="0" w:header="0"/>
        </w:sectPr>
      </w:pPr>
    </w:p>
    <w:bookmarkStart w:id="91" w:name="page92"/>
    <w:bookmarkEnd w:id="91"/>
    <w:p>
      <w:pPr>
        <w:spacing w:after="0" w:line="212" w:lineRule="exact"/>
        <w:rPr>
          <w:sz w:val="20"/>
          <w:szCs w:val="20"/>
          <w:color w:val="auto"/>
        </w:rPr>
      </w:pPr>
    </w:p>
    <w:p>
      <w:pPr>
        <w:jc w:val="both"/>
        <w:ind w:left="652" w:hanging="652"/>
        <w:spacing w:after="0" w:line="263" w:lineRule="auto"/>
        <w:tabs>
          <w:tab w:leader="none" w:pos="60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Complete Agreement</w:t>
      </w:r>
      <w:r>
        <w:rPr>
          <w:rFonts w:ascii="Times New Roman" w:cs="Times New Roman" w:eastAsia="Times New Roman" w:hAnsi="Times New Roman"/>
          <w:sz w:val="20"/>
          <w:szCs w:val="20"/>
          <w:color w:val="auto"/>
        </w:rPr>
        <w:t>. This Agreement and those documents expressly referred to herein embody the complete agreement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understanding among the parties and supersede and preempt any prior understandings, agreements or representations by or among the parties, written or oral, which may have related to the subject matter hereof in any way.</w:t>
      </w:r>
    </w:p>
    <w:p>
      <w:pPr>
        <w:spacing w:after="0" w:line="202" w:lineRule="exact"/>
        <w:rPr>
          <w:rFonts w:ascii="Times New Roman" w:cs="Times New Roman" w:eastAsia="Times New Roman" w:hAnsi="Times New Roman"/>
          <w:sz w:val="20"/>
          <w:szCs w:val="20"/>
          <w:b w:val="1"/>
          <w:bCs w:val="1"/>
          <w:color w:val="auto"/>
        </w:rPr>
      </w:pPr>
    </w:p>
    <w:p>
      <w:pPr>
        <w:ind w:left="652" w:hanging="652"/>
        <w:spacing w:after="0" w:line="273" w:lineRule="auto"/>
        <w:tabs>
          <w:tab w:leader="none" w:pos="454"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Promise of Employment. </w:t>
      </w:r>
      <w:r>
        <w:rPr>
          <w:rFonts w:ascii="Times New Roman" w:cs="Times New Roman" w:eastAsia="Times New Roman" w:hAnsi="Times New Roman"/>
          <w:sz w:val="20"/>
          <w:szCs w:val="20"/>
          <w:color w:val="auto"/>
        </w:rPr>
        <w:t>Neither the Plan nor this Agreement nor any provisions under either shall be construed so as to grant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any right to remain in the employ of the Corporation.</w:t>
      </w:r>
    </w:p>
    <w:p>
      <w:pPr>
        <w:spacing w:after="0" w:line="192" w:lineRule="exact"/>
        <w:rPr>
          <w:rFonts w:ascii="Times New Roman" w:cs="Times New Roman" w:eastAsia="Times New Roman" w:hAnsi="Times New Roman"/>
          <w:sz w:val="20"/>
          <w:szCs w:val="20"/>
          <w:b w:val="1"/>
          <w:bCs w:val="1"/>
          <w:color w:val="auto"/>
        </w:rPr>
      </w:pPr>
    </w:p>
    <w:p>
      <w:pPr>
        <w:ind w:left="652" w:hanging="652"/>
        <w:spacing w:after="0" w:line="287" w:lineRule="auto"/>
        <w:tabs>
          <w:tab w:leader="none" w:pos="503"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This Agreement may be executed by way of facsimile or electronic signature in separate counterparts, each of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deemed an original and all of which taken together shall constitute one and the same agreement.</w:t>
      </w:r>
    </w:p>
    <w:p>
      <w:pPr>
        <w:spacing w:after="0" w:line="165" w:lineRule="exact"/>
        <w:rPr>
          <w:rFonts w:ascii="Times New Roman" w:cs="Times New Roman" w:eastAsia="Times New Roman" w:hAnsi="Times New Roman"/>
          <w:sz w:val="20"/>
          <w:szCs w:val="20"/>
          <w:b w:val="1"/>
          <w:bCs w:val="1"/>
          <w:color w:val="auto"/>
        </w:rPr>
      </w:pPr>
    </w:p>
    <w:p>
      <w:pPr>
        <w:ind w:left="652" w:hanging="652"/>
        <w:spacing w:after="0" w:line="278" w:lineRule="auto"/>
        <w:tabs>
          <w:tab w:leader="none" w:pos="530" w:val="left"/>
        </w:tabs>
        <w:numPr>
          <w:ilvl w:val="0"/>
          <w:numId w:val="3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Successors and Assigns</w:t>
      </w:r>
      <w:r>
        <w:rPr>
          <w:rFonts w:ascii="Times New Roman" w:cs="Times New Roman" w:eastAsia="Times New Roman" w:hAnsi="Times New Roman"/>
          <w:sz w:val="19"/>
          <w:szCs w:val="19"/>
          <w:color w:val="auto"/>
        </w:rPr>
        <w:t>. This Agreement is intended to bind and inure to the benefit of and be enforceable by the Employee,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Corporation and their respective permitted successors and assigns (including personal representatives, heirs and legatees), and is intended to bind all successors and assigns of the respective parties, except that the Employee may not assign any of the Employee’s rights or obligations under this Agreement except to the extent and in the manner expressly permitted within this Agreement.</w:t>
      </w:r>
    </w:p>
    <w:p>
      <w:pPr>
        <w:spacing w:after="0" w:line="189" w:lineRule="exact"/>
        <w:rPr>
          <w:rFonts w:ascii="Times New Roman" w:cs="Times New Roman" w:eastAsia="Times New Roman" w:hAnsi="Times New Roman"/>
          <w:sz w:val="19"/>
          <w:szCs w:val="19"/>
          <w:b w:val="1"/>
          <w:bCs w:val="1"/>
          <w:color w:val="auto"/>
        </w:rPr>
      </w:pPr>
    </w:p>
    <w:p>
      <w:pPr>
        <w:ind w:left="652" w:hanging="652"/>
        <w:spacing w:after="0" w:line="254" w:lineRule="auto"/>
        <w:tabs>
          <w:tab w:leader="none" w:pos="53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Remedies</w:t>
      </w:r>
      <w:r>
        <w:rPr>
          <w:rFonts w:ascii="Times New Roman" w:cs="Times New Roman" w:eastAsia="Times New Roman" w:hAnsi="Times New Roman"/>
          <w:sz w:val="20"/>
          <w:szCs w:val="20"/>
          <w:color w:val="auto"/>
        </w:rPr>
        <w:t>. Each of the parties to this Agreement will be entitled to enforce its rights under this Agreement specifically, to recover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damages by reason of any breach of any provision of this Agreement and to exercise all other rights existing in its favor. The parties hereto agree and acknowledge that money damages may not be an adequate remedy for any breach of the provisions of this Agreement and that any party may, in its sole discretion, apply to any court of law or equity of competent jurisdiction for specific performance and/or injunctive relief in order to enforce or prevent any violations of the provisions of this Agreement, without the necessity of posting bond or any other security.</w:t>
      </w:r>
    </w:p>
    <w:p>
      <w:pPr>
        <w:spacing w:after="0" w:line="200" w:lineRule="exact"/>
        <w:rPr>
          <w:rFonts w:ascii="Times New Roman" w:cs="Times New Roman" w:eastAsia="Times New Roman" w:hAnsi="Times New Roman"/>
          <w:sz w:val="20"/>
          <w:szCs w:val="20"/>
          <w:b w:val="1"/>
          <w:bCs w:val="1"/>
          <w:color w:val="auto"/>
        </w:rPr>
      </w:pPr>
    </w:p>
    <w:p>
      <w:pPr>
        <w:ind w:left="652" w:hanging="652"/>
        <w:spacing w:after="0" w:line="263" w:lineRule="auto"/>
        <w:tabs>
          <w:tab w:leader="none" w:pos="572"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Waiver or Modification</w:t>
      </w:r>
      <w:r>
        <w:rPr>
          <w:rFonts w:ascii="Times New Roman" w:cs="Times New Roman" w:eastAsia="Times New Roman" w:hAnsi="Times New Roman"/>
          <w:sz w:val="20"/>
          <w:szCs w:val="20"/>
          <w:color w:val="auto"/>
        </w:rPr>
        <w:t>. Any waiver or modification of any of the provisions of this Agreement shall not be valid unless made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writing and signed by the parties hereto. A waiver by either party of any breach of this Agreement shall not operate as a waiver of any subsequent breach.</w:t>
      </w:r>
    </w:p>
    <w:p>
      <w:pPr>
        <w:spacing w:after="0" w:line="202" w:lineRule="exact"/>
        <w:rPr>
          <w:rFonts w:ascii="Times New Roman" w:cs="Times New Roman" w:eastAsia="Times New Roman" w:hAnsi="Times New Roman"/>
          <w:sz w:val="20"/>
          <w:szCs w:val="20"/>
          <w:b w:val="1"/>
          <w:bCs w:val="1"/>
          <w:color w:val="auto"/>
        </w:rPr>
      </w:pPr>
    </w:p>
    <w:p>
      <w:pPr>
        <w:ind w:left="652" w:right="20" w:hanging="652"/>
        <w:spacing w:after="0" w:line="273" w:lineRule="auto"/>
        <w:tabs>
          <w:tab w:leader="none" w:pos="476"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Law</w:t>
      </w:r>
      <w:r>
        <w:rPr>
          <w:rFonts w:ascii="Times New Roman" w:cs="Times New Roman" w:eastAsia="Times New Roman" w:hAnsi="Times New Roman"/>
          <w:sz w:val="20"/>
          <w:szCs w:val="20"/>
          <w:color w:val="auto"/>
        </w:rPr>
        <w:t>. This Agreement shall be governed and construed and the legal relationships of the parties determined in accordance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laws of the state of Delaware without reference to principles of conflict of laws.</w:t>
      </w:r>
    </w:p>
    <w:p>
      <w:pPr>
        <w:spacing w:after="0" w:line="192" w:lineRule="exact"/>
        <w:rPr>
          <w:rFonts w:ascii="Times New Roman" w:cs="Times New Roman" w:eastAsia="Times New Roman" w:hAnsi="Times New Roman"/>
          <w:sz w:val="20"/>
          <w:szCs w:val="20"/>
          <w:b w:val="1"/>
          <w:bCs w:val="1"/>
          <w:color w:val="auto"/>
        </w:rPr>
      </w:pPr>
    </w:p>
    <w:p>
      <w:pPr>
        <w:ind w:left="652" w:hanging="652"/>
        <w:spacing w:after="0" w:line="258" w:lineRule="auto"/>
        <w:tabs>
          <w:tab w:leader="none" w:pos="476"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Code Section 409A</w:t>
      </w:r>
      <w:r>
        <w:rPr>
          <w:rFonts w:ascii="Times New Roman" w:cs="Times New Roman" w:eastAsia="Times New Roman" w:hAnsi="Times New Roman"/>
          <w:sz w:val="20"/>
          <w:szCs w:val="20"/>
          <w:color w:val="auto"/>
        </w:rPr>
        <w:t>. This Agreement is intended to be interpreted and applied so that the Award set forth herein shall be exempt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requirements of Section 409A of the Code and the final Treasury Regulations promulgated thereunder (collectively, “Section 409A”), and, accordingly, to the maximum extent permitted, this Agreement shall be interpreted to be exempt from Section 409A. To the extent that the Corporation determines that any provision of this Agreement would cause the Optionee to incur any additional tax or interest under Section 409A, the Corporation shall be entitled to reform such provision to attempt to comply with or be exempt from Section 409A through good faith modifications. To the extent that any provision hereof is modified in order to comply with Section 409A, such modification shall be made in good faith and shall, to the maximum extent reasonably possible, maintain the original intent and economic benefit to Optionee and the Corporation without violating the provisions of Section 409A. </w:t>
      </w:r>
      <w:r>
        <w:rPr>
          <w:rFonts w:ascii="Times New Roman" w:cs="Times New Roman" w:eastAsia="Times New Roman" w:hAnsi="Times New Roman"/>
          <w:sz w:val="21"/>
          <w:szCs w:val="21"/>
          <w:color w:val="auto"/>
        </w:rPr>
        <w:t>Neither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Corporation nor any employee, director or officer thereof guarantees that this Agreement</w:t>
      </w:r>
    </w:p>
    <w:p>
      <w:pPr>
        <w:sectPr>
          <w:pgSz w:w="11900" w:h="16838" w:orient="portrait"/>
          <w:cols w:equalWidth="0" w:num="1">
            <w:col w:w="11232"/>
          </w:cols>
          <w:pgMar w:left="328" w:top="1440" w:right="339" w:bottom="1440" w:gutter="0" w:footer="0" w:header="0"/>
        </w:sectPr>
      </w:pPr>
    </w:p>
    <w:bookmarkStart w:id="92" w:name="page93"/>
    <w:bookmarkEnd w:id="92"/>
    <w:p>
      <w:pPr>
        <w:ind w:left="660"/>
        <w:spacing w:after="0" w:line="271" w:lineRule="auto"/>
        <w:rPr>
          <w:sz w:val="20"/>
          <w:szCs w:val="20"/>
          <w:color w:val="auto"/>
        </w:rPr>
      </w:pPr>
      <w:r>
        <w:rPr>
          <w:rFonts w:ascii="Times New Roman" w:cs="Times New Roman" w:eastAsia="Times New Roman" w:hAnsi="Times New Roman"/>
          <w:sz w:val="22"/>
          <w:szCs w:val="22"/>
          <w:color w:val="auto"/>
        </w:rPr>
        <w:t>complies with Section 409A and no such party shall have any liability with respect to any failure of this Agreement to so comply</w:t>
      </w:r>
      <w:r>
        <w:rPr>
          <w:rFonts w:ascii="Times New Roman" w:cs="Times New Roman" w:eastAsia="Times New Roman" w:hAnsi="Times New Roman"/>
          <w:sz w:val="19"/>
          <w:szCs w:val="19"/>
          <w:color w:val="auto"/>
        </w:rPr>
        <w:t>.</w:t>
      </w:r>
    </w:p>
    <w:p>
      <w:pPr>
        <w:spacing w:after="0" w:line="158" w:lineRule="exact"/>
        <w:rPr>
          <w:sz w:val="20"/>
          <w:szCs w:val="20"/>
          <w:color w:val="auto"/>
        </w:rPr>
      </w:pPr>
    </w:p>
    <w:p>
      <w:pPr>
        <w:ind w:left="660"/>
        <w:spacing w:after="0" w:line="273"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electronically via the participant portal as of the date first above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Employee</w:t>
            </w:r>
          </w:p>
        </w:tc>
        <w:tc>
          <w:tcPr>
            <w:tcW w:w="3300" w:type="dxa"/>
            <w:vAlign w:val="bottom"/>
          </w:tcPr>
          <w:p>
            <w:pPr>
              <w:ind w:left="300"/>
              <w:spacing w:after="0"/>
              <w:rPr>
                <w:sz w:val="20"/>
                <w:szCs w:val="20"/>
                <w:color w:val="auto"/>
              </w:rPr>
            </w:pPr>
            <w:r>
              <w:rPr>
                <w:rFonts w:ascii="Times New Roman" w:cs="Times New Roman" w:eastAsia="Times New Roman" w:hAnsi="Times New Roman"/>
                <w:sz w:val="20"/>
                <w:szCs w:val="20"/>
                <w:b w:val="1"/>
                <w:bCs w:val="1"/>
                <w:color w:val="auto"/>
              </w:rPr>
              <w:t>Universal Electronics Inc.</w:t>
            </w:r>
          </w:p>
        </w:tc>
        <w:tc>
          <w:tcPr>
            <w:tcW w:w="960" w:type="dxa"/>
            <w:vAlign w:val="bottom"/>
          </w:tcPr>
          <w:p>
            <w:pPr>
              <w:spacing w:after="0"/>
              <w:rPr>
                <w:sz w:val="22"/>
                <w:szCs w:val="22"/>
                <w:color w:val="auto"/>
              </w:rPr>
            </w:pPr>
          </w:p>
        </w:tc>
        <w:tc>
          <w:tcPr>
            <w:tcW w:w="5240" w:type="dxa"/>
            <w:vAlign w:val="bottom"/>
          </w:tcPr>
          <w:p>
            <w:pPr>
              <w:spacing w:after="0"/>
              <w:rPr>
                <w:sz w:val="22"/>
                <w:szCs w:val="22"/>
                <w:color w:val="auto"/>
              </w:rPr>
            </w:pPr>
          </w:p>
        </w:tc>
      </w:tr>
      <w:tr>
        <w:trPr>
          <w:trHeight w:val="540"/>
        </w:trPr>
        <w:tc>
          <w:tcPr>
            <w:tcW w:w="17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[[SIGNATURE]]</w:t>
            </w:r>
          </w:p>
        </w:tc>
        <w:tc>
          <w:tcPr>
            <w:tcW w:w="3300" w:type="dxa"/>
            <w:vAlign w:val="bottom"/>
          </w:tcPr>
          <w:p>
            <w:pPr>
              <w:spacing w:after="0"/>
              <w:rPr>
                <w:sz w:val="24"/>
                <w:szCs w:val="24"/>
                <w:color w:val="auto"/>
              </w:rPr>
            </w:pPr>
          </w:p>
        </w:tc>
        <w:tc>
          <w:tcPr>
            <w:tcW w:w="620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By:</w:t>
            </w:r>
          </w:p>
        </w:tc>
      </w:tr>
      <w:tr>
        <w:trPr>
          <w:trHeight w:val="34"/>
        </w:trPr>
        <w:tc>
          <w:tcPr>
            <w:tcW w:w="5040" w:type="dxa"/>
            <w:vAlign w:val="bottom"/>
            <w:gridSpan w:val="2"/>
          </w:tcPr>
          <w:p>
            <w:pPr>
              <w:spacing w:after="0"/>
              <w:rPr>
                <w:sz w:val="3"/>
                <w:szCs w:val="3"/>
                <w:color w:val="auto"/>
              </w:rPr>
            </w:pPr>
          </w:p>
        </w:tc>
        <w:tc>
          <w:tcPr>
            <w:tcW w:w="6200" w:type="dxa"/>
            <w:vAlign w:val="bottom"/>
            <w:gridSpan w:val="2"/>
          </w:tcPr>
          <w:p>
            <w:pPr>
              <w:spacing w:after="0"/>
              <w:rPr>
                <w:sz w:val="3"/>
                <w:szCs w:val="3"/>
                <w:color w:val="auto"/>
              </w:rPr>
            </w:pPr>
          </w:p>
        </w:tc>
      </w:tr>
      <w:tr>
        <w:trPr>
          <w:trHeight w:val="256"/>
        </w:trPr>
        <w:tc>
          <w:tcPr>
            <w:tcW w:w="50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Name:  [[FIRSTNAME]] [[LASTNAME]]</w:t>
            </w:r>
          </w:p>
        </w:tc>
        <w:tc>
          <w:tcPr>
            <w:tcW w:w="9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Its:</w:t>
            </w:r>
          </w:p>
        </w:tc>
        <w:tc>
          <w:tcPr>
            <w:tcW w:w="52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34"/>
        </w:trPr>
        <w:tc>
          <w:tcPr>
            <w:tcW w:w="174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960" w:type="dxa"/>
            <w:vAlign w:val="bottom"/>
          </w:tcPr>
          <w:p>
            <w:pPr>
              <w:spacing w:after="0"/>
              <w:rPr>
                <w:sz w:val="3"/>
                <w:szCs w:val="3"/>
                <w:color w:val="auto"/>
              </w:rPr>
            </w:pPr>
          </w:p>
        </w:tc>
        <w:tc>
          <w:tcPr>
            <w:tcW w:w="5240" w:type="dxa"/>
            <w:vAlign w:val="bottom"/>
          </w:tcPr>
          <w:p>
            <w:pPr>
              <w:spacing w:after="0"/>
              <w:rPr>
                <w:sz w:val="3"/>
                <w:szCs w:val="3"/>
                <w:color w:val="auto"/>
              </w:rPr>
            </w:pPr>
          </w:p>
        </w:tc>
      </w:tr>
    </w:tbl>
    <w:p>
      <w:pPr>
        <w:sectPr>
          <w:pgSz w:w="11900" w:h="16838" w:orient="portrait"/>
          <w:cols w:equalWidth="0" w:num="1">
            <w:col w:w="11240"/>
          </w:cols>
          <w:pgMar w:left="320" w:top="1422"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Certificate Number: [[GRANTNUMBER]]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Universal Electronics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Performance-Based Stock Unit Award Agreement</w:t>
      </w:r>
    </w:p>
    <w:p>
      <w:pPr>
        <w:spacing w:after="0" w:line="230" w:lineRule="exact"/>
        <w:rPr>
          <w:sz w:val="20"/>
          <w:szCs w:val="20"/>
          <w:color w:val="auto"/>
        </w:rPr>
      </w:pPr>
    </w:p>
    <w:p>
      <w:pPr>
        <w:jc w:val="both"/>
        <w:ind w:firstLine="302"/>
        <w:spacing w:after="0" w:line="267" w:lineRule="auto"/>
        <w:rPr>
          <w:sz w:val="20"/>
          <w:szCs w:val="20"/>
          <w:color w:val="auto"/>
        </w:rPr>
      </w:pPr>
      <w:r>
        <w:rPr>
          <w:rFonts w:ascii="Times New Roman" w:cs="Times New Roman" w:eastAsia="Times New Roman" w:hAnsi="Times New Roman"/>
          <w:sz w:val="19"/>
          <w:szCs w:val="19"/>
          <w:b w:val="1"/>
          <w:bCs w:val="1"/>
          <w:color w:val="auto"/>
        </w:rPr>
        <w:t xml:space="preserve">This Performance-Based Stock Unit Award Agreement </w:t>
      </w:r>
      <w:r>
        <w:rPr>
          <w:rFonts w:ascii="Times New Roman" w:cs="Times New Roman" w:eastAsia="Times New Roman" w:hAnsi="Times New Roman"/>
          <w:sz w:val="19"/>
          <w:szCs w:val="19"/>
          <w:color w:val="auto"/>
        </w:rPr>
        <w:t>(the “Agreement”) is made as of XXX, 20XX (the “Grant Date”) by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between Universal Electronics Inc., a Delaware corporation (the “Corporation”), and the undersigned employee (the “Employee”). The Corporation has granted, pursuant to the Universal Electronics Inc. Amended and Restated 2018 Equity and Incentive Compensation Plan (the “Plan”), to the Employee an award of performance-based stock units, which are “Restricted Stock Units” under the Plan (the “PSUs”), subject to the terms and conditions set forth in this Agreement. As used in this Agreement, the term “Corporation” shall include, where applicable, any and all of its subsidiaries or related entities. Any capitalized term used in this Agreement that is not defined herein shall have the meaning thereof set forth in the Plan, a copy of which can be obtained by written request to the Corporation’s Chief Financial Officer.</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Board of Directors of the Corporation (the “Board”) has approved the Plan;</w:t>
      </w:r>
    </w:p>
    <w:p>
      <w:pPr>
        <w:spacing w:after="0" w:line="256" w:lineRule="exact"/>
        <w:rPr>
          <w:sz w:val="20"/>
          <w:szCs w:val="20"/>
          <w:color w:val="auto"/>
        </w:rPr>
      </w:pPr>
    </w:p>
    <w:p>
      <w:pPr>
        <w:jc w:val="both"/>
        <w:ind w:firstLine="20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Board has designated and empowered the Compensation Committee of the Board (the “Committee”) to administer the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p>
    <w:p>
      <w:pPr>
        <w:spacing w:after="0" w:line="192" w:lineRule="exact"/>
        <w:rPr>
          <w:sz w:val="20"/>
          <w:szCs w:val="20"/>
          <w:color w:val="auto"/>
        </w:rPr>
      </w:pPr>
    </w:p>
    <w:p>
      <w:pPr>
        <w:jc w:val="both"/>
        <w:ind w:firstLine="235"/>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Committee has authorized grants of PSUs to Eligible Persons, payable in shares of the Corporation’s Common Stock, par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value $0.01 per share (each, a “Share”), pursuant to the terms and conditions set forth in the Plan and in this Agreement.</w:t>
      </w:r>
    </w:p>
    <w:p>
      <w:pPr>
        <w:spacing w:after="0" w:line="1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Now</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Therefore</w:t>
      </w:r>
      <w:r>
        <w:rPr>
          <w:rFonts w:ascii="Times New Roman" w:cs="Times New Roman" w:eastAsia="Times New Roman" w:hAnsi="Times New Roman"/>
          <w:sz w:val="20"/>
          <w:szCs w:val="20"/>
          <w:color w:val="auto"/>
        </w:rPr>
        <w:t>, the parties, intending to be legally bound, hereto agree as follows:</w:t>
      </w:r>
    </w:p>
    <w:p>
      <w:pPr>
        <w:spacing w:after="0" w:line="256" w:lineRule="exact"/>
        <w:rPr>
          <w:sz w:val="20"/>
          <w:szCs w:val="20"/>
          <w:color w:val="auto"/>
        </w:rPr>
      </w:pPr>
    </w:p>
    <w:p>
      <w:pPr>
        <w:jc w:val="both"/>
        <w:ind w:left="660" w:hanging="652"/>
        <w:spacing w:after="0" w:line="254" w:lineRule="auto"/>
        <w:tabs>
          <w:tab w:leader="none" w:pos="66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 of the PSUs</w:t>
      </w:r>
      <w:r>
        <w:rPr>
          <w:rFonts w:ascii="Times New Roman" w:cs="Times New Roman" w:eastAsia="Times New Roman" w:hAnsi="Times New Roman"/>
          <w:sz w:val="20"/>
          <w:szCs w:val="20"/>
          <w:color w:val="auto"/>
        </w:rPr>
        <w:t>. Subject to the terms and conditions set forth herein, the Employee is hereby granted a target number of [___]</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PSUs on the Grant Date. Each earned and vested PSU shall represent the right of the Employee to receive one Share subject to and upon the terms and conditions of this Agreement, the Plan and the achievement of the performance goals approved by the Committee, as set forth or contemplated in the Statement of Performance Goals attached hereto (the “Statement of Performance Goals”).</w:t>
      </w:r>
    </w:p>
    <w:p>
      <w:pPr>
        <w:spacing w:after="0" w:line="200"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Performance Condition; Vesting of the PSUs; Issuance and Delivery of Shares</w:t>
      </w:r>
      <w:r>
        <w:rPr>
          <w:rFonts w:ascii="Times New Roman" w:cs="Times New Roman" w:eastAsia="Times New Roman" w:hAnsi="Times New Roman"/>
          <w:sz w:val="20"/>
          <w:szCs w:val="20"/>
          <w:color w:val="auto"/>
        </w:rPr>
        <w:t>.</w:t>
      </w:r>
    </w:p>
    <w:p>
      <w:pPr>
        <w:spacing w:after="0" w:line="32" w:lineRule="exact"/>
        <w:rPr>
          <w:rFonts w:ascii="Times New Roman" w:cs="Times New Roman" w:eastAsia="Times New Roman" w:hAnsi="Times New Roman"/>
          <w:sz w:val="20"/>
          <w:szCs w:val="20"/>
          <w:b w:val="1"/>
          <w:bCs w:val="1"/>
          <w:color w:val="auto"/>
        </w:rPr>
      </w:pPr>
    </w:p>
    <w:p>
      <w:pPr>
        <w:jc w:val="both"/>
        <w:ind w:left="1300" w:hanging="320"/>
        <w:spacing w:after="0" w:line="248" w:lineRule="auto"/>
        <w:tabs>
          <w:tab w:leader="none" w:pos="129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in this Agreement and in the Statement of Performance Goals, each Tranche (as defined in the Statement of Performance Goals) of PSUs shall vest upon the later of (i) the Committee’s certification of the achievement of the relevant performance goals for such Tranche (as defined in the Statement of Performance Goals) (the “Certification Date”) and (ii) the relevant Retention Date (as defined in the Statement of Performance Goals) for such Tranche as set forth in the Statement of Performance Goals (each such later date, a “Regular Vesting Date”), provided that the Employee remains continuously employed by the Corporation or a Subsidiary through the later of the applicable Performance Date (as defined in the Statement of Performance Goals) for such Tranche and the applicable Retention Date for such Tranche. Any PSUs that do not so vest will be forfeited, including, except as provided in Section 4 below, if the Employee ceases to be continuously employed by the Corporation or a Subsidiary for any reason prior to the end of the Performance Period (as defined in the Statement of Performance Goals). For purposes of this Agreement, “continuously employed” (or substantially similar terms) means the absence of any interruption or termination of the Employee’s employment with the Corporation or a Subsidiary. Continuous employment shall not be considered interrupted or terminated in he case of transfers between locations of the Corporation and its Subsidiaries.</w:t>
      </w:r>
    </w:p>
    <w:p>
      <w:pPr>
        <w:sectPr>
          <w:pgSz w:w="11900" w:h="16838" w:orient="portrait"/>
          <w:cols w:equalWidth="0" w:num="1">
            <w:col w:w="11240"/>
          </w:cols>
          <w:pgMar w:left="320" w:top="117" w:right="339" w:bottom="1440" w:gutter="0" w:footer="0" w:header="0"/>
        </w:sectPr>
      </w:pPr>
    </w:p>
    <w:bookmarkStart w:id="94" w:name="page95"/>
    <w:bookmarkEnd w:id="94"/>
    <w:p>
      <w:pPr>
        <w:jc w:val="both"/>
        <w:ind w:left="1292" w:hanging="320"/>
        <w:spacing w:after="0" w:line="253" w:lineRule="auto"/>
        <w:tabs>
          <w:tab w:leader="none" w:pos="128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Sections 6 and 7 of this Agreement and except as set forth in Sections 4(a) and 4(b), as soon as administratively practicable after each Regular Vesting Date, the Corporation shall issue and deliver to the Employee (or the Employee’s estate or legal representative, in the event of Employee’s death or “Total Disability” (as such term is defined in Section 4(d))) one (1) Share free and clear of any restrictions for each vested PSU. Such issued and delivered Shares shall be in book-entry form maintained by the Corporation’s Transfer Agent and shall otherwise be transferable utilizing the Corporation’s Direct Registration System and Profile Modification System.</w:t>
      </w:r>
    </w:p>
    <w:p>
      <w:pPr>
        <w:spacing w:after="0" w:line="215" w:lineRule="exact"/>
        <w:rPr>
          <w:rFonts w:ascii="Times New Roman" w:cs="Times New Roman" w:eastAsia="Times New Roman" w:hAnsi="Times New Roman"/>
          <w:sz w:val="20"/>
          <w:szCs w:val="20"/>
          <w:color w:val="auto"/>
        </w:rPr>
      </w:pPr>
    </w:p>
    <w:p>
      <w:pPr>
        <w:jc w:val="both"/>
        <w:ind w:left="652" w:hanging="652"/>
        <w:spacing w:after="0" w:line="252" w:lineRule="auto"/>
        <w:tabs>
          <w:tab w:leader="none" w:pos="652"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 of Termination of Employment</w:t>
      </w:r>
      <w:r>
        <w:rPr>
          <w:rFonts w:ascii="Times New Roman" w:cs="Times New Roman" w:eastAsia="Times New Roman" w:hAnsi="Times New Roman"/>
          <w:sz w:val="20"/>
          <w:szCs w:val="20"/>
          <w:color w:val="auto"/>
        </w:rPr>
        <w:t>. Except as set forth in Section 4, in the event that the Employee’s employment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Corporation or a Subsidiary is terminated for any reason, any PSUs that are unvested as of such date shall be immediately forfeited and cancelled without further action by the parties hereto, and the Employee shall no longer have any rights with respect to the forfeited and cancelled PSUs (or any Dividend Equivalents (as defined in Section 5 hereof) with respect thereto). Notwithstanding the foregoing, in the event that the Employee’s employment with the Corporation or a Subsidiary terminates between a Performance Date and the corresponding Certification Date for a particular Tranche but after the applicable Retention Date for such Tranche, the Employee will remain entitled to vest in the PSUs for such Tranche upon the Certification Date.</w:t>
      </w:r>
    </w:p>
    <w:p>
      <w:pPr>
        <w:spacing w:after="0" w:line="213" w:lineRule="exact"/>
        <w:rPr>
          <w:rFonts w:ascii="Times New Roman" w:cs="Times New Roman" w:eastAsia="Times New Roman" w:hAnsi="Times New Roman"/>
          <w:sz w:val="20"/>
          <w:szCs w:val="20"/>
          <w:b w:val="1"/>
          <w:bCs w:val="1"/>
          <w:color w:val="auto"/>
        </w:rPr>
      </w:pPr>
    </w:p>
    <w:p>
      <w:pPr>
        <w:ind w:left="652" w:hanging="652"/>
        <w:spacing w:after="0"/>
        <w:tabs>
          <w:tab w:leader="none" w:pos="652"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 of Certain Qualifying Terminations of Employment and Effect of Change In Control</w:t>
      </w:r>
      <w:r>
        <w:rPr>
          <w:rFonts w:ascii="Times New Roman" w:cs="Times New Roman" w:eastAsia="Times New Roman" w:hAnsi="Times New Roman"/>
          <w:sz w:val="20"/>
          <w:szCs w:val="20"/>
          <w:color w:val="auto"/>
        </w:rPr>
        <w:t>.</w:t>
      </w:r>
    </w:p>
    <w:p>
      <w:pPr>
        <w:spacing w:after="0" w:line="246" w:lineRule="exact"/>
        <w:rPr>
          <w:rFonts w:ascii="Times New Roman" w:cs="Times New Roman" w:eastAsia="Times New Roman" w:hAnsi="Times New Roman"/>
          <w:sz w:val="20"/>
          <w:szCs w:val="20"/>
          <w:b w:val="1"/>
          <w:bCs w:val="1"/>
          <w:color w:val="auto"/>
        </w:rPr>
      </w:pPr>
    </w:p>
    <w:p>
      <w:pPr>
        <w:jc w:val="both"/>
        <w:ind w:left="1292" w:hanging="320"/>
        <w:spacing w:after="0" w:line="250" w:lineRule="auto"/>
        <w:tabs>
          <w:tab w:leader="none" w:pos="1282"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in the event that the Employee’s employment with the Corporation is terminated (i) by the Corporation without “Cause,” (ii) by the Employee as the result of a “Constructive Termination” (as such term is defined in Section 4(c) below), (iii) as a result of the Employee’s death, or (iv) as a result of the Employee’s Total Disability, in each case prior to the end of the Performance Period, then the unvested PSUs shall remain outstanding and eligible to vest (subject to achievement of the relevant performance goals) as if the Employee’s employment had not so terminated as follows: Each Tranche of PSUs shall vest upon (x) the date of such termination if the Certification Date for such Tranche has already occurred as of the termination date or (y) the Certification Date for such Tranche (or upon an earlier Change in Control as described in Section 4(b) below). Subject to Sections 6 and 7 of this Agreement, as soon as administratively practicable after any PSUs vest in accordance with this Section 4(a), the Corporation shall issue and deliver to the Employee (or the Employee’s estate or legal representative, as applicable) one (1) Share free and clear of any restrictions for each vested PSU.</w:t>
      </w:r>
    </w:p>
    <w:p>
      <w:pPr>
        <w:spacing w:after="0" w:line="226" w:lineRule="exact"/>
        <w:rPr>
          <w:rFonts w:ascii="Times New Roman" w:cs="Times New Roman" w:eastAsia="Times New Roman" w:hAnsi="Times New Roman"/>
          <w:sz w:val="20"/>
          <w:szCs w:val="20"/>
          <w:color w:val="auto"/>
        </w:rPr>
      </w:pPr>
    </w:p>
    <w:p>
      <w:pPr>
        <w:jc w:val="both"/>
        <w:ind w:left="1292" w:hanging="320"/>
        <w:spacing w:after="0" w:line="251" w:lineRule="auto"/>
        <w:tabs>
          <w:tab w:leader="none" w:pos="128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in the event that (i) a “Change in Control” occurs and (ii) except as provided in Section 4(a), the Employee remains continuously employed through the effective date of such Change in Control, any then-unvested Tranche of PSUs shall vest in accordance with Section 3(b) of the Statement of Performance Goals. Any PSUs that do not so vest in accordance with this Section 4(b) upon such Change in Control shall be immediately forfeited. Subject to Sections 6 and 7 of this Agreement, as soon as administratively practicable after any PSUs vest in accordance with this Section 4(b), the Corporation shall issue and deliver to the Employee (or the Employee’s estate or legal representative, as applicable) one (1) Share free and clear of any restrictions for each vested PSU.</w:t>
      </w:r>
    </w:p>
    <w:p>
      <w:pPr>
        <w:spacing w:after="0" w:line="219" w:lineRule="exact"/>
        <w:rPr>
          <w:rFonts w:ascii="Times New Roman" w:cs="Times New Roman" w:eastAsia="Times New Roman" w:hAnsi="Times New Roman"/>
          <w:sz w:val="20"/>
          <w:szCs w:val="20"/>
          <w:color w:val="auto"/>
        </w:rPr>
      </w:pPr>
    </w:p>
    <w:p>
      <w:pPr>
        <w:jc w:val="both"/>
        <w:ind w:left="1292" w:hanging="320"/>
        <w:spacing w:after="0" w:line="261" w:lineRule="auto"/>
        <w:tabs>
          <w:tab w:leader="none" w:pos="1282"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For purposes of this Agreement, “Constructive Termination” shall mean the termination of the Employee’s employment with the Corporation by the Employee within eighteen (18) months after the occurrence of a material diminution in the Employee’s</w:t>
      </w:r>
    </w:p>
    <w:p>
      <w:pPr>
        <w:sectPr>
          <w:pgSz w:w="11900" w:h="16838" w:orient="portrait"/>
          <w:cols w:equalWidth="0" w:num="1">
            <w:col w:w="11232"/>
          </w:cols>
          <w:pgMar w:left="328" w:top="1332" w:right="339" w:bottom="1440" w:gutter="0" w:footer="0" w:header="0"/>
        </w:sectPr>
      </w:pPr>
    </w:p>
    <w:bookmarkStart w:id="95" w:name="page96"/>
    <w:bookmarkEnd w:id="95"/>
    <w:p>
      <w:pPr>
        <w:jc w:val="both"/>
        <w:ind w:left="1292"/>
        <w:spacing w:after="0" w:line="252" w:lineRule="auto"/>
        <w:rPr>
          <w:sz w:val="20"/>
          <w:szCs w:val="20"/>
          <w:color w:val="auto"/>
        </w:rPr>
      </w:pPr>
      <w:r>
        <w:rPr>
          <w:rFonts w:ascii="Times New Roman" w:cs="Times New Roman" w:eastAsia="Times New Roman" w:hAnsi="Times New Roman"/>
          <w:sz w:val="20"/>
          <w:szCs w:val="20"/>
          <w:color w:val="auto"/>
        </w:rPr>
        <w:t>authority, duties, or responsibilities; provided that a termination by the Employee will only constitute a Constructive Termination if (A) the Employee gives the Corporation a “Notice of Constructive Termination” (as defined in Section 4(c)(ii) below) within ninety (90) calendar days following the occurrence of the event that constitutes a Constructive Termination and (B) the Corporation fails to remedy the event constituting a Constructive Termination within thirty (30) calendar days after receipt of the Notice of Constructive Termination from the Employee. If the Employee determines that a Constructive Termination exists and timely files a Notice of Constructive Termination, such determination shall be presumed to be true and the Corporation will have the burden of proving that a Constructive Termination does not exist. Failure of the Employee to provide a Notice of Constructive Termination within the 90-day period described above shall be conclusive proof that the Employee shall not have a Constructive Termination.</w:t>
      </w:r>
    </w:p>
    <w:p>
      <w:pPr>
        <w:spacing w:after="0" w:line="203" w:lineRule="exact"/>
        <w:rPr>
          <w:sz w:val="20"/>
          <w:szCs w:val="20"/>
          <w:color w:val="auto"/>
        </w:rPr>
      </w:pPr>
    </w:p>
    <w:p>
      <w:pPr>
        <w:jc w:val="both"/>
        <w:ind w:left="1292" w:firstLine="247"/>
        <w:spacing w:after="0" w:line="258" w:lineRule="auto"/>
        <w:tabs>
          <w:tab w:leader="none" w:pos="1939" w:val="left"/>
        </w:tabs>
        <w:numPr>
          <w:ilvl w:val="2"/>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4(c), “Notice of Constructive Termination” shall mean a written notice by the Employee to the Corporation which sets forth in reasonable detail the specific reason for a termination of employment for Constructive Termination and the facts and circumstances claimed to provide a basis for such termination and is provided to the Corporation in accordance with the terms set forth in Section 4(c)(i) above.</w:t>
      </w:r>
    </w:p>
    <w:p>
      <w:pPr>
        <w:spacing w:after="0" w:line="212" w:lineRule="exact"/>
        <w:rPr>
          <w:rFonts w:ascii="Times New Roman" w:cs="Times New Roman" w:eastAsia="Times New Roman" w:hAnsi="Times New Roman"/>
          <w:sz w:val="20"/>
          <w:szCs w:val="20"/>
          <w:color w:val="auto"/>
        </w:rPr>
      </w:pPr>
    </w:p>
    <w:p>
      <w:pPr>
        <w:jc w:val="both"/>
        <w:ind w:left="1292" w:hanging="320"/>
        <w:spacing w:after="0" w:line="253" w:lineRule="auto"/>
        <w:tabs>
          <w:tab w:leader="none" w:pos="128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“Total Disability” shall mean that (i) the Employee is unable to engage in any substantial gainful activity by reason of any medically determinable physical or mental impairment that can be expected to result in death or can be expected to last for a continuous period of not less than twelve (12) months or (ii) the Employee is, by reason of any medically determinable physical or mental impairment that can be expected to result in death or can be expected to last for a continuous period of not less than twelve (12) months, receiving income replacement benefits for a period of not less than three (3) months under an accident and health plan covering employees of the Corporation.</w:t>
      </w:r>
    </w:p>
    <w:p>
      <w:pPr>
        <w:spacing w:after="0" w:line="174" w:lineRule="exact"/>
        <w:rPr>
          <w:rFonts w:ascii="Times New Roman" w:cs="Times New Roman" w:eastAsia="Times New Roman" w:hAnsi="Times New Roman"/>
          <w:sz w:val="20"/>
          <w:szCs w:val="20"/>
          <w:color w:val="auto"/>
        </w:rPr>
      </w:pPr>
    </w:p>
    <w:p>
      <w:pPr>
        <w:jc w:val="both"/>
        <w:ind w:left="652" w:hanging="652"/>
        <w:spacing w:after="0" w:line="254" w:lineRule="auto"/>
        <w:tabs>
          <w:tab w:leader="none" w:pos="652"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Employee’s Rights as Stockholder</w:t>
      </w:r>
      <w:r>
        <w:rPr>
          <w:rFonts w:ascii="Times New Roman" w:cs="Times New Roman" w:eastAsia="Times New Roman" w:hAnsi="Times New Roman"/>
          <w:sz w:val="20"/>
          <w:szCs w:val="20"/>
          <w:color w:val="auto"/>
        </w:rPr>
        <w:t>. Prior to the vesting of the PSUs and delivery of Shares pursuant thereto, the Employee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no rights as a stockholder with respect to the Shares to be issued upon the vesting of the PSUs. However, the Employee shall be credited with an amount equal to all cash dividends (“Dividend Equivalents”) that would have been paid to the Employee if one Share had been issued to the Employee on the Grant Date for each PSU granted to the Employee as set forth in this Agreement. In the event of, and contingent upon, the vesting of the PSUs, in addition to the issuance and delivery of Shares in accordance with Section 2 (or Section 4(a) or 4(b), as applicable), the Employee shall be entitled to payment of the Dividend Equivalents in cash.</w:t>
      </w:r>
    </w:p>
    <w:p>
      <w:pPr>
        <w:spacing w:after="0" w:line="213" w:lineRule="exact"/>
        <w:rPr>
          <w:rFonts w:ascii="Times New Roman" w:cs="Times New Roman" w:eastAsia="Times New Roman" w:hAnsi="Times New Roman"/>
          <w:sz w:val="20"/>
          <w:szCs w:val="20"/>
          <w:b w:val="1"/>
          <w:bCs w:val="1"/>
          <w:color w:val="auto"/>
        </w:rPr>
      </w:pPr>
    </w:p>
    <w:p>
      <w:pPr>
        <w:jc w:val="both"/>
        <w:ind w:left="652" w:hanging="652"/>
        <w:spacing w:after="0" w:line="260" w:lineRule="auto"/>
        <w:tabs>
          <w:tab w:leader="none" w:pos="652"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 The Employee shall be liable for any and all applicable federal, state and local tax withholding requirements arising out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grant or the vesting of the PSUs hereunder. Employee shall satisfy his or her withholding tax obligation in accordance with Employee’s selection of one of the withholding options defined below which Employee shall make immediately prior to each vesting date via the participant portal and Employee agrees that each such selection is irrevocable.</w:t>
      </w:r>
    </w:p>
    <w:p>
      <w:pPr>
        <w:spacing w:after="0" w:line="218" w:lineRule="exact"/>
        <w:rPr>
          <w:rFonts w:ascii="Times New Roman" w:cs="Times New Roman" w:eastAsia="Times New Roman" w:hAnsi="Times New Roman"/>
          <w:sz w:val="20"/>
          <w:szCs w:val="20"/>
          <w:b w:val="1"/>
          <w:bCs w:val="1"/>
          <w:color w:val="auto"/>
        </w:rPr>
      </w:pPr>
    </w:p>
    <w:p>
      <w:pPr>
        <w:ind w:left="1292" w:right="20" w:hanging="320"/>
        <w:spacing w:after="0" w:line="263" w:lineRule="auto"/>
        <w:tabs>
          <w:tab w:leader="none" w:pos="1289"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Share Withholding. </w:t>
      </w:r>
      <w:r>
        <w:rPr>
          <w:rFonts w:ascii="Times New Roman" w:cs="Times New Roman" w:eastAsia="Times New Roman" w:hAnsi="Times New Roman"/>
          <w:sz w:val="20"/>
          <w:szCs w:val="20"/>
          <w:color w:val="auto"/>
        </w:rPr>
        <w:t>The Employee hereby authorizes the Corporation to withhold the number of Shares required to satisfy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tax withholding obligations due on the vesting date from the Shares to be issued upon the vesting of PSUs.</w:t>
      </w:r>
    </w:p>
    <w:p>
      <w:pPr>
        <w:sectPr>
          <w:pgSz w:w="11900" w:h="16838" w:orient="portrait"/>
          <w:cols w:equalWidth="0" w:num="1">
            <w:col w:w="11232"/>
          </w:cols>
          <w:pgMar w:left="328" w:top="1089" w:right="339" w:bottom="1440" w:gutter="0" w:footer="0" w:header="0"/>
        </w:sectPr>
      </w:pPr>
    </w:p>
    <w:bookmarkStart w:id="96" w:name="page97"/>
    <w:bookmarkEnd w:id="96"/>
    <w:p>
      <w:pPr>
        <w:ind w:left="1292" w:hanging="320"/>
        <w:spacing w:after="0" w:line="263" w:lineRule="auto"/>
        <w:tabs>
          <w:tab w:leader="none" w:pos="128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Cash Payment. </w:t>
      </w:r>
      <w:r>
        <w:rPr>
          <w:rFonts w:ascii="Times New Roman" w:cs="Times New Roman" w:eastAsia="Times New Roman" w:hAnsi="Times New Roman"/>
          <w:sz w:val="20"/>
          <w:szCs w:val="20"/>
          <w:color w:val="auto"/>
        </w:rPr>
        <w:t>The Employee hereby agrees to deliver payment to the Corporation on the vesting date in an amount equal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amount required to satisfy the tax withholding obligations due on the vesting date as determined by the Corporation.</w:t>
      </w:r>
    </w:p>
    <w:p>
      <w:pPr>
        <w:spacing w:after="0" w:line="190" w:lineRule="exact"/>
        <w:rPr>
          <w:sz w:val="20"/>
          <w:szCs w:val="20"/>
          <w:color w:val="auto"/>
        </w:rPr>
      </w:pPr>
    </w:p>
    <w:p>
      <w:pPr>
        <w:jc w:val="both"/>
        <w:ind w:left="652" w:hanging="415"/>
        <w:spacing w:after="0" w:line="258" w:lineRule="auto"/>
        <w:rPr>
          <w:sz w:val="20"/>
          <w:szCs w:val="20"/>
          <w:color w:val="auto"/>
        </w:rPr>
      </w:pPr>
      <w:r>
        <w:rPr>
          <w:rFonts w:ascii="Times New Roman" w:cs="Times New Roman" w:eastAsia="Times New Roman" w:hAnsi="Times New Roman"/>
          <w:sz w:val="20"/>
          <w:szCs w:val="20"/>
          <w:color w:val="auto"/>
        </w:rPr>
        <w:t>The Employee further agrees that the issuance and delivery of the Shares in accordance with Section 2 is conditioned on the payment by Employee to the Corporation of an amount equal to the taxes required to be withheld by the Corporation as a result of the vesting of the PSUs and that no such Shares shall be issued and delivered to Employee until Employee’s tax withholding obligations have been satisfied.</w:t>
      </w:r>
    </w:p>
    <w:p>
      <w:pPr>
        <w:spacing w:after="0" w:line="209" w:lineRule="exact"/>
        <w:rPr>
          <w:sz w:val="20"/>
          <w:szCs w:val="20"/>
          <w:color w:val="auto"/>
        </w:rPr>
      </w:pPr>
    </w:p>
    <w:p>
      <w:pPr>
        <w:ind w:left="652" w:hanging="652"/>
        <w:spacing w:after="0" w:line="273" w:lineRule="auto"/>
        <w:tabs>
          <w:tab w:leader="none" w:pos="652"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Transferability of PSUs</w:t>
      </w:r>
      <w:r>
        <w:rPr>
          <w:rFonts w:ascii="Times New Roman" w:cs="Times New Roman" w:eastAsia="Times New Roman" w:hAnsi="Times New Roman"/>
          <w:sz w:val="20"/>
          <w:szCs w:val="20"/>
          <w:color w:val="auto"/>
        </w:rPr>
        <w:t>. The PSUs or any of the rights granted hereunder may not be sold, pledged or otherwise transferred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than by will or the laws of descent and distribution.</w:t>
      </w:r>
    </w:p>
    <w:p>
      <w:pPr>
        <w:spacing w:after="0" w:line="192" w:lineRule="exact"/>
        <w:rPr>
          <w:rFonts w:ascii="Times New Roman" w:cs="Times New Roman" w:eastAsia="Times New Roman" w:hAnsi="Times New Roman"/>
          <w:sz w:val="20"/>
          <w:szCs w:val="20"/>
          <w:b w:val="1"/>
          <w:bCs w:val="1"/>
          <w:color w:val="auto"/>
        </w:rPr>
      </w:pPr>
    </w:p>
    <w:p>
      <w:pPr>
        <w:jc w:val="both"/>
        <w:ind w:left="652" w:hanging="652"/>
        <w:spacing w:after="0" w:line="254" w:lineRule="auto"/>
        <w:tabs>
          <w:tab w:leader="none" w:pos="652"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 Any notice or demand provided for in this Agreement must be in writing and must be either personally delivered, delivered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overnight courier, or mailed by first class mail, to the Employee at the Employee’s most recent address on file in the records of the Corporation, and to the Corporation at 15147 N. Scottsdale Road, Suite H300, Scottsdale, Arizona 85254, Attention: Chief Financial Officer (with a copy to the Corporation’s legal department), or to such other address or to the attention of such other person as the recipient party shall have specified by prior written notice to the sending party. Any notice or demand under this Agreement will be deemed to have been given when received.</w:t>
      </w:r>
    </w:p>
    <w:p>
      <w:pPr>
        <w:spacing w:after="0" w:line="200" w:lineRule="exact"/>
        <w:rPr>
          <w:rFonts w:ascii="Times New Roman" w:cs="Times New Roman" w:eastAsia="Times New Roman" w:hAnsi="Times New Roman"/>
          <w:sz w:val="20"/>
          <w:szCs w:val="20"/>
          <w:b w:val="1"/>
          <w:bCs w:val="1"/>
          <w:color w:val="auto"/>
        </w:rPr>
      </w:pPr>
    </w:p>
    <w:p>
      <w:pPr>
        <w:jc w:val="both"/>
        <w:ind w:left="652" w:hanging="652"/>
        <w:spacing w:after="0" w:line="258" w:lineRule="auto"/>
        <w:tabs>
          <w:tab w:leader="none" w:pos="652"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This Agreement and each provision hereof shall be valid and enforced to the fullest extent permitted by law.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invalidity or unenforceability of any provision of this Agreement shall not affect the validity or enforceability of any other provision. Without limiting the generality of the foregoing, if the scope of any provision contained in this Agreement is too broad to permit enforcement to its fullest extent, such provision shall be enforced to the maximum extent permitted by law, and the parties hereby agree that such scope may be judicially modified accordingly.</w:t>
      </w:r>
    </w:p>
    <w:p>
      <w:pPr>
        <w:spacing w:after="0" w:line="194" w:lineRule="exact"/>
        <w:rPr>
          <w:rFonts w:ascii="Times New Roman" w:cs="Times New Roman" w:eastAsia="Times New Roman" w:hAnsi="Times New Roman"/>
          <w:sz w:val="20"/>
          <w:szCs w:val="20"/>
          <w:b w:val="1"/>
          <w:bCs w:val="1"/>
          <w:color w:val="auto"/>
        </w:rPr>
      </w:pPr>
    </w:p>
    <w:p>
      <w:pPr>
        <w:jc w:val="both"/>
        <w:ind w:left="652" w:hanging="652"/>
        <w:spacing w:after="0" w:line="263" w:lineRule="auto"/>
        <w:tabs>
          <w:tab w:leader="none" w:pos="643"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Complete Agreement</w:t>
      </w:r>
      <w:r>
        <w:rPr>
          <w:rFonts w:ascii="Times New Roman" w:cs="Times New Roman" w:eastAsia="Times New Roman" w:hAnsi="Times New Roman"/>
          <w:sz w:val="20"/>
          <w:szCs w:val="20"/>
          <w:color w:val="auto"/>
        </w:rPr>
        <w:t>. This Agreement and those documents expressly referred to herein embody the complete agreement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understanding among the parties and supersede and preempt any prior understandings, agreements or representations by or among the parties, written or oral, which may have related to the subject matter hereof in any way.</w:t>
      </w:r>
    </w:p>
    <w:p>
      <w:pPr>
        <w:spacing w:after="0" w:line="202" w:lineRule="exact"/>
        <w:rPr>
          <w:rFonts w:ascii="Times New Roman" w:cs="Times New Roman" w:eastAsia="Times New Roman" w:hAnsi="Times New Roman"/>
          <w:sz w:val="20"/>
          <w:szCs w:val="20"/>
          <w:b w:val="1"/>
          <w:bCs w:val="1"/>
          <w:color w:val="auto"/>
        </w:rPr>
      </w:pPr>
    </w:p>
    <w:p>
      <w:pPr>
        <w:ind w:left="652" w:hanging="652"/>
        <w:spacing w:after="0" w:line="287" w:lineRule="auto"/>
        <w:tabs>
          <w:tab w:leader="none" w:pos="632"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Promise of Employment</w:t>
      </w:r>
      <w:r>
        <w:rPr>
          <w:rFonts w:ascii="Times New Roman" w:cs="Times New Roman" w:eastAsia="Times New Roman" w:hAnsi="Times New Roman"/>
          <w:sz w:val="20"/>
          <w:szCs w:val="20"/>
          <w:color w:val="auto"/>
        </w:rPr>
        <w:t>. Neither the Plan nor this Agreement nor any provisions under either shall be construed so as to grant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Employee any right to remain in the employ of the Corporation.</w:t>
      </w:r>
    </w:p>
    <w:p>
      <w:pPr>
        <w:spacing w:after="0" w:line="165" w:lineRule="exact"/>
        <w:rPr>
          <w:rFonts w:ascii="Times New Roman" w:cs="Times New Roman" w:eastAsia="Times New Roman" w:hAnsi="Times New Roman"/>
          <w:sz w:val="20"/>
          <w:szCs w:val="20"/>
          <w:b w:val="1"/>
          <w:bCs w:val="1"/>
          <w:color w:val="auto"/>
        </w:rPr>
      </w:pPr>
    </w:p>
    <w:p>
      <w:pPr>
        <w:ind w:left="652" w:hanging="652"/>
        <w:spacing w:after="0" w:line="287" w:lineRule="auto"/>
        <w:tabs>
          <w:tab w:leader="none" w:pos="643"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This Agreement may be executed by way of facsimile or electronic signature in separate counterparts, each of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deemed an original and all of which taken together shall constitute one and the same agreement.</w:t>
      </w:r>
    </w:p>
    <w:p>
      <w:pPr>
        <w:spacing w:after="0" w:line="165" w:lineRule="exact"/>
        <w:rPr>
          <w:rFonts w:ascii="Times New Roman" w:cs="Times New Roman" w:eastAsia="Times New Roman" w:hAnsi="Times New Roman"/>
          <w:sz w:val="20"/>
          <w:szCs w:val="20"/>
          <w:b w:val="1"/>
          <w:bCs w:val="1"/>
          <w:color w:val="auto"/>
        </w:rPr>
      </w:pPr>
    </w:p>
    <w:p>
      <w:pPr>
        <w:jc w:val="both"/>
        <w:ind w:left="652" w:hanging="652"/>
        <w:spacing w:after="0" w:line="278" w:lineRule="auto"/>
        <w:tabs>
          <w:tab w:leader="none" w:pos="643" w:val="left"/>
        </w:tabs>
        <w:numPr>
          <w:ilvl w:val="0"/>
          <w:numId w:val="4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Successors and Assigns</w:t>
      </w:r>
      <w:r>
        <w:rPr>
          <w:rFonts w:ascii="Times New Roman" w:cs="Times New Roman" w:eastAsia="Times New Roman" w:hAnsi="Times New Roman"/>
          <w:sz w:val="19"/>
          <w:szCs w:val="19"/>
          <w:color w:val="auto"/>
        </w:rPr>
        <w:t>. This Agreement is intended to bind and inure to the benefit of and be enforceable by the Employee,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Corporation and their respective permitted successors and assigns (including personal representatives, heirs and legatees), and is intended to bind all successors and assigns of the respective parties, except that the Employee may not assign any of the Employee’s rights or obligations under this Agreement except to the extent and in the manner expressly permitted within this Agreement.</w:t>
      </w:r>
    </w:p>
    <w:p>
      <w:pPr>
        <w:spacing w:after="0" w:line="189" w:lineRule="exact"/>
        <w:rPr>
          <w:rFonts w:ascii="Times New Roman" w:cs="Times New Roman" w:eastAsia="Times New Roman" w:hAnsi="Times New Roman"/>
          <w:sz w:val="19"/>
          <w:szCs w:val="19"/>
          <w:b w:val="1"/>
          <w:bCs w:val="1"/>
          <w:color w:val="auto"/>
        </w:rPr>
      </w:pPr>
    </w:p>
    <w:p>
      <w:pPr>
        <w:jc w:val="both"/>
        <w:ind w:left="652" w:right="20" w:hanging="652"/>
        <w:spacing w:after="0" w:line="263" w:lineRule="auto"/>
        <w:tabs>
          <w:tab w:leader="none" w:pos="643"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Remedies</w:t>
      </w:r>
      <w:r>
        <w:rPr>
          <w:rFonts w:ascii="Times New Roman" w:cs="Times New Roman" w:eastAsia="Times New Roman" w:hAnsi="Times New Roman"/>
          <w:sz w:val="20"/>
          <w:szCs w:val="20"/>
          <w:color w:val="auto"/>
        </w:rPr>
        <w:t>. Each of the parties to this Agreement will be entitled to enforce its rights under this Agreement specifically, to recover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damages by reason of any breach of any provision of this Agreement and to exercise all other rights existing in its favor. The parties hereto agree and</w:t>
      </w:r>
    </w:p>
    <w:p>
      <w:pPr>
        <w:sectPr>
          <w:pgSz w:w="11900" w:h="16838" w:orient="portrait"/>
          <w:cols w:equalWidth="0" w:num="1">
            <w:col w:w="11232"/>
          </w:cols>
          <w:pgMar w:left="328" w:top="1112" w:right="339" w:bottom="1440" w:gutter="0" w:footer="0" w:header="0"/>
        </w:sectPr>
      </w:pPr>
    </w:p>
    <w:bookmarkStart w:id="97" w:name="page98"/>
    <w:bookmarkEnd w:id="97"/>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acknowledge that money damages may not be an adequate remedy for any breach of the provisions of this Agreement and that any party may, in its sole discretion, apply to any court of law or equity of competent jurisdiction for specific performance and/or injunctive relief in order to enforce or prevent any violations of the provisions of this Agreement, without the necessity of posting bond or any other security.</w:t>
      </w:r>
    </w:p>
    <w:p>
      <w:pPr>
        <w:spacing w:after="0" w:line="195" w:lineRule="exact"/>
        <w:rPr>
          <w:sz w:val="20"/>
          <w:szCs w:val="20"/>
          <w:color w:val="auto"/>
        </w:rPr>
      </w:pPr>
    </w:p>
    <w:p>
      <w:pPr>
        <w:jc w:val="both"/>
        <w:ind w:left="660" w:hanging="652"/>
        <w:spacing w:after="0" w:line="270" w:lineRule="auto"/>
        <w:tabs>
          <w:tab w:leader="none" w:pos="651"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Waiver or Modification</w:t>
      </w:r>
      <w:r>
        <w:rPr>
          <w:rFonts w:ascii="Times New Roman" w:cs="Times New Roman" w:eastAsia="Times New Roman" w:hAnsi="Times New Roman"/>
          <w:sz w:val="20"/>
          <w:szCs w:val="20"/>
          <w:color w:val="auto"/>
        </w:rPr>
        <w:t>. Any waiver or modification of any of the provisions of this Agreement shall not be valid unless made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writing and signed by the parties hereto. A waiver by either party of any breach of this Agreement shall not operate as a waiver of any subsequent breach.</w:t>
      </w:r>
    </w:p>
    <w:p>
      <w:pPr>
        <w:spacing w:after="0" w:line="182" w:lineRule="exact"/>
        <w:rPr>
          <w:rFonts w:ascii="Times New Roman" w:cs="Times New Roman" w:eastAsia="Times New Roman" w:hAnsi="Times New Roman"/>
          <w:sz w:val="20"/>
          <w:szCs w:val="20"/>
          <w:b w:val="1"/>
          <w:bCs w:val="1"/>
          <w:color w:val="auto"/>
        </w:rPr>
      </w:pPr>
    </w:p>
    <w:p>
      <w:pPr>
        <w:ind w:left="660" w:hanging="652"/>
        <w:spacing w:after="0" w:line="287" w:lineRule="auto"/>
        <w:tabs>
          <w:tab w:leader="none" w:pos="651"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Law</w:t>
      </w:r>
      <w:r>
        <w:rPr>
          <w:rFonts w:ascii="Times New Roman" w:cs="Times New Roman" w:eastAsia="Times New Roman" w:hAnsi="Times New Roman"/>
          <w:sz w:val="20"/>
          <w:szCs w:val="20"/>
          <w:color w:val="auto"/>
        </w:rPr>
        <w:t>. This Agreement shall be governed and construed and the legal relationships of the parties determined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the laws of the state of Delaware without reference to principles of conflict of laws.</w:t>
      </w:r>
    </w:p>
    <w:p>
      <w:pPr>
        <w:spacing w:after="0" w:line="165" w:lineRule="exact"/>
        <w:rPr>
          <w:rFonts w:ascii="Times New Roman" w:cs="Times New Roman" w:eastAsia="Times New Roman" w:hAnsi="Times New Roman"/>
          <w:sz w:val="20"/>
          <w:szCs w:val="20"/>
          <w:b w:val="1"/>
          <w:bCs w:val="1"/>
          <w:color w:val="auto"/>
        </w:rPr>
      </w:pPr>
    </w:p>
    <w:p>
      <w:pPr>
        <w:jc w:val="both"/>
        <w:ind w:left="660" w:hanging="652"/>
        <w:spacing w:after="0" w:line="252" w:lineRule="auto"/>
        <w:tabs>
          <w:tab w:leader="none" w:pos="651"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Code Section 409A</w:t>
      </w:r>
      <w:r>
        <w:rPr>
          <w:rFonts w:ascii="Times New Roman" w:cs="Times New Roman" w:eastAsia="Times New Roman" w:hAnsi="Times New Roman"/>
          <w:sz w:val="20"/>
          <w:szCs w:val="20"/>
          <w:color w:val="auto"/>
        </w:rPr>
        <w:t>. This Agreement is intended to be interpreted and applied so that the Award set forth herein shall be exempt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the requirements of Section 409A of the Code and the final Treasury Regulations promulgated thereunder (collectively, “Section 409A”), and, accordingly, to the maximum extent permitted, this Agreement shall be interpreted to be exempt from Section 409A. To the extent that the Corporation determines that any provision of this Agreement would cause the Optionee to incur any additional tax or interest under Section 409A, the Corporation shall be entitled to reform such provision to attempt to comply with or be exempt from Section 409A through good faith modifications. To the extent that any provision hereof is modified in order to comply with Section 409A, such modification shall be made in good faith and shall, to the maximum extent reasonably possible, maintain the original intent and economic benefit to Optionee and the Corporation without violating the provisions of Section 409A. Neither the Corporation nor any employee, director or officer thereof guarantees that this Agreement complies with Section 409A and no such party shall have any liability with respect to any failure of this Agreement to so comply.</w:t>
      </w:r>
    </w:p>
    <w:p>
      <w:pPr>
        <w:spacing w:after="0" w:line="177" w:lineRule="exact"/>
        <w:rPr>
          <w:rFonts w:ascii="Times New Roman" w:cs="Times New Roman" w:eastAsia="Times New Roman" w:hAnsi="Times New Roman"/>
          <w:sz w:val="20"/>
          <w:szCs w:val="20"/>
          <w:b w:val="1"/>
          <w:bCs w:val="1"/>
          <w:color w:val="auto"/>
        </w:rPr>
      </w:pPr>
    </w:p>
    <w:p>
      <w:pPr>
        <w:ind w:left="660"/>
        <w:spacing w:after="0" w:line="28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electronically via the participant portal as of the date first above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Employee</w:t>
            </w:r>
          </w:p>
        </w:tc>
        <w:tc>
          <w:tcPr>
            <w:tcW w:w="9800" w:type="dxa"/>
            <w:vAlign w:val="bottom"/>
            <w:gridSpan w:val="3"/>
          </w:tcPr>
          <w:p>
            <w:pPr>
              <w:ind w:left="600"/>
              <w:spacing w:after="0"/>
              <w:rPr>
                <w:sz w:val="20"/>
                <w:szCs w:val="20"/>
                <w:color w:val="auto"/>
              </w:rPr>
            </w:pPr>
            <w:r>
              <w:rPr>
                <w:rFonts w:ascii="Times New Roman" w:cs="Times New Roman" w:eastAsia="Times New Roman" w:hAnsi="Times New Roman"/>
                <w:sz w:val="20"/>
                <w:szCs w:val="20"/>
                <w:b w:val="1"/>
                <w:bCs w:val="1"/>
                <w:color w:val="auto"/>
              </w:rPr>
              <w:t>Universal Electronics Inc.</w:t>
            </w:r>
          </w:p>
        </w:tc>
      </w:tr>
      <w:tr>
        <w:trPr>
          <w:trHeight w:val="540"/>
        </w:trPr>
        <w:tc>
          <w:tcPr>
            <w:tcW w:w="14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20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By:</w:t>
            </w:r>
          </w:p>
        </w:tc>
      </w:tr>
      <w:tr>
        <w:trPr>
          <w:trHeight w:val="34"/>
        </w:trPr>
        <w:tc>
          <w:tcPr>
            <w:tcW w:w="1440" w:type="dxa"/>
            <w:vAlign w:val="bottom"/>
          </w:tcPr>
          <w:p>
            <w:pPr>
              <w:spacing w:after="0"/>
              <w:rPr>
                <w:sz w:val="3"/>
                <w:szCs w:val="3"/>
                <w:color w:val="auto"/>
              </w:rPr>
            </w:pPr>
          </w:p>
        </w:tc>
        <w:tc>
          <w:tcPr>
            <w:tcW w:w="3600" w:type="dxa"/>
            <w:vAlign w:val="bottom"/>
          </w:tcPr>
          <w:p>
            <w:pPr>
              <w:spacing w:after="0"/>
              <w:rPr>
                <w:sz w:val="3"/>
                <w:szCs w:val="3"/>
                <w:color w:val="auto"/>
              </w:rPr>
            </w:pPr>
          </w:p>
        </w:tc>
        <w:tc>
          <w:tcPr>
            <w:tcW w:w="6200" w:type="dxa"/>
            <w:vAlign w:val="bottom"/>
            <w:gridSpan w:val="2"/>
          </w:tcPr>
          <w:p>
            <w:pPr>
              <w:spacing w:after="0"/>
              <w:rPr>
                <w:sz w:val="3"/>
                <w:szCs w:val="3"/>
                <w:color w:val="auto"/>
              </w:rPr>
            </w:pPr>
          </w:p>
        </w:tc>
      </w:tr>
      <w:tr>
        <w:trPr>
          <w:trHeight w:val="256"/>
        </w:trPr>
        <w:tc>
          <w:tcPr>
            <w:tcW w:w="1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Name:</w:t>
            </w:r>
          </w:p>
        </w:tc>
        <w:tc>
          <w:tcPr>
            <w:tcW w:w="3600" w:type="dxa"/>
            <w:vAlign w:val="bottom"/>
            <w:tcBorders>
              <w:top w:val="single" w:sz="8" w:color="auto"/>
            </w:tcBorders>
          </w:tcPr>
          <w:p>
            <w:pPr>
              <w:spacing w:after="0"/>
              <w:rPr>
                <w:sz w:val="22"/>
                <w:szCs w:val="22"/>
                <w:color w:val="auto"/>
              </w:rPr>
            </w:pPr>
          </w:p>
        </w:tc>
        <w:tc>
          <w:tcPr>
            <w:tcW w:w="9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Its:</w:t>
            </w:r>
          </w:p>
        </w:tc>
        <w:tc>
          <w:tcPr>
            <w:tcW w:w="52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Chief Executive Officer</w:t>
            </w:r>
          </w:p>
        </w:tc>
      </w:tr>
    </w:tbl>
    <w:p>
      <w:pPr>
        <w:sectPr>
          <w:pgSz w:w="11900" w:h="16838" w:orient="portrait"/>
          <w:cols w:equalWidth="0" w:num="1">
            <w:col w:w="11240"/>
          </w:cols>
          <w:pgMar w:left="320" w:top="1089"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color w:val="auto"/>
        </w:rPr>
        <w:t>Statement of Performance Goals For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Performance-Based Stock Units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This Statement of Performance Goals applies to the PSUs granted to the Employee on the Grant Date and applies with respect to the Performance-Based Stock Unit Award Agreement between the Corporation and the Employee (the “Agreement”). The PSUs are subject to all of the terms and conditions in the Agreement and in the Plan.</w:t>
      </w:r>
    </w:p>
    <w:p>
      <w:pPr>
        <w:spacing w:after="0" w:line="204" w:lineRule="exact"/>
        <w:rPr>
          <w:sz w:val="20"/>
          <w:szCs w:val="20"/>
          <w:color w:val="auto"/>
        </w:rPr>
      </w:pPr>
    </w:p>
    <w:p>
      <w:pPr>
        <w:jc w:val="both"/>
        <w:ind w:left="660" w:hanging="652"/>
        <w:spacing w:after="0" w:line="255" w:lineRule="auto"/>
        <w:tabs>
          <w:tab w:leader="none" w:pos="66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r>
        <w:rPr>
          <w:rFonts w:ascii="Times New Roman" w:cs="Times New Roman" w:eastAsia="Times New Roman" w:hAnsi="Times New Roman"/>
          <w:sz w:val="20"/>
          <w:szCs w:val="20"/>
          <w:color w:val="auto"/>
        </w:rPr>
        <w:t>. Capitalized terms used in the Agreement that are not specifically defined in this Statement of Performance Goals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meanings assigned to them in the Agreement or if not defined therein, in the Plan. For purposes of this Statement of Performance Goals:</w:t>
      </w:r>
    </w:p>
    <w:p>
      <w:pPr>
        <w:spacing w:after="0" w:line="1" w:lineRule="exact"/>
        <w:rPr>
          <w:rFonts w:ascii="Times New Roman" w:cs="Times New Roman" w:eastAsia="Times New Roman" w:hAnsi="Times New Roman"/>
          <w:sz w:val="20"/>
          <w:szCs w:val="20"/>
          <w:b w:val="1"/>
          <w:bCs w:val="1"/>
          <w:color w:val="auto"/>
        </w:rPr>
      </w:pPr>
    </w:p>
    <w:p>
      <w:pPr>
        <w:ind w:left="1620" w:right="20" w:hanging="640"/>
        <w:spacing w:after="0" w:line="246" w:lineRule="auto"/>
        <w:tabs>
          <w:tab w:leader="none" w:pos="161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Date” means, in the event a VWAP Goal (as defined below) is achieved for a particular Tranche, the first date as of which the VWAP Goal for such Tranche is achieved.</w:t>
      </w:r>
    </w:p>
    <w:p>
      <w:pPr>
        <w:spacing w:after="0" w:line="1" w:lineRule="exact"/>
        <w:rPr>
          <w:rFonts w:ascii="Times New Roman" w:cs="Times New Roman" w:eastAsia="Times New Roman" w:hAnsi="Times New Roman"/>
          <w:sz w:val="20"/>
          <w:szCs w:val="20"/>
          <w:color w:val="auto"/>
        </w:rPr>
      </w:pPr>
    </w:p>
    <w:p>
      <w:pPr>
        <w:ind w:left="1620" w:hanging="640"/>
        <w:spacing w:after="0" w:line="267" w:lineRule="auto"/>
        <w:tabs>
          <w:tab w:leader="none" w:pos="1608"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“VWAP” means the trailing forty-five (45) day volume-weighted average price of the Shares. VWAP will be calculated using the daily high/low average price and total daily volume, each as presented by Yahoo Finance.</w:t>
      </w:r>
    </w:p>
    <w:p>
      <w:pPr>
        <w:spacing w:after="0" w:line="184"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Performance Period</w:t>
      </w:r>
      <w:r>
        <w:rPr>
          <w:rFonts w:ascii="Times New Roman" w:cs="Times New Roman" w:eastAsia="Times New Roman" w:hAnsi="Times New Roman"/>
          <w:sz w:val="20"/>
          <w:szCs w:val="20"/>
          <w:color w:val="auto"/>
        </w:rPr>
        <w:t>.</w:t>
      </w:r>
    </w:p>
    <w:p>
      <w:pPr>
        <w:spacing w:after="0" w:line="32" w:lineRule="exact"/>
        <w:rPr>
          <w:rFonts w:ascii="Times New Roman" w:cs="Times New Roman" w:eastAsia="Times New Roman" w:hAnsi="Times New Roman"/>
          <w:sz w:val="20"/>
          <w:szCs w:val="20"/>
          <w:b w:val="1"/>
          <w:bCs w:val="1"/>
          <w:color w:val="auto"/>
        </w:rPr>
      </w:pPr>
    </w:p>
    <w:p>
      <w:pPr>
        <w:ind w:left="1620" w:hanging="640"/>
        <w:spacing w:after="0"/>
        <w:tabs>
          <w:tab w:leader="none" w:pos="162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Period:   XXX, 20XX through XXX, 20XX</w:t>
      </w:r>
    </w:p>
    <w:p>
      <w:pPr>
        <w:spacing w:after="0" w:line="6" w:lineRule="exact"/>
        <w:rPr>
          <w:sz w:val="20"/>
          <w:szCs w:val="20"/>
          <w:color w:val="auto"/>
        </w:rPr>
      </w:pPr>
    </w:p>
    <w:p>
      <w:pPr>
        <w:ind w:left="980"/>
        <w:spacing w:after="0"/>
        <w:tabs>
          <w:tab w:leader="none" w:pos="1600" w:val="left"/>
          <w:tab w:leader="none" w:pos="356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20"/>
          <w:szCs w:val="20"/>
          <w:color w:val="auto"/>
        </w:rPr>
        <w:t>Potential Payout %:</w:t>
      </w:r>
      <w:r>
        <w:rPr>
          <w:sz w:val="20"/>
          <w:szCs w:val="20"/>
          <w:color w:val="auto"/>
        </w:rPr>
        <w:tab/>
      </w:r>
      <w:r>
        <w:rPr>
          <w:rFonts w:ascii="Times New Roman" w:cs="Times New Roman" w:eastAsia="Times New Roman" w:hAnsi="Times New Roman"/>
          <w:sz w:val="19"/>
          <w:szCs w:val="19"/>
          <w:color w:val="auto"/>
        </w:rPr>
        <w:t>0% to 100%</w:t>
      </w:r>
    </w:p>
    <w:p>
      <w:pPr>
        <w:spacing w:after="0" w:line="230"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Performance Goals</w:t>
      </w:r>
      <w:r>
        <w:rPr>
          <w:rFonts w:ascii="Times New Roman" w:cs="Times New Roman" w:eastAsia="Times New Roman" w:hAnsi="Times New Roman"/>
          <w:sz w:val="20"/>
          <w:szCs w:val="20"/>
          <w:color w:val="auto"/>
        </w:rPr>
        <w:t>.</w:t>
      </w:r>
    </w:p>
    <w:p>
      <w:pPr>
        <w:spacing w:after="0" w:line="32" w:lineRule="exact"/>
        <w:rPr>
          <w:rFonts w:ascii="Times New Roman" w:cs="Times New Roman" w:eastAsia="Times New Roman" w:hAnsi="Times New Roman"/>
          <w:sz w:val="20"/>
          <w:szCs w:val="20"/>
          <w:b w:val="1"/>
          <w:bCs w:val="1"/>
          <w:color w:val="auto"/>
        </w:rPr>
      </w:pPr>
    </w:p>
    <w:p>
      <w:pPr>
        <w:jc w:val="both"/>
        <w:ind w:left="1620" w:hanging="640"/>
        <w:spacing w:after="0" w:line="247" w:lineRule="auto"/>
        <w:tabs>
          <w:tab w:leader="none" w:pos="161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General Vesting</w:t>
      </w:r>
      <w:r>
        <w:rPr>
          <w:rFonts w:ascii="Times New Roman" w:cs="Times New Roman" w:eastAsia="Times New Roman" w:hAnsi="Times New Roman"/>
          <w:sz w:val="20"/>
          <w:szCs w:val="20"/>
          <w:color w:val="auto"/>
        </w:rPr>
        <w:t>. The target PSUs are divided into three vesting tranches (each, a “Tranche”). The PSUs in each Tranche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vest upon the later of (i) the Committee’s certification of the achievement of the following VWAP applicable to each Tranche (the “VWAP Goal”), (which achievement must occur prior to the end of the Performance Period) and (ii) the relevant Retention Date for each Tranche as set forth below, subject to the Employee’s continued employment with the Corporation or its Subsidiary through the later of the applicable Performance Date and Retention Date for such Tranche, except as provided in Section 4 of the Agreement.</w:t>
      </w:r>
    </w:p>
    <w:p>
      <w:pPr>
        <w:spacing w:after="0" w:line="255" w:lineRule="exact"/>
        <w:rPr>
          <w:sz w:val="20"/>
          <w:szCs w:val="20"/>
          <w:color w:val="auto"/>
        </w:rPr>
      </w:pPr>
    </w:p>
    <w:tbl>
      <w:tblPr>
        <w:tblLayout w:type="fixed"/>
        <w:tblInd w:w="1630" w:type="dxa"/>
        <w:tblCellMar>
          <w:top w:w="0" w:type="dxa"/>
          <w:left w:w="0" w:type="dxa"/>
          <w:bottom w:w="0" w:type="dxa"/>
          <w:right w:w="0" w:type="dxa"/>
        </w:tblCellMar>
      </w:tblPr>
      <w:tr>
        <w:trPr>
          <w:trHeight w:val="276"/>
        </w:trPr>
        <w:tc>
          <w:tcPr>
            <w:tcW w:w="1320" w:type="dxa"/>
            <w:vAlign w:val="bottom"/>
            <w:tcBorders>
              <w:top w:val="single" w:sz="8" w:color="auto"/>
              <w:left w:val="single" w:sz="8" w:color="auto"/>
              <w:right w:val="single" w:sz="8" w:color="auto"/>
            </w:tcBorders>
          </w:tcPr>
          <w:p>
            <w:pPr>
              <w:spacing w:after="0"/>
              <w:rPr>
                <w:sz w:val="24"/>
                <w:szCs w:val="24"/>
                <w:color w:val="auto"/>
              </w:rPr>
            </w:pPr>
          </w:p>
        </w:tc>
        <w:tc>
          <w:tcPr>
            <w:tcW w:w="24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Number of PSUs</w:t>
            </w:r>
          </w:p>
        </w:tc>
        <w:tc>
          <w:tcPr>
            <w:tcW w:w="19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VWAP Goal</w:t>
            </w:r>
          </w:p>
        </w:tc>
        <w:tc>
          <w:tcPr>
            <w:tcW w:w="20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Retention Date</w:t>
            </w:r>
          </w:p>
        </w:tc>
      </w:tr>
      <w:tr>
        <w:trPr>
          <w:trHeight w:val="34"/>
        </w:trPr>
        <w:tc>
          <w:tcPr>
            <w:tcW w:w="1320" w:type="dxa"/>
            <w:vAlign w:val="bottom"/>
            <w:tcBorders>
              <w:left w:val="single" w:sz="8" w:color="auto"/>
              <w:bottom w:val="single" w:sz="8" w:color="auto"/>
              <w:right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r>
      <w:tr>
        <w:trPr>
          <w:trHeight w:val="256"/>
        </w:trPr>
        <w:tc>
          <w:tcPr>
            <w:tcW w:w="1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Tranche 1</w:t>
            </w:r>
          </w:p>
        </w:tc>
        <w:tc>
          <w:tcPr>
            <w:tcW w:w="2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1/3 of target</w:t>
            </w:r>
          </w:p>
        </w:tc>
        <w:tc>
          <w:tcPr>
            <w:tcW w:w="19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$XXX per Share</w:t>
            </w:r>
          </w:p>
        </w:tc>
        <w:tc>
          <w:tcPr>
            <w:tcW w:w="20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XXX, 20XX</w:t>
            </w:r>
          </w:p>
        </w:tc>
      </w:tr>
      <w:tr>
        <w:trPr>
          <w:trHeight w:val="35"/>
        </w:trPr>
        <w:tc>
          <w:tcPr>
            <w:tcW w:w="1320" w:type="dxa"/>
            <w:vAlign w:val="bottom"/>
            <w:tcBorders>
              <w:left w:val="single" w:sz="8" w:color="auto"/>
              <w:bottom w:val="single" w:sz="8" w:color="auto"/>
              <w:right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r>
      <w:tr>
        <w:trPr>
          <w:trHeight w:val="256"/>
        </w:trPr>
        <w:tc>
          <w:tcPr>
            <w:tcW w:w="1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Tranche 2</w:t>
            </w:r>
          </w:p>
        </w:tc>
        <w:tc>
          <w:tcPr>
            <w:tcW w:w="2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1/3 of target</w:t>
            </w:r>
          </w:p>
        </w:tc>
        <w:tc>
          <w:tcPr>
            <w:tcW w:w="19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$XXX per Share</w:t>
            </w:r>
          </w:p>
        </w:tc>
        <w:tc>
          <w:tcPr>
            <w:tcW w:w="20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XXX, 20XX</w:t>
            </w:r>
          </w:p>
        </w:tc>
      </w:tr>
      <w:tr>
        <w:trPr>
          <w:trHeight w:val="35"/>
        </w:trPr>
        <w:tc>
          <w:tcPr>
            <w:tcW w:w="1320" w:type="dxa"/>
            <w:vAlign w:val="bottom"/>
            <w:tcBorders>
              <w:left w:val="single" w:sz="8" w:color="auto"/>
              <w:bottom w:val="single" w:sz="8" w:color="auto"/>
              <w:right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r>
      <w:tr>
        <w:trPr>
          <w:trHeight w:val="256"/>
        </w:trPr>
        <w:tc>
          <w:tcPr>
            <w:tcW w:w="1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Tranche 3</w:t>
            </w:r>
          </w:p>
        </w:tc>
        <w:tc>
          <w:tcPr>
            <w:tcW w:w="2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1/3 of target</w:t>
            </w:r>
          </w:p>
        </w:tc>
        <w:tc>
          <w:tcPr>
            <w:tcW w:w="19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$XXX per Share</w:t>
            </w:r>
          </w:p>
        </w:tc>
        <w:tc>
          <w:tcPr>
            <w:tcW w:w="20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XXX, 20XX</w:t>
            </w:r>
          </w:p>
        </w:tc>
      </w:tr>
      <w:tr>
        <w:trPr>
          <w:trHeight w:val="35"/>
        </w:trPr>
        <w:tc>
          <w:tcPr>
            <w:tcW w:w="1320" w:type="dxa"/>
            <w:vAlign w:val="bottom"/>
            <w:tcBorders>
              <w:left w:val="single" w:sz="8" w:color="auto"/>
              <w:bottom w:val="single" w:sz="8" w:color="auto"/>
              <w:right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r>
    </w:tbl>
    <w:p>
      <w:pPr>
        <w:spacing w:after="0" w:line="311" w:lineRule="exact"/>
        <w:rPr>
          <w:sz w:val="20"/>
          <w:szCs w:val="20"/>
          <w:color w:val="auto"/>
        </w:rPr>
      </w:pPr>
    </w:p>
    <w:p>
      <w:pPr>
        <w:jc w:val="both"/>
        <w:ind w:left="1620" w:hanging="640"/>
        <w:spacing w:after="0" w:line="260" w:lineRule="auto"/>
        <w:tabs>
          <w:tab w:leader="none" w:pos="160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Change in Control Vesting</w:t>
      </w:r>
      <w:r>
        <w:rPr>
          <w:rFonts w:ascii="Times New Roman" w:cs="Times New Roman" w:eastAsia="Times New Roman" w:hAnsi="Times New Roman"/>
          <w:sz w:val="20"/>
          <w:szCs w:val="20"/>
          <w:color w:val="auto"/>
        </w:rPr>
        <w:t>. In the event that a Change in Control occurs, any then-unvested Tranche of PSUs shall vest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the achievement of the following Change in Control price applicable to each Tranche (the “CIC Price Goal”), subject to the Employee’s continued employment with the Corporation or its Subsidiary through the effective date of the Change in Control, except as provided in Section 4 of the Agreement.</w:t>
      </w:r>
    </w:p>
    <w:p>
      <w:pPr>
        <w:spacing w:after="0" w:line="225" w:lineRule="exact"/>
        <w:rPr>
          <w:sz w:val="20"/>
          <w:szCs w:val="20"/>
          <w:color w:val="auto"/>
        </w:rPr>
      </w:pPr>
    </w:p>
    <w:tbl>
      <w:tblPr>
        <w:tblLayout w:type="fixed"/>
        <w:tblInd w:w="1630" w:type="dxa"/>
        <w:tblCellMar>
          <w:top w:w="0" w:type="dxa"/>
          <w:left w:w="0" w:type="dxa"/>
          <w:bottom w:w="0" w:type="dxa"/>
          <w:right w:w="0" w:type="dxa"/>
        </w:tblCellMar>
      </w:tblPr>
      <w:tr>
        <w:trPr>
          <w:trHeight w:val="276"/>
        </w:trPr>
        <w:tc>
          <w:tcPr>
            <w:tcW w:w="1320" w:type="dxa"/>
            <w:vAlign w:val="bottom"/>
            <w:tcBorders>
              <w:top w:val="single" w:sz="8" w:color="auto"/>
              <w:left w:val="single" w:sz="8" w:color="auto"/>
              <w:right w:val="single" w:sz="8" w:color="auto"/>
            </w:tcBorders>
          </w:tcPr>
          <w:p>
            <w:pPr>
              <w:spacing w:after="0"/>
              <w:rPr>
                <w:sz w:val="24"/>
                <w:szCs w:val="24"/>
                <w:color w:val="auto"/>
              </w:rPr>
            </w:pPr>
          </w:p>
        </w:tc>
        <w:tc>
          <w:tcPr>
            <w:tcW w:w="24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Number of PSUs</w:t>
            </w:r>
          </w:p>
        </w:tc>
        <w:tc>
          <w:tcPr>
            <w:tcW w:w="19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CIC Price Goal</w:t>
            </w:r>
          </w:p>
        </w:tc>
      </w:tr>
      <w:tr>
        <w:trPr>
          <w:trHeight w:val="35"/>
        </w:trPr>
        <w:tc>
          <w:tcPr>
            <w:tcW w:w="1320" w:type="dxa"/>
            <w:vAlign w:val="bottom"/>
            <w:tcBorders>
              <w:left w:val="single" w:sz="8" w:color="auto"/>
              <w:bottom w:val="single" w:sz="8" w:color="auto"/>
              <w:right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r>
      <w:tr>
        <w:trPr>
          <w:trHeight w:val="256"/>
        </w:trPr>
        <w:tc>
          <w:tcPr>
            <w:tcW w:w="1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Tranche 1</w:t>
            </w:r>
          </w:p>
        </w:tc>
        <w:tc>
          <w:tcPr>
            <w:tcW w:w="2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1/3 of target</w:t>
            </w:r>
          </w:p>
        </w:tc>
        <w:tc>
          <w:tcPr>
            <w:tcW w:w="19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$XXX per Share</w:t>
            </w:r>
          </w:p>
        </w:tc>
      </w:tr>
      <w:tr>
        <w:trPr>
          <w:trHeight w:val="34"/>
        </w:trPr>
        <w:tc>
          <w:tcPr>
            <w:tcW w:w="1320" w:type="dxa"/>
            <w:vAlign w:val="bottom"/>
            <w:tcBorders>
              <w:left w:val="single" w:sz="8" w:color="auto"/>
              <w:bottom w:val="single" w:sz="8" w:color="auto"/>
              <w:right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r>
      <w:tr>
        <w:trPr>
          <w:trHeight w:val="256"/>
        </w:trPr>
        <w:tc>
          <w:tcPr>
            <w:tcW w:w="1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Tranche 2</w:t>
            </w:r>
          </w:p>
        </w:tc>
        <w:tc>
          <w:tcPr>
            <w:tcW w:w="2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1/3 of target</w:t>
            </w:r>
          </w:p>
        </w:tc>
        <w:tc>
          <w:tcPr>
            <w:tcW w:w="19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$XXX per Share</w:t>
            </w:r>
          </w:p>
        </w:tc>
      </w:tr>
      <w:tr>
        <w:trPr>
          <w:trHeight w:val="34"/>
        </w:trPr>
        <w:tc>
          <w:tcPr>
            <w:tcW w:w="1320" w:type="dxa"/>
            <w:vAlign w:val="bottom"/>
            <w:tcBorders>
              <w:left w:val="single" w:sz="8" w:color="auto"/>
              <w:bottom w:val="single" w:sz="8" w:color="auto"/>
              <w:right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r>
      <w:tr>
        <w:trPr>
          <w:trHeight w:val="256"/>
        </w:trPr>
        <w:tc>
          <w:tcPr>
            <w:tcW w:w="1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Tranche 3</w:t>
            </w:r>
          </w:p>
        </w:tc>
        <w:tc>
          <w:tcPr>
            <w:tcW w:w="2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1/3 of target</w:t>
            </w:r>
          </w:p>
        </w:tc>
        <w:tc>
          <w:tcPr>
            <w:tcW w:w="19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$XXX per Share</w:t>
            </w:r>
          </w:p>
        </w:tc>
      </w:tr>
      <w:tr>
        <w:trPr>
          <w:trHeight w:val="35"/>
        </w:trPr>
        <w:tc>
          <w:tcPr>
            <w:tcW w:w="1320" w:type="dxa"/>
            <w:vAlign w:val="bottom"/>
            <w:tcBorders>
              <w:left w:val="single" w:sz="8" w:color="auto"/>
              <w:bottom w:val="single" w:sz="8" w:color="auto"/>
              <w:right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r>
    </w:tbl>
    <w:p>
      <w:pPr>
        <w:spacing w:after="0" w:line="311" w:lineRule="exact"/>
        <w:rPr>
          <w:sz w:val="20"/>
          <w:szCs w:val="20"/>
          <w:color w:val="auto"/>
        </w:rPr>
      </w:pPr>
    </w:p>
    <w:p>
      <w:pPr>
        <w:ind w:left="660" w:hanging="652"/>
        <w:spacing w:after="0" w:line="273" w:lineRule="auto"/>
        <w:tabs>
          <w:tab w:leader="none" w:pos="66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Certification</w:t>
      </w:r>
      <w:r>
        <w:rPr>
          <w:rFonts w:ascii="Times New Roman" w:cs="Times New Roman" w:eastAsia="Times New Roman" w:hAnsi="Times New Roman"/>
          <w:sz w:val="20"/>
          <w:szCs w:val="20"/>
          <w:color w:val="auto"/>
        </w:rPr>
        <w:t>. The Committee shall periodically assess whether the VWAP for a particular Tranche has been achieved, and, if 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concludes that such VWAP Goal has been achieved, shall</w:t>
      </w:r>
    </w:p>
    <w:p>
      <w:pPr>
        <w:sectPr>
          <w:pgSz w:w="11900" w:h="16838" w:orient="portrait"/>
          <w:cols w:equalWidth="0" w:num="1">
            <w:col w:w="11240"/>
          </w:cols>
          <w:pgMar w:left="320" w:top="1085" w:right="339" w:bottom="1440" w:gutter="0" w:footer="0" w:header="0"/>
        </w:sectPr>
      </w:pPr>
    </w:p>
    <w:bookmarkStart w:id="99" w:name="page100"/>
    <w:bookmarkEnd w:id="99"/>
    <w:p>
      <w:pPr>
        <w:jc w:val="both"/>
        <w:ind w:left="652"/>
        <w:spacing w:after="0" w:line="261" w:lineRule="auto"/>
        <w:rPr>
          <w:sz w:val="20"/>
          <w:szCs w:val="20"/>
          <w:color w:val="auto"/>
        </w:rPr>
      </w:pPr>
      <w:r>
        <w:rPr>
          <w:rFonts w:ascii="Times New Roman" w:cs="Times New Roman" w:eastAsia="Times New Roman" w:hAnsi="Times New Roman"/>
          <w:sz w:val="20"/>
          <w:szCs w:val="20"/>
          <w:color w:val="auto"/>
        </w:rPr>
        <w:t>(a) promptly certify such achievement and (b) determine the Performance Date on which such VWAP Goal was first achieved. For the avoidance of doubt, the Committee may certify the achievement of the VWAP Goal for any Tranche following the last day of the Performance Period, provided that the applicable Performance Date occurred prior to the end of the Performance Period.</w:t>
      </w:r>
    </w:p>
    <w:p>
      <w:pPr>
        <w:spacing w:after="0" w:line="204" w:lineRule="exact"/>
        <w:rPr>
          <w:sz w:val="20"/>
          <w:szCs w:val="20"/>
          <w:color w:val="auto"/>
        </w:rPr>
      </w:pPr>
    </w:p>
    <w:p>
      <w:pPr>
        <w:ind w:left="652" w:right="20" w:hanging="652"/>
        <w:spacing w:after="0" w:line="273" w:lineRule="auto"/>
        <w:tabs>
          <w:tab w:leader="none" w:pos="652"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Expiration</w:t>
      </w:r>
      <w:r>
        <w:rPr>
          <w:rFonts w:ascii="Times New Roman" w:cs="Times New Roman" w:eastAsia="Times New Roman" w:hAnsi="Times New Roman"/>
          <w:sz w:val="20"/>
          <w:szCs w:val="20"/>
          <w:color w:val="auto"/>
        </w:rPr>
        <w:t>. Any outstanding, unvested PSUs for any Tranche with respect to which the Performance Date has not occurred on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prior to the end of the Performance Period will be immediately forfeited immediately following the end of the Performance Period.</w:t>
      </w:r>
    </w:p>
    <w:p>
      <w:pPr>
        <w:sectPr>
          <w:pgSz w:w="11900" w:h="16838" w:orient="portrait"/>
          <w:cols w:equalWidth="0" w:num="1">
            <w:col w:w="11232"/>
          </w:cols>
          <w:pgMar w:left="328" w:top="1089"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19.1</w:t>
      </w:r>
    </w:p>
    <w:p>
      <w:pPr>
        <w:spacing w:after="0" w:line="28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5"/>
          <w:szCs w:val="25"/>
          <w:b w:val="1"/>
          <w:bCs w:val="1"/>
          <w:color w:val="auto"/>
        </w:rPr>
        <w:t>UNIVERSAL ELECTRONICS INC. INSIDER TRADING POLICY</w:t>
      </w:r>
    </w:p>
    <w:p>
      <w:pPr>
        <w:spacing w:after="0" w:line="31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Introduction</w:t>
      </w:r>
    </w:p>
    <w:p>
      <w:pPr>
        <w:spacing w:after="0" w:line="269" w:lineRule="exact"/>
        <w:rPr>
          <w:sz w:val="20"/>
          <w:szCs w:val="20"/>
          <w:color w:val="auto"/>
        </w:rPr>
      </w:pPr>
    </w:p>
    <w:p>
      <w:pPr>
        <w:jc w:val="both"/>
        <w:ind w:right="100" w:firstLine="647"/>
        <w:spacing w:after="0" w:line="252" w:lineRule="auto"/>
        <w:rPr>
          <w:sz w:val="20"/>
          <w:szCs w:val="20"/>
          <w:color w:val="auto"/>
        </w:rPr>
      </w:pPr>
      <w:r>
        <w:rPr>
          <w:rFonts w:ascii="Times New Roman" w:cs="Times New Roman" w:eastAsia="Times New Roman" w:hAnsi="Times New Roman"/>
          <w:sz w:val="20"/>
          <w:szCs w:val="20"/>
          <w:color w:val="auto"/>
        </w:rPr>
        <w:t>The purpose of this Insider Trading Policy (this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xml:space="preserve">”) is to promote compliance with applicable securities laws by Universal Electronics Inc. and its subsidiaries (individually and collectively, the “Company”) and all directors, officers, employees, and representatives thereof (and members of the forgoing persons’ immediate families and households), in order to preserve the reputation and integrity of the Company, as well as that of all persons affiliated with it. </w:t>
      </w:r>
      <w:r>
        <w:rPr>
          <w:rFonts w:ascii="Times New Roman" w:cs="Times New Roman" w:eastAsia="Times New Roman" w:hAnsi="Times New Roman"/>
          <w:sz w:val="20"/>
          <w:szCs w:val="20"/>
          <w:b w:val="1"/>
          <w:bCs w:val="1"/>
          <w:u w:val="single" w:color="auto"/>
          <w:color w:val="auto"/>
        </w:rPr>
        <w:t>Questions regarding this Policy should be directed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Company’s General Counsel</w:t>
      </w:r>
      <w:r>
        <w:rPr>
          <w:rFonts w:ascii="Times New Roman" w:cs="Times New Roman" w:eastAsia="Times New Roman" w:hAnsi="Times New Roman"/>
          <w:sz w:val="20"/>
          <w:szCs w:val="20"/>
          <w:b w:val="1"/>
          <w:bCs w:val="1"/>
          <w:color w:val="auto"/>
        </w:rPr>
        <w:t>.</w:t>
      </w:r>
    </w:p>
    <w:p>
      <w:pPr>
        <w:spacing w:after="0" w:line="25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Policy</w:t>
      </w:r>
    </w:p>
    <w:p>
      <w:pPr>
        <w:spacing w:after="0" w:line="269" w:lineRule="exact"/>
        <w:rPr>
          <w:sz w:val="20"/>
          <w:szCs w:val="20"/>
          <w:color w:val="auto"/>
        </w:rPr>
      </w:pPr>
    </w:p>
    <w:p>
      <w:pPr>
        <w:jc w:val="both"/>
        <w:ind w:right="100" w:firstLine="647"/>
        <w:spacing w:after="0" w:line="251" w:lineRule="auto"/>
        <w:rPr>
          <w:sz w:val="20"/>
          <w:szCs w:val="20"/>
          <w:color w:val="auto"/>
        </w:rPr>
      </w:pPr>
      <w:r>
        <w:rPr>
          <w:rFonts w:ascii="Times New Roman" w:cs="Times New Roman" w:eastAsia="Times New Roman" w:hAnsi="Times New Roman"/>
          <w:sz w:val="20"/>
          <w:szCs w:val="20"/>
          <w:color w:val="auto"/>
        </w:rPr>
        <w:t>It is the Company’s policy to comply with all applicable federal and state securities laws, including those relating to buying or selling securities of the Company (“</w:t>
      </w:r>
      <w:r>
        <w:rPr>
          <w:rFonts w:ascii="Times New Roman" w:cs="Times New Roman" w:eastAsia="Times New Roman" w:hAnsi="Times New Roman"/>
          <w:sz w:val="20"/>
          <w:szCs w:val="20"/>
          <w:u w:val="single" w:color="auto"/>
          <w:color w:val="auto"/>
        </w:rPr>
        <w:t>Company Securities</w:t>
      </w:r>
      <w:r>
        <w:rPr>
          <w:rFonts w:ascii="Times New Roman" w:cs="Times New Roman" w:eastAsia="Times New Roman" w:hAnsi="Times New Roman"/>
          <w:sz w:val="20"/>
          <w:szCs w:val="20"/>
          <w:color w:val="auto"/>
        </w:rPr>
        <w:t>”). In the course of conducting the Company’s business, directors, officers, employees, or representatives may become aware of material non-public information regarding the Company, its subsidiaries and divisions, or other companies with which we do business (this so-called “</w:t>
      </w:r>
      <w:r>
        <w:rPr>
          <w:rFonts w:ascii="Times New Roman" w:cs="Times New Roman" w:eastAsia="Times New Roman" w:hAnsi="Times New Roman"/>
          <w:sz w:val="20"/>
          <w:szCs w:val="20"/>
          <w:u w:val="single" w:color="auto"/>
          <w:color w:val="auto"/>
        </w:rPr>
        <w:t>material non-public information</w:t>
      </w:r>
      <w:r>
        <w:rPr>
          <w:rFonts w:ascii="Times New Roman" w:cs="Times New Roman" w:eastAsia="Times New Roman" w:hAnsi="Times New Roman"/>
          <w:sz w:val="20"/>
          <w:szCs w:val="20"/>
          <w:color w:val="auto"/>
        </w:rPr>
        <w:t>” is defined below). Directors, officers, employees or agents of the Company and members of their immediate families and households may not buy or sell Company Securities, or securities of any other publicly-held company, while in possession of material non-public information obtained during the course of employment or other involvement with Company business, even if the decision to buy or sell is not based upon the material non-public information.</w:t>
      </w:r>
    </w:p>
    <w:p>
      <w:pPr>
        <w:spacing w:after="0" w:line="195" w:lineRule="exact"/>
        <w:rPr>
          <w:sz w:val="20"/>
          <w:szCs w:val="20"/>
          <w:color w:val="auto"/>
        </w:rPr>
      </w:pPr>
    </w:p>
    <w:p>
      <w:pPr>
        <w:jc w:val="both"/>
        <w:ind w:right="100" w:firstLine="647"/>
        <w:spacing w:after="0" w:line="254" w:lineRule="auto"/>
        <w:rPr>
          <w:sz w:val="20"/>
          <w:szCs w:val="20"/>
          <w:color w:val="auto"/>
        </w:rPr>
      </w:pPr>
      <w:r>
        <w:rPr>
          <w:rFonts w:ascii="Times New Roman" w:cs="Times New Roman" w:eastAsia="Times New Roman" w:hAnsi="Times New Roman"/>
          <w:sz w:val="20"/>
          <w:szCs w:val="20"/>
          <w:color w:val="auto"/>
        </w:rPr>
        <w:t>In addition, entities such as trusts or foundations over which a director, officer, employee, or representative has control, may not buy or sell Company Securities or securities of any other publicly-held company while in possession of such material non-public information. If you have material non-public information, you may not disclose that information to others, even to family members or other employees, except for employees whose job responsibilities require the information.</w:t>
      </w:r>
    </w:p>
    <w:p>
      <w:pPr>
        <w:spacing w:after="0" w:line="187" w:lineRule="exact"/>
        <w:rPr>
          <w:sz w:val="20"/>
          <w:szCs w:val="20"/>
          <w:color w:val="auto"/>
        </w:rPr>
      </w:pPr>
    </w:p>
    <w:p>
      <w:pPr>
        <w:jc w:val="both"/>
        <w:ind w:right="100" w:firstLine="647"/>
        <w:spacing w:after="0" w:line="261" w:lineRule="auto"/>
        <w:rPr>
          <w:sz w:val="20"/>
          <w:szCs w:val="20"/>
          <w:color w:val="auto"/>
        </w:rPr>
      </w:pPr>
      <w:r>
        <w:rPr>
          <w:rFonts w:ascii="Times New Roman" w:cs="Times New Roman" w:eastAsia="Times New Roman" w:hAnsi="Times New Roman"/>
          <w:sz w:val="20"/>
          <w:szCs w:val="20"/>
          <w:color w:val="auto"/>
        </w:rPr>
        <w:t>This Policy will continue to apply to any director, officer, employee, or representative whose relationship with the Company terminates as long as the individual possesses material non-public information that he or she obtained in the course of his or her employment or relationship with the Company.</w:t>
      </w:r>
    </w:p>
    <w:p>
      <w:pPr>
        <w:spacing w:after="0" w:line="2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Applicability</w:t>
      </w:r>
    </w:p>
    <w:p>
      <w:pPr>
        <w:spacing w:after="0" w:line="269" w:lineRule="exact"/>
        <w:rPr>
          <w:sz w:val="20"/>
          <w:szCs w:val="20"/>
          <w:color w:val="auto"/>
        </w:rPr>
      </w:pPr>
    </w:p>
    <w:p>
      <w:pPr>
        <w:jc w:val="both"/>
        <w:ind w:right="100" w:firstLine="647"/>
        <w:spacing w:after="0" w:line="251" w:lineRule="auto"/>
        <w:rPr>
          <w:sz w:val="20"/>
          <w:szCs w:val="20"/>
          <w:color w:val="auto"/>
        </w:rPr>
      </w:pPr>
      <w:r>
        <w:rPr>
          <w:rFonts w:ascii="Times New Roman" w:cs="Times New Roman" w:eastAsia="Times New Roman" w:hAnsi="Times New Roman"/>
          <w:sz w:val="20"/>
          <w:szCs w:val="20"/>
          <w:color w:val="auto"/>
        </w:rPr>
        <w:t xml:space="preserve">The general policy stated above applies to all directors, officers, employees, and representatives of the Company. In order to ensure compliance with this Policy, the Board of Directors of the Company has adopted the following additional procedures, which apply to directors, officers and certain employees and representatives of the Company, as specified in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Covered Persons</w:t>
      </w:r>
      <w:r>
        <w:rPr>
          <w:rFonts w:ascii="Times New Roman" w:cs="Times New Roman" w:eastAsia="Times New Roman" w:hAnsi="Times New Roman"/>
          <w:sz w:val="20"/>
          <w:szCs w:val="20"/>
          <w:color w:val="auto"/>
        </w:rPr>
        <w:t>”) and their Related Persons (as defined below), which Annex may be amended from time to time by the Company’s General Counsel and Chief Financial Officer. The Company has determined that these Covered Persons are likely to have access to material non-public information by virtue of their position with the Company. These procedures apply regardless of the dollar amount of the trade or the source of the material non-public information. Any questions regarding the applicability of this Policy to a specific situation should be referred to the Company’s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140"/>
          </w:cols>
          <w:pgMar w:left="420" w:top="1071"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19.1</w:t>
      </w:r>
    </w:p>
    <w:p>
      <w:pPr>
        <w:spacing w:after="0" w:line="2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Definition/Explanations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Who is an “Insider”?</w:t>
      </w:r>
    </w:p>
    <w:p>
      <w:pPr>
        <w:spacing w:after="0" w:line="220" w:lineRule="exact"/>
        <w:rPr>
          <w:sz w:val="20"/>
          <w:szCs w:val="20"/>
          <w:color w:val="auto"/>
        </w:rPr>
      </w:pPr>
    </w:p>
    <w:p>
      <w:pPr>
        <w:jc w:val="both"/>
        <w:ind w:right="100" w:firstLine="647"/>
        <w:spacing w:after="0" w:line="258" w:lineRule="auto"/>
        <w:rPr>
          <w:sz w:val="20"/>
          <w:szCs w:val="20"/>
          <w:color w:val="auto"/>
        </w:rPr>
      </w:pPr>
      <w:r>
        <w:rPr>
          <w:rFonts w:ascii="Times New Roman" w:cs="Times New Roman" w:eastAsia="Times New Roman" w:hAnsi="Times New Roman"/>
          <w:sz w:val="20"/>
          <w:szCs w:val="20"/>
          <w:color w:val="auto"/>
        </w:rPr>
        <w:t>The concept of “insider” is broad. Any person who possesses material non-public information is considered an insider as to that information. Insiders include Company directors, officers, employees, and representatives, such as independent contractors and those persons in a special relationship with the Company, e.g., its auditors, consultants or attorneys. The definition of an insider is transaction specific; that is, an individual is an insider with respect to each material non-public item of which he or she is aware.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What is “Material” Information?</w:t>
      </w:r>
    </w:p>
    <w:p>
      <w:pPr>
        <w:spacing w:after="0" w:line="220" w:lineRule="exact"/>
        <w:rPr>
          <w:sz w:val="20"/>
          <w:szCs w:val="20"/>
          <w:color w:val="auto"/>
        </w:rPr>
      </w:pPr>
    </w:p>
    <w:p>
      <w:pPr>
        <w:jc w:val="both"/>
        <w:ind w:right="100" w:firstLine="647"/>
        <w:spacing w:after="0" w:line="258" w:lineRule="auto"/>
        <w:rPr>
          <w:sz w:val="20"/>
          <w:szCs w:val="20"/>
          <w:color w:val="auto"/>
        </w:rPr>
      </w:pPr>
      <w:r>
        <w:rPr>
          <w:rFonts w:ascii="Times New Roman" w:cs="Times New Roman" w:eastAsia="Times New Roman" w:hAnsi="Times New Roman"/>
          <w:sz w:val="20"/>
          <w:szCs w:val="20"/>
          <w:color w:val="auto"/>
        </w:rPr>
        <w:t>The materiality of a fact depends upon the circumstances. A fact is considered “material” if there is a substantial likelihood that a reasonable investor would consider it important in making a decision to buy, sell or hold a security or where the fact is likely to have a significant effect on the market price of the security. Material information can be positive or negative and can relate to virtually any aspect of a company’s business or to any type of security, debt or equity. Some examples of material information include:</w:t>
      </w:r>
    </w:p>
    <w:p>
      <w:pPr>
        <w:spacing w:after="0" w:line="186" w:lineRule="exact"/>
        <w:rPr>
          <w:sz w:val="20"/>
          <w:szCs w:val="20"/>
          <w:color w:val="auto"/>
        </w:rPr>
      </w:pPr>
    </w:p>
    <w:p>
      <w:pPr>
        <w:ind w:left="960" w:hanging="314"/>
        <w:spacing w:after="0"/>
        <w:tabs>
          <w:tab w:leader="none" w:pos="9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unpublished financial results (including earnings estimates);</w:t>
      </w:r>
    </w:p>
    <w:p>
      <w:pPr>
        <w:spacing w:after="0" w:line="107" w:lineRule="exact"/>
        <w:rPr>
          <w:rFonts w:ascii="Times New Roman" w:cs="Times New Roman" w:eastAsia="Times New Roman" w:hAnsi="Times New Roman"/>
          <w:sz w:val="20"/>
          <w:szCs w:val="20"/>
          <w:color w:val="auto"/>
        </w:rPr>
      </w:pPr>
    </w:p>
    <w:p>
      <w:pPr>
        <w:ind w:left="960" w:hanging="314"/>
        <w:spacing w:after="0"/>
        <w:tabs>
          <w:tab w:leader="none" w:pos="9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unpublished statistics about sales;</w:t>
      </w:r>
    </w:p>
    <w:p>
      <w:pPr>
        <w:spacing w:after="0" w:line="121" w:lineRule="exact"/>
        <w:rPr>
          <w:rFonts w:ascii="Times New Roman" w:cs="Times New Roman" w:eastAsia="Times New Roman" w:hAnsi="Times New Roman"/>
          <w:sz w:val="20"/>
          <w:szCs w:val="20"/>
          <w:color w:val="auto"/>
        </w:rPr>
      </w:pPr>
    </w:p>
    <w:p>
      <w:pPr>
        <w:ind w:left="960" w:hanging="314"/>
        <w:spacing w:after="0"/>
        <w:tabs>
          <w:tab w:leader="none" w:pos="9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news of a pending or proposed company transaction;</w:t>
      </w:r>
    </w:p>
    <w:p>
      <w:pPr>
        <w:spacing w:after="0" w:line="107" w:lineRule="exact"/>
        <w:rPr>
          <w:rFonts w:ascii="Times New Roman" w:cs="Times New Roman" w:eastAsia="Times New Roman" w:hAnsi="Times New Roman"/>
          <w:sz w:val="20"/>
          <w:szCs w:val="20"/>
          <w:color w:val="auto"/>
        </w:rPr>
      </w:pPr>
    </w:p>
    <w:p>
      <w:pPr>
        <w:ind w:left="960" w:hanging="314"/>
        <w:spacing w:after="0"/>
        <w:tabs>
          <w:tab w:leader="none" w:pos="9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litigation;</w:t>
      </w:r>
    </w:p>
    <w:p>
      <w:pPr>
        <w:spacing w:after="0" w:line="121" w:lineRule="exact"/>
        <w:rPr>
          <w:rFonts w:ascii="Times New Roman" w:cs="Times New Roman" w:eastAsia="Times New Roman" w:hAnsi="Times New Roman"/>
          <w:sz w:val="20"/>
          <w:szCs w:val="20"/>
          <w:color w:val="auto"/>
        </w:rPr>
      </w:pPr>
    </w:p>
    <w:p>
      <w:pPr>
        <w:ind w:left="960" w:hanging="314"/>
        <w:spacing w:after="0"/>
        <w:tabs>
          <w:tab w:leader="none" w:pos="9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recapitalizations;</w:t>
      </w:r>
    </w:p>
    <w:p>
      <w:pPr>
        <w:spacing w:after="0" w:line="107" w:lineRule="exact"/>
        <w:rPr>
          <w:rFonts w:ascii="Times New Roman" w:cs="Times New Roman" w:eastAsia="Times New Roman" w:hAnsi="Times New Roman"/>
          <w:sz w:val="20"/>
          <w:szCs w:val="20"/>
          <w:color w:val="auto"/>
        </w:rPr>
      </w:pPr>
    </w:p>
    <w:p>
      <w:pPr>
        <w:ind w:left="960" w:hanging="314"/>
        <w:spacing w:after="0"/>
        <w:tabs>
          <w:tab w:leader="none" w:pos="9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changes in strategic objectives;</w:t>
      </w:r>
    </w:p>
    <w:p>
      <w:pPr>
        <w:spacing w:after="0" w:line="121" w:lineRule="exact"/>
        <w:rPr>
          <w:rFonts w:ascii="Times New Roman" w:cs="Times New Roman" w:eastAsia="Times New Roman" w:hAnsi="Times New Roman"/>
          <w:sz w:val="20"/>
          <w:szCs w:val="20"/>
          <w:color w:val="auto"/>
        </w:rPr>
      </w:pPr>
    </w:p>
    <w:p>
      <w:pPr>
        <w:ind w:left="960" w:hanging="314"/>
        <w:spacing w:after="0"/>
        <w:tabs>
          <w:tab w:leader="none" w:pos="9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in control or a significant change in management;</w:t>
      </w:r>
    </w:p>
    <w:p>
      <w:pPr>
        <w:spacing w:after="0" w:line="107" w:lineRule="exact"/>
        <w:rPr>
          <w:rFonts w:ascii="Times New Roman" w:cs="Times New Roman" w:eastAsia="Times New Roman" w:hAnsi="Times New Roman"/>
          <w:sz w:val="20"/>
          <w:szCs w:val="20"/>
          <w:color w:val="auto"/>
        </w:rPr>
      </w:pPr>
    </w:p>
    <w:p>
      <w:pPr>
        <w:ind w:left="960" w:hanging="314"/>
        <w:spacing w:after="0"/>
        <w:tabs>
          <w:tab w:leader="none" w:pos="9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news of a significant sale or impairment of assets;</w:t>
      </w:r>
    </w:p>
    <w:p>
      <w:pPr>
        <w:spacing w:after="0" w:line="121" w:lineRule="exact"/>
        <w:rPr>
          <w:rFonts w:ascii="Times New Roman" w:cs="Times New Roman" w:eastAsia="Times New Roman" w:hAnsi="Times New Roman"/>
          <w:sz w:val="20"/>
          <w:szCs w:val="20"/>
          <w:color w:val="auto"/>
        </w:rPr>
      </w:pPr>
    </w:p>
    <w:p>
      <w:pPr>
        <w:ind w:left="960" w:hanging="314"/>
        <w:spacing w:after="0"/>
        <w:tabs>
          <w:tab w:leader="none" w:pos="9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dividend policies, the declaration of a stock split or the offering of new or additional securities;</w:t>
      </w:r>
    </w:p>
    <w:p>
      <w:pPr>
        <w:spacing w:after="0" w:line="107" w:lineRule="exact"/>
        <w:rPr>
          <w:rFonts w:ascii="Times New Roman" w:cs="Times New Roman" w:eastAsia="Times New Roman" w:hAnsi="Times New Roman"/>
          <w:sz w:val="20"/>
          <w:szCs w:val="20"/>
          <w:color w:val="auto"/>
        </w:rPr>
      </w:pPr>
    </w:p>
    <w:p>
      <w:pPr>
        <w:ind w:left="960" w:hanging="314"/>
        <w:spacing w:after="0"/>
        <w:tabs>
          <w:tab w:leader="none" w:pos="9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defaults under debt agreements, if any; and</w:t>
      </w:r>
    </w:p>
    <w:p>
      <w:pPr>
        <w:spacing w:after="0" w:line="121" w:lineRule="exact"/>
        <w:rPr>
          <w:rFonts w:ascii="Times New Roman" w:cs="Times New Roman" w:eastAsia="Times New Roman" w:hAnsi="Times New Roman"/>
          <w:sz w:val="20"/>
          <w:szCs w:val="20"/>
          <w:color w:val="auto"/>
        </w:rPr>
      </w:pPr>
    </w:p>
    <w:p>
      <w:pPr>
        <w:ind w:left="960" w:hanging="314"/>
        <w:spacing w:after="0"/>
        <w:tabs>
          <w:tab w:leader="none" w:pos="9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liquidity issues.</w:t>
      </w:r>
    </w:p>
    <w:p>
      <w:pPr>
        <w:spacing w:after="0" w:line="216"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20"/>
          <w:szCs w:val="20"/>
          <w:color w:val="auto"/>
        </w:rPr>
        <w:t>The above list is only illustrative; many other types of information may be considered “material,” depending on the circumstances. The materiality of particular information is subject to reassessment on a regular basis. When in doubt, please contact the Company’s General Counsel.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What is “Non-public” Information?</w:t>
      </w:r>
    </w:p>
    <w:p>
      <w:pPr>
        <w:spacing w:after="0" w:line="220" w:lineRule="exact"/>
        <w:rPr>
          <w:sz w:val="20"/>
          <w:szCs w:val="20"/>
          <w:color w:val="auto"/>
        </w:rPr>
      </w:pPr>
    </w:p>
    <w:p>
      <w:pPr>
        <w:jc w:val="both"/>
        <w:ind w:right="100" w:firstLine="647"/>
        <w:spacing w:after="0" w:line="253" w:lineRule="auto"/>
        <w:rPr>
          <w:sz w:val="20"/>
          <w:szCs w:val="20"/>
          <w:color w:val="auto"/>
        </w:rPr>
      </w:pPr>
      <w:r>
        <w:rPr>
          <w:rFonts w:ascii="Times New Roman" w:cs="Times New Roman" w:eastAsia="Times New Roman" w:hAnsi="Times New Roman"/>
          <w:sz w:val="20"/>
          <w:szCs w:val="20"/>
          <w:color w:val="auto"/>
        </w:rPr>
        <w:t xml:space="preserve">Information is “non-public” if it is not available to the general public. In order for information to be considered public, it must be widely disseminated in a manner making it generally available to investors through a report filed with the Securities and Exchange Commission or through such media as </w:t>
      </w:r>
      <w:r>
        <w:rPr>
          <w:rFonts w:ascii="Times New Roman" w:cs="Times New Roman" w:eastAsia="Times New Roman" w:hAnsi="Times New Roman"/>
          <w:sz w:val="20"/>
          <w:szCs w:val="20"/>
          <w:i w:val="1"/>
          <w:iCs w:val="1"/>
          <w:color w:val="auto"/>
        </w:rPr>
        <w:t>Dow Jones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Reuters Economic Services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The Associated Press</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i w:val="1"/>
          <w:iCs w:val="1"/>
          <w:color w:val="auto"/>
        </w:rPr>
        <w:t>United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Press International</w:t>
      </w:r>
      <w:r>
        <w:rPr>
          <w:rFonts w:ascii="Times New Roman" w:cs="Times New Roman" w:eastAsia="Times New Roman" w:hAnsi="Times New Roman"/>
          <w:sz w:val="20"/>
          <w:szCs w:val="20"/>
          <w:color w:val="auto"/>
        </w:rPr>
        <w:t>. The circulation of rumors, even if accurate and reported in the media, does not constitute effective public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dissemination. In addition, even after a public announcement of material information, a reasonable period of time must elapse in order for the market to react to the information.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40"/>
          </w:cols>
          <w:pgMar w:left="420" w:top="1071" w:right="339" w:bottom="1440" w:gutter="0" w:footer="0" w:header="0"/>
        </w:sectPr>
      </w:pPr>
    </w:p>
    <w:bookmarkStart w:id="102" w:name="page103"/>
    <w:bookmarkEnd w:id="102"/>
    <w:p>
      <w:pPr>
        <w:ind w:left="10120"/>
        <w:spacing w:after="0"/>
        <w:rPr>
          <w:sz w:val="20"/>
          <w:szCs w:val="20"/>
          <w:color w:val="auto"/>
        </w:rPr>
      </w:pPr>
      <w:r>
        <w:rPr>
          <w:rFonts w:ascii="Times New Roman" w:cs="Times New Roman" w:eastAsia="Times New Roman" w:hAnsi="Times New Roman"/>
          <w:sz w:val="19"/>
          <w:szCs w:val="19"/>
          <w:b w:val="1"/>
          <w:bCs w:val="1"/>
          <w:u w:val="single" w:color="auto"/>
          <w:color w:val="auto"/>
        </w:rPr>
        <w:t>Exhibit 19.1</w:t>
      </w:r>
    </w:p>
    <w:p>
      <w:pPr>
        <w:spacing w:after="0" w:line="299" w:lineRule="exact"/>
        <w:rPr>
          <w:sz w:val="20"/>
          <w:szCs w:val="20"/>
          <w:color w:val="auto"/>
        </w:rPr>
      </w:pPr>
    </w:p>
    <w:p>
      <w:pPr>
        <w:jc w:val="both"/>
        <w:ind w:right="100" w:firstLine="647"/>
        <w:spacing w:after="0" w:line="251" w:lineRule="auto"/>
        <w:rPr>
          <w:sz w:val="20"/>
          <w:szCs w:val="20"/>
          <w:color w:val="auto"/>
        </w:rPr>
      </w:pPr>
      <w:r>
        <w:rPr>
          <w:rFonts w:ascii="Times New Roman" w:cs="Times New Roman" w:eastAsia="Times New Roman" w:hAnsi="Times New Roman"/>
          <w:sz w:val="20"/>
          <w:szCs w:val="20"/>
          <w:color w:val="auto"/>
        </w:rPr>
        <w:t xml:space="preserve">Generally, one should allow approximately two (2) full trading days following publication of material information as a reasonable waiting period before such information is deemed to be public. Therefore, if an announcement is made </w:t>
      </w:r>
      <w:r>
        <w:rPr>
          <w:rFonts w:ascii="Times New Roman" w:cs="Times New Roman" w:eastAsia="Times New Roman" w:hAnsi="Times New Roman"/>
          <w:sz w:val="20"/>
          <w:szCs w:val="20"/>
          <w:b w:val="1"/>
          <w:bCs w:val="1"/>
          <w:u w:val="single" w:color="auto"/>
          <w:color w:val="auto"/>
        </w:rPr>
        <w:t>before</w:t>
      </w:r>
      <w:r>
        <w:rPr>
          <w:rFonts w:ascii="Times New Roman" w:cs="Times New Roman" w:eastAsia="Times New Roman" w:hAnsi="Times New Roman"/>
          <w:sz w:val="20"/>
          <w:szCs w:val="20"/>
          <w:color w:val="auto"/>
        </w:rPr>
        <w:t xml:space="preserve"> the commencement of trading on a Monday, trading in Company Securities may start on Wednesday of that week, because two full trading days would have elapsed by then (all of Monday and Tuesday). If the announcement is made on Monday </w:t>
      </w:r>
      <w:r>
        <w:rPr>
          <w:rFonts w:ascii="Times New Roman" w:cs="Times New Roman" w:eastAsia="Times New Roman" w:hAnsi="Times New Roman"/>
          <w:sz w:val="20"/>
          <w:szCs w:val="20"/>
          <w:b w:val="1"/>
          <w:bCs w:val="1"/>
          <w:u w:val="single" w:color="auto"/>
          <w:color w:val="auto"/>
        </w:rPr>
        <w:t>after</w:t>
      </w:r>
      <w:r>
        <w:rPr>
          <w:rFonts w:ascii="Times New Roman" w:cs="Times New Roman" w:eastAsia="Times New Roman" w:hAnsi="Times New Roman"/>
          <w:sz w:val="20"/>
          <w:szCs w:val="20"/>
          <w:color w:val="auto"/>
        </w:rPr>
        <w:t xml:space="preserve"> trading begins, trading in Company Securities may not start until the following Thursday. If the announcement is made on Friday after trading begins, trading in Company Securities may start on Wednesday of the following week. Note that this restriction is </w:t>
      </w:r>
      <w:r>
        <w:rPr>
          <w:rFonts w:ascii="Times New Roman" w:cs="Times New Roman" w:eastAsia="Times New Roman" w:hAnsi="Times New Roman"/>
          <w:sz w:val="20"/>
          <w:szCs w:val="20"/>
          <w:b w:val="1"/>
          <w:bCs w:val="1"/>
          <w:u w:val="single" w:color="auto"/>
          <w:color w:val="auto"/>
        </w:rPr>
        <w:t>in addition</w:t>
      </w:r>
      <w:r>
        <w:rPr>
          <w:rFonts w:ascii="Times New Roman" w:cs="Times New Roman" w:eastAsia="Times New Roman" w:hAnsi="Times New Roman"/>
          <w:sz w:val="20"/>
          <w:szCs w:val="20"/>
          <w:color w:val="auto"/>
        </w:rPr>
        <w:t xml:space="preserve"> to any other restrictions that apply under this Policy, including the requirement that trades be pre-cleared (see below) and that they occur during specified open window trading period (see below).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Who is a “Related Person?”</w:t>
      </w:r>
    </w:p>
    <w:p>
      <w:pPr>
        <w:spacing w:after="0" w:line="233" w:lineRule="exact"/>
        <w:rPr>
          <w:sz w:val="20"/>
          <w:szCs w:val="20"/>
          <w:color w:val="auto"/>
        </w:rPr>
      </w:pPr>
    </w:p>
    <w:p>
      <w:pPr>
        <w:jc w:val="both"/>
        <w:ind w:right="100" w:firstLine="647"/>
        <w:spacing w:after="0" w:line="253" w:lineRule="auto"/>
        <w:rPr>
          <w:sz w:val="20"/>
          <w:szCs w:val="20"/>
          <w:color w:val="auto"/>
        </w:rPr>
      </w:pPr>
      <w:r>
        <w:rPr>
          <w:rFonts w:ascii="Times New Roman" w:cs="Times New Roman" w:eastAsia="Times New Roman" w:hAnsi="Times New Roman"/>
          <w:sz w:val="20"/>
          <w:szCs w:val="20"/>
          <w:color w:val="auto"/>
        </w:rPr>
        <w:t>For purposes of this Policy, a “Related Person” includes your spouse, minor children and anyone else living in your household; partnerships in which you are a general partner; corporations in which you, either singly or together with other “Related Persons”, own a controlling interest; trusts of which you are a trustee, settlor or beneficiary; estates of which you are an executor or beneficiary; or any other group or entity where the insider has or shares with others the power to decide whether to buy Company Securities. Although a person’s parent, child or sibling may not be considered a Related Person (unless living in the same household), a parent, child or sibling may be a “tippee” for securities laws purposes. See below for a discussion on the prohibition on “tipping.”</w:t>
      </w:r>
    </w:p>
    <w:p>
      <w:pPr>
        <w:spacing w:after="0" w:line="23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Guidelines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Non-disclosure of Material Non-Public Information</w:t>
      </w:r>
    </w:p>
    <w:p>
      <w:pPr>
        <w:spacing w:after="0" w:line="233" w:lineRule="exact"/>
        <w:rPr>
          <w:sz w:val="20"/>
          <w:szCs w:val="20"/>
          <w:color w:val="auto"/>
        </w:rPr>
      </w:pPr>
    </w:p>
    <w:p>
      <w:pPr>
        <w:jc w:val="both"/>
        <w:ind w:right="100" w:firstLine="647"/>
        <w:spacing w:after="0" w:line="261" w:lineRule="auto"/>
        <w:rPr>
          <w:sz w:val="20"/>
          <w:szCs w:val="20"/>
          <w:color w:val="auto"/>
        </w:rPr>
      </w:pPr>
      <w:r>
        <w:rPr>
          <w:rFonts w:ascii="Times New Roman" w:cs="Times New Roman" w:eastAsia="Times New Roman" w:hAnsi="Times New Roman"/>
          <w:sz w:val="20"/>
          <w:szCs w:val="20"/>
          <w:color w:val="auto"/>
        </w:rPr>
        <w:t>Material non-public information must not be disclosed to anyone, except the designated persons within the Company or certain third-party agents of the Company (such as accountants, investment banking advisors or attorneys) whose positions require them to know it, until such information has been publicly released by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Prohibited Trading in Company Securities</w:t>
      </w:r>
    </w:p>
    <w:p>
      <w:pPr>
        <w:spacing w:after="0" w:line="220" w:lineRule="exact"/>
        <w:rPr>
          <w:sz w:val="20"/>
          <w:szCs w:val="20"/>
          <w:color w:val="auto"/>
        </w:rPr>
      </w:pPr>
    </w:p>
    <w:p>
      <w:pPr>
        <w:jc w:val="both"/>
        <w:ind w:right="100" w:firstLine="647"/>
        <w:spacing w:after="0" w:line="257" w:lineRule="auto"/>
        <w:rPr>
          <w:sz w:val="20"/>
          <w:szCs w:val="20"/>
          <w:color w:val="auto"/>
        </w:rPr>
      </w:pPr>
      <w:r>
        <w:rPr>
          <w:rFonts w:ascii="Times New Roman" w:cs="Times New Roman" w:eastAsia="Times New Roman" w:hAnsi="Times New Roman"/>
          <w:sz w:val="20"/>
          <w:szCs w:val="20"/>
          <w:color w:val="auto"/>
        </w:rPr>
        <w:t>No Covered Persons or their Related Persons may place a purchase or sell order or recommend that another person place a purchase or sell order in Company Securities (including initial elections, changes in elections or reallocation of funds relating to 401(k) plan accounts, but excluding certain exercises of options (as described below), or in accordance with a Rule 10b5-1 Trading Plan (as described below)) outside of a open window trading period (see below) or when he or she has knowledge of material information concerning the Company that has not been disclosed to the public.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Twenty-Twenty Hindsight/Pre-Clearance Procedures</w:t>
      </w:r>
    </w:p>
    <w:p>
      <w:pPr>
        <w:spacing w:after="0" w:line="233" w:lineRule="exact"/>
        <w:rPr>
          <w:sz w:val="20"/>
          <w:szCs w:val="20"/>
          <w:color w:val="auto"/>
        </w:rPr>
      </w:pPr>
    </w:p>
    <w:p>
      <w:pPr>
        <w:jc w:val="both"/>
        <w:ind w:right="100" w:firstLine="647"/>
        <w:spacing w:after="0" w:line="251" w:lineRule="auto"/>
        <w:rPr>
          <w:sz w:val="20"/>
          <w:szCs w:val="20"/>
          <w:color w:val="auto"/>
        </w:rPr>
      </w:pPr>
      <w:r>
        <w:rPr>
          <w:rFonts w:ascii="Times New Roman" w:cs="Times New Roman" w:eastAsia="Times New Roman" w:hAnsi="Times New Roman"/>
          <w:sz w:val="20"/>
          <w:szCs w:val="20"/>
          <w:color w:val="auto"/>
        </w:rPr>
        <w:t xml:space="preserve">If securities transactions ever become the subject of scrutiny, they are likely to be viewed after-the- fact with the benefit of hindsight. Therefore, Covered Persons </w:t>
      </w:r>
      <w:r>
        <w:rPr>
          <w:rFonts w:ascii="Times New Roman" w:cs="Times New Roman" w:eastAsia="Times New Roman" w:hAnsi="Times New Roman"/>
          <w:sz w:val="20"/>
          <w:szCs w:val="20"/>
          <w:b w:val="1"/>
          <w:bCs w:val="1"/>
          <w:u w:val="single" w:color="auto"/>
          <w:color w:val="auto"/>
        </w:rPr>
        <w:t>must</w:t>
      </w:r>
      <w:r>
        <w:rPr>
          <w:rFonts w:ascii="Times New Roman" w:cs="Times New Roman" w:eastAsia="Times New Roman" w:hAnsi="Times New Roman"/>
          <w:sz w:val="20"/>
          <w:szCs w:val="20"/>
          <w:color w:val="auto"/>
        </w:rPr>
        <w:t xml:space="preserve"> pre-clear all proposed transactions in Company Securities with the Company’s General Counsel, or outside counsel retained by the Company for such purpose. A request for pre-clearance must be submitted in advance of the proposed transaction. Pre- clearance may only be obtained by speaking directly with the Company’s General Counsel, and if granted, you will be notified by email. As a part of the pre-clearance, you will be required to certify compliance with this Policy (certification to be in the form set forth in </w:t>
      </w:r>
      <w:r>
        <w:rPr>
          <w:rFonts w:ascii="Times New Roman" w:cs="Times New Roman" w:eastAsia="Times New Roman" w:hAnsi="Times New Roman"/>
          <w:sz w:val="20"/>
          <w:szCs w:val="20"/>
          <w:u w:val="single" w:color="auto"/>
          <w:color w:val="auto"/>
        </w:rPr>
        <w:t>Annex B</w:t>
      </w:r>
      <w:r>
        <w:rPr>
          <w:rFonts w:ascii="Times New Roman" w:cs="Times New Roman" w:eastAsia="Times New Roman" w:hAnsi="Times New Roman"/>
          <w:sz w:val="20"/>
          <w:szCs w:val="20"/>
          <w:color w:val="auto"/>
        </w:rPr>
        <w:t>). Each proposed transaction will be evaluated to determine if it raises insider trading concerns or other concerns under the federal or state securities laws and regulations. Any advice will relate solely to the restraints imposed by this Policy and by federal and state securities law and will not constitute advice regarding the investment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140"/>
          </w:cols>
          <w:pgMar w:left="420" w:top="1071"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19.1</w:t>
      </w:r>
    </w:p>
    <w:p>
      <w:pPr>
        <w:spacing w:after="0" w:line="200" w:lineRule="exact"/>
        <w:rPr>
          <w:sz w:val="20"/>
          <w:szCs w:val="20"/>
          <w:color w:val="auto"/>
        </w:rPr>
      </w:pPr>
    </w:p>
    <w:p>
      <w:pPr>
        <w:spacing w:after="0" w:line="249"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20"/>
          <w:szCs w:val="20"/>
          <w:color w:val="auto"/>
        </w:rPr>
        <w:t>aspects of any transaction. Clearance of a transaction is valid only for ten (10) business days following receipt by you of the Company’s General Counsel’s emailed clearance notice. If the transaction order is not completed within that ten-day period, clearance of the transaction must be re-requested. If a transaction is effected via a “limit order”, the end date of such order must coincide with the end date of your trading authorization. If clearance is denied, the fact of such denial must be kept confidential by the person requesting such clearance.</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u w:val="single" w:color="auto"/>
          <w:color w:val="auto"/>
        </w:rPr>
        <w:t>Exceptions to Pre-Clearance Requirements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960" w:right="100" w:hanging="314"/>
        <w:spacing w:after="0" w:line="263" w:lineRule="auto"/>
        <w:tabs>
          <w:tab w:leader="none" w:pos="94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Stock Option Exercises</w:t>
      </w:r>
      <w:r>
        <w:rPr>
          <w:rFonts w:ascii="Times New Roman" w:cs="Times New Roman" w:eastAsia="Times New Roman" w:hAnsi="Times New Roman"/>
          <w:sz w:val="20"/>
          <w:szCs w:val="20"/>
          <w:color w:val="auto"/>
        </w:rPr>
        <w:t>. An exercise of a stock option need not be pre-cleared if such exercise does not involve the sale of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Securities, such as a sale of Company Securities to finance a broker-assisted “cashless” exercise, such that after such exercise, you continue to hold the Company Securities that were issued to you via the option exercise.</w:t>
      </w:r>
    </w:p>
    <w:p>
      <w:pPr>
        <w:spacing w:after="0" w:line="175" w:lineRule="exact"/>
        <w:rPr>
          <w:rFonts w:ascii="Times New Roman" w:cs="Times New Roman" w:eastAsia="Times New Roman" w:hAnsi="Times New Roman"/>
          <w:sz w:val="20"/>
          <w:szCs w:val="20"/>
          <w:color w:val="auto"/>
        </w:rPr>
      </w:pPr>
    </w:p>
    <w:p>
      <w:pPr>
        <w:ind w:left="960" w:hanging="314"/>
        <w:spacing w:after="0"/>
        <w:tabs>
          <w:tab w:leader="none" w:pos="9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10b5-1 Plans. </w:t>
      </w:r>
      <w:r>
        <w:rPr>
          <w:rFonts w:ascii="Times New Roman" w:cs="Times New Roman" w:eastAsia="Times New Roman" w:hAnsi="Times New Roman"/>
          <w:sz w:val="20"/>
          <w:szCs w:val="20"/>
          <w:color w:val="auto"/>
        </w:rPr>
        <w:t>See discussion regarding</w:t>
      </w:r>
      <w:r>
        <w:rPr>
          <w:rFonts w:ascii="Times New Roman" w:cs="Times New Roman" w:eastAsia="Times New Roman" w:hAnsi="Times New Roman"/>
          <w:sz w:val="20"/>
          <w:szCs w:val="20"/>
          <w:i w:val="1"/>
          <w:iCs w:val="1"/>
          <w:color w:val="auto"/>
        </w:rPr>
        <w:t xml:space="preserve"> Pre-arranged Trading Plans </w:t>
      </w:r>
      <w:r>
        <w:rPr>
          <w:rFonts w:ascii="Times New Roman" w:cs="Times New Roman" w:eastAsia="Times New Roman" w:hAnsi="Times New Roman"/>
          <w:sz w:val="20"/>
          <w:szCs w:val="20"/>
          <w:color w:val="auto"/>
        </w:rPr>
        <w:t>below.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“Tipping” Information to Others</w:t>
      </w:r>
    </w:p>
    <w:p>
      <w:pPr>
        <w:spacing w:after="0" w:line="233" w:lineRule="exact"/>
        <w:rPr>
          <w:sz w:val="20"/>
          <w:szCs w:val="20"/>
          <w:color w:val="auto"/>
        </w:rPr>
      </w:pPr>
    </w:p>
    <w:p>
      <w:pPr>
        <w:jc w:val="both"/>
        <w:ind w:right="100" w:firstLine="647"/>
        <w:spacing w:after="0" w:line="250" w:lineRule="auto"/>
        <w:rPr>
          <w:sz w:val="20"/>
          <w:szCs w:val="20"/>
          <w:color w:val="auto"/>
        </w:rPr>
      </w:pPr>
      <w:r>
        <w:rPr>
          <w:rFonts w:ascii="Times New Roman" w:cs="Times New Roman" w:eastAsia="Times New Roman" w:hAnsi="Times New Roman"/>
          <w:sz w:val="20"/>
          <w:szCs w:val="20"/>
          <w:color w:val="auto"/>
        </w:rPr>
        <w:t>Insiders may be liable for communicating or tipping material non-public information to any third party (“tippee”), not limited to just Related Persons. Further, insider trading violations are not limited to trading or tipping by insiders. Persons other than insiders also can be liable for insider trading, including tippees who trade on material non-public information tipped to them and individuals who trade on material non-public information that has been misappropriated. Tippees inherit an insider’s duties and are liable for trading on material non-public information illegally tipped to them by an insider. Similarly, just as insiders are liable for the insider trading of their tippees, tippees who pass the information along are liable for the insider trading of persons to whom they have tipped the information. In other words, a tippee’s liability for insider trading is no different from that of an insider. Tippees can obtain material non-public information by receiving overt tips from others or through, among other things, conversations at social, business or other gatherings. Therefore, it is the Company’s policy that Covered Persons are required to keep completely and strictly confidential all non-public information relating to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Avoid Speculation</w:t>
      </w:r>
    </w:p>
    <w:p>
      <w:pPr>
        <w:spacing w:after="0" w:line="233" w:lineRule="exact"/>
        <w:rPr>
          <w:sz w:val="20"/>
          <w:szCs w:val="20"/>
          <w:color w:val="auto"/>
        </w:rPr>
      </w:pPr>
    </w:p>
    <w:p>
      <w:pPr>
        <w:jc w:val="both"/>
        <w:ind w:right="100" w:firstLine="647"/>
        <w:spacing w:after="0" w:line="251" w:lineRule="auto"/>
        <w:rPr>
          <w:sz w:val="20"/>
          <w:szCs w:val="20"/>
          <w:color w:val="auto"/>
        </w:rPr>
      </w:pPr>
      <w:r>
        <w:rPr>
          <w:rFonts w:ascii="Times New Roman" w:cs="Times New Roman" w:eastAsia="Times New Roman" w:hAnsi="Times New Roman"/>
          <w:sz w:val="20"/>
          <w:szCs w:val="20"/>
          <w:color w:val="auto"/>
        </w:rPr>
        <w:t>Covered Persons and their Related Persons may not trade in options, warrants, puts and calls or similar instruments on Company Securities or sell Company Securities “short.” Investing in Company Securities provides an opportunity to share in the future growth of the Company. Investment in the Company and sharing in the growth of the Company, however, does not mean short-range speculation based on fluctuations in the market. Such activities may put the personal gain of the Covered Person or Related Person in conflict with the best interests of the Company and its security-holders. Covered Persons and their Related Persons are also prohibited from participating in on-line chat rooms involving the Company, its business or its stock.</w:t>
      </w:r>
    </w:p>
    <w:p>
      <w:pPr>
        <w:spacing w:after="0" w:line="190" w:lineRule="exact"/>
        <w:rPr>
          <w:sz w:val="20"/>
          <w:szCs w:val="20"/>
          <w:color w:val="auto"/>
        </w:rPr>
      </w:pPr>
    </w:p>
    <w:p>
      <w:pPr>
        <w:jc w:val="both"/>
        <w:ind w:right="120" w:firstLine="647"/>
        <w:spacing w:after="0" w:line="269" w:lineRule="auto"/>
        <w:rPr>
          <w:sz w:val="20"/>
          <w:szCs w:val="20"/>
          <w:color w:val="auto"/>
        </w:rPr>
      </w:pPr>
      <w:r>
        <w:rPr>
          <w:rFonts w:ascii="Times New Roman" w:cs="Times New Roman" w:eastAsia="Times New Roman" w:hAnsi="Times New Roman"/>
          <w:sz w:val="20"/>
          <w:szCs w:val="20"/>
          <w:color w:val="auto"/>
        </w:rPr>
        <w:t>Anyone may, of course, exercise options granted to them by the Company and, subject to the restrictions discussed in this Policy and other applicable Company policies, sell shares acquired through exercise of options.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Margin Accounts and Pledges</w:t>
      </w:r>
    </w:p>
    <w:p>
      <w:pPr>
        <w:spacing w:after="0" w:line="216" w:lineRule="exact"/>
        <w:rPr>
          <w:sz w:val="20"/>
          <w:szCs w:val="20"/>
          <w:color w:val="auto"/>
        </w:rPr>
      </w:pPr>
    </w:p>
    <w:p>
      <w:pPr>
        <w:jc w:val="both"/>
        <w:ind w:right="100" w:firstLine="647"/>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Covered Persons and their Related Persons are prohibited from holding Company Securities in a margin account, nor may such persons pledge Company Securities as collateral for a loan. </w:t>
      </w:r>
      <w:r>
        <w:rPr>
          <w:rFonts w:ascii="Times New Roman" w:cs="Times New Roman" w:eastAsia="Times New Roman" w:hAnsi="Times New Roman"/>
          <w:sz w:val="20"/>
          <w:szCs w:val="20"/>
          <w:color w:val="auto"/>
        </w:rPr>
        <w:t>This is because Company Securities held in a margin account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pledged as collateral for a loan may be sold without your consent by the broker if you fail to meet a margin call or by the lender in foreclosure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140"/>
          </w:cols>
          <w:pgMar w:left="420" w:top="1071"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19.1</w:t>
      </w:r>
    </w:p>
    <w:p>
      <w:pPr>
        <w:spacing w:after="0" w:line="200" w:lineRule="exact"/>
        <w:rPr>
          <w:sz w:val="20"/>
          <w:szCs w:val="20"/>
          <w:color w:val="auto"/>
        </w:rPr>
      </w:pPr>
    </w:p>
    <w:p>
      <w:pPr>
        <w:spacing w:after="0" w:line="249" w:lineRule="exact"/>
        <w:rPr>
          <w:sz w:val="20"/>
          <w:szCs w:val="20"/>
          <w:color w:val="auto"/>
        </w:rPr>
      </w:pPr>
    </w:p>
    <w:p>
      <w:pPr>
        <w:jc w:val="both"/>
        <w:ind w:right="100"/>
        <w:spacing w:after="0" w:line="269" w:lineRule="auto"/>
        <w:rPr>
          <w:sz w:val="20"/>
          <w:szCs w:val="20"/>
          <w:color w:val="auto"/>
        </w:rPr>
      </w:pPr>
      <w:r>
        <w:rPr>
          <w:rFonts w:ascii="Times New Roman" w:cs="Times New Roman" w:eastAsia="Times New Roman" w:hAnsi="Times New Roman"/>
          <w:sz w:val="20"/>
          <w:szCs w:val="20"/>
          <w:color w:val="auto"/>
        </w:rPr>
        <w:t>if you default on the loan. A margin or foreclosure sale that occurs when you are aware of material nonpublic information may, under some circumstances, result in a violation of this Policy and may be considered to be unlawful insider trading.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Trading in Securities of Other Public Companies</w:t>
      </w:r>
    </w:p>
    <w:p>
      <w:pPr>
        <w:spacing w:after="0" w:line="220" w:lineRule="exact"/>
        <w:rPr>
          <w:sz w:val="20"/>
          <w:szCs w:val="20"/>
          <w:color w:val="auto"/>
        </w:rPr>
      </w:pPr>
    </w:p>
    <w:p>
      <w:pPr>
        <w:jc w:val="both"/>
        <w:ind w:right="120" w:firstLine="647"/>
        <w:spacing w:after="0" w:line="261" w:lineRule="auto"/>
        <w:rPr>
          <w:sz w:val="20"/>
          <w:szCs w:val="20"/>
          <w:color w:val="auto"/>
        </w:rPr>
      </w:pPr>
      <w:r>
        <w:rPr>
          <w:rFonts w:ascii="Times New Roman" w:cs="Times New Roman" w:eastAsia="Times New Roman" w:hAnsi="Times New Roman"/>
          <w:sz w:val="20"/>
          <w:szCs w:val="20"/>
          <w:color w:val="auto"/>
        </w:rPr>
        <w:t>No Covered Person or Related Person may place purchase or sell orders or recommend that another person place a purchase or sell order in the securities of another company if the person learns of material non-public information about the other company in the course of his or her service to, or employment with,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Quarterly Blackout Periods</w:t>
      </w:r>
    </w:p>
    <w:p>
      <w:pPr>
        <w:spacing w:after="0" w:line="233" w:lineRule="exact"/>
        <w:rPr>
          <w:sz w:val="20"/>
          <w:szCs w:val="20"/>
          <w:color w:val="auto"/>
        </w:rPr>
      </w:pPr>
    </w:p>
    <w:p>
      <w:pPr>
        <w:jc w:val="both"/>
        <w:ind w:right="100" w:firstLine="647"/>
        <w:spacing w:after="0" w:line="253" w:lineRule="auto"/>
        <w:rPr>
          <w:sz w:val="20"/>
          <w:szCs w:val="20"/>
          <w:color w:val="auto"/>
        </w:rPr>
      </w:pPr>
      <w:r>
        <w:rPr>
          <w:rFonts w:ascii="Times New Roman" w:cs="Times New Roman" w:eastAsia="Times New Roman" w:hAnsi="Times New Roman"/>
          <w:sz w:val="20"/>
          <w:szCs w:val="20"/>
          <w:color w:val="auto"/>
        </w:rPr>
        <w:t xml:space="preserve">The Company’s announcement of its quarterly financial results almost always has the potential to have a material effect on the market for Company Securities. Therefore, to avoid even the appearance of trading on the basis of material nonpublic information, Covered Persons and their Related Persons </w:t>
      </w:r>
      <w:r>
        <w:rPr>
          <w:rFonts w:ascii="Times New Roman" w:cs="Times New Roman" w:eastAsia="Times New Roman" w:hAnsi="Times New Roman"/>
          <w:sz w:val="20"/>
          <w:szCs w:val="20"/>
          <w:b w:val="1"/>
          <w:bCs w:val="1"/>
          <w:color w:val="auto"/>
        </w:rPr>
        <w:t>may not trade</w:t>
      </w:r>
      <w:r>
        <w:rPr>
          <w:rFonts w:ascii="Times New Roman" w:cs="Times New Roman" w:eastAsia="Times New Roman" w:hAnsi="Times New Roman"/>
          <w:sz w:val="20"/>
          <w:szCs w:val="20"/>
          <w:color w:val="auto"/>
        </w:rPr>
        <w:t xml:space="preserve"> in Company Securities during the period beginning after the close of the U.S. market on the fifteenth day of the third month of a fiscal quarter, and ending after the second full trading day following the release of the Company’s earnings for that quarter.</w:t>
      </w:r>
    </w:p>
    <w:p>
      <w:pPr>
        <w:spacing w:after="0" w:line="188" w:lineRule="exact"/>
        <w:rPr>
          <w:sz w:val="20"/>
          <w:szCs w:val="20"/>
          <w:color w:val="auto"/>
        </w:rPr>
      </w:pPr>
    </w:p>
    <w:p>
      <w:pPr>
        <w:jc w:val="both"/>
        <w:ind w:left="640" w:right="760" w:firstLine="648"/>
        <w:spacing w:after="0" w:line="251"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Event Specific Blackout</w:t>
      </w:r>
      <w:r>
        <w:rPr>
          <w:rFonts w:ascii="Times New Roman" w:cs="Times New Roman" w:eastAsia="Times New Roman" w:hAnsi="Times New Roman"/>
          <w:sz w:val="20"/>
          <w:szCs w:val="20"/>
          <w:color w:val="auto"/>
        </w:rPr>
        <w:t>. From time to time, an event may occur that is material to the Company and is known by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only a few persons. So long as the event remains material and nonpublic, the persons who are aware of the event, as well as other persons covered by the quarterly earnings blackout procedures, may not trade in Company Securities, as follows. The existence of an event-specific blackout will not be announced, other than to those who are aware of the event giving rise to the blackout. If, however, a person whose trades are subject to the advance discussion or pre-clearance procedures of this Policy requests permission to trade in Company Securities during an event-specific blackout, the Company’s General Counsel will inform the requesting person of the existence of a blackout period, without disclosing the reason for the blackout. Any person made aware of the existence of an event-specific blackout should not disclose the existence of the blackout to any other person. The failure of the Company’s General Counsel to designate a person as being subject to an event-specific blackout will not relieve that person of the obligation not to trade while aware of material nonpublic information.</w:t>
      </w:r>
    </w:p>
    <w:p>
      <w:pPr>
        <w:spacing w:after="0" w:line="203" w:lineRule="exact"/>
        <w:rPr>
          <w:sz w:val="20"/>
          <w:szCs w:val="20"/>
          <w:color w:val="auto"/>
        </w:rPr>
      </w:pPr>
    </w:p>
    <w:p>
      <w:pPr>
        <w:jc w:val="both"/>
        <w:ind w:left="640" w:right="760" w:firstLine="648"/>
        <w:spacing w:after="0" w:line="263"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SEC’s Regulation Blackout Trading Restrictions</w:t>
      </w:r>
      <w:r>
        <w:rPr>
          <w:rFonts w:ascii="Times New Roman" w:cs="Times New Roman" w:eastAsia="Times New Roman" w:hAnsi="Times New Roman"/>
          <w:sz w:val="20"/>
          <w:szCs w:val="20"/>
          <w:color w:val="auto"/>
        </w:rPr>
        <w:t>. Covered Persons and their Related Persons may also be subject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event-specific blackouts pursuant to the SEC’s regulation prohibiting certain sales and other transfers by insiders during certain pension plan blackout periods.</w:t>
      </w:r>
    </w:p>
    <w:p>
      <w:pPr>
        <w:spacing w:after="0" w:line="202" w:lineRule="exact"/>
        <w:rPr>
          <w:sz w:val="20"/>
          <w:szCs w:val="20"/>
          <w:color w:val="auto"/>
        </w:rPr>
      </w:pPr>
    </w:p>
    <w:p>
      <w:pPr>
        <w:ind w:right="580" w:firstLine="647"/>
        <w:spacing w:after="0" w:line="287" w:lineRule="auto"/>
        <w:rPr>
          <w:sz w:val="20"/>
          <w:szCs w:val="20"/>
          <w:color w:val="auto"/>
        </w:rPr>
      </w:pPr>
      <w:r>
        <w:rPr>
          <w:rFonts w:ascii="Times New Roman" w:cs="Times New Roman" w:eastAsia="Times New Roman" w:hAnsi="Times New Roman"/>
          <w:sz w:val="20"/>
          <w:szCs w:val="20"/>
          <w:b w:val="1"/>
          <w:bCs w:val="1"/>
          <w:color w:val="auto"/>
        </w:rPr>
        <w:t>Even if a blackout period is not in effect, you may NOT trade in Company Securities at anytime that you are aware of material nonpublic information about the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Pre-arranged Trading Plans</w:t>
      </w:r>
    </w:p>
    <w:p>
      <w:pPr>
        <w:spacing w:after="0" w:line="233" w:lineRule="exact"/>
        <w:rPr>
          <w:sz w:val="20"/>
          <w:szCs w:val="20"/>
          <w:color w:val="auto"/>
        </w:rPr>
      </w:pPr>
    </w:p>
    <w:p>
      <w:pPr>
        <w:jc w:val="both"/>
        <w:ind w:right="100" w:firstLine="647"/>
        <w:spacing w:after="0" w:line="253" w:lineRule="auto"/>
        <w:rPr>
          <w:sz w:val="20"/>
          <w:szCs w:val="20"/>
          <w:color w:val="auto"/>
        </w:rPr>
      </w:pPr>
      <w:r>
        <w:rPr>
          <w:rFonts w:ascii="Times New Roman" w:cs="Times New Roman" w:eastAsia="Times New Roman" w:hAnsi="Times New Roman"/>
          <w:sz w:val="20"/>
          <w:szCs w:val="20"/>
          <w:color w:val="auto"/>
        </w:rPr>
        <w:t>Rule 10b5-1(c) under the Securities Exchange Act of 1934, as amended, provides a defense from insider trading liability if trades occur pursuant to a pre-arranged “trading plan” that meets specified conditions. Under this rule, you may claim a defense to insider trading if you enter into a binding contract, an instruction or a written plan that specifies the amount(s), price(s) and date(s) on which securities are to be purchased or sold, and if these arrangements are established during an open window trading period and at a time when you are not otherwise prohibited from transacting in Company Securities. Arrangements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140"/>
          </w:cols>
          <w:pgMar w:left="420" w:top="1071"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19.1</w:t>
      </w:r>
    </w:p>
    <w:p>
      <w:pPr>
        <w:spacing w:after="0" w:line="200" w:lineRule="exact"/>
        <w:rPr>
          <w:sz w:val="20"/>
          <w:szCs w:val="20"/>
          <w:color w:val="auto"/>
        </w:rPr>
      </w:pPr>
    </w:p>
    <w:p>
      <w:pPr>
        <w:spacing w:after="0" w:line="236"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color w:val="auto"/>
        </w:rPr>
        <w:t>under the rule may specify the amount(s), price(s) and date(s) through a formula or may specify trading parameters that another person has discretion to administer, but you must not exercise any subsequent discretion affecting the transactions, and if your broker or any other person exercises discretion in implementing the trades, you must not influence his or her actions and he or she must not possess any material non-public information at the time of the trades. Trading plans can be established for a single trade or a series of trades.</w:t>
      </w:r>
    </w:p>
    <w:p>
      <w:pPr>
        <w:spacing w:after="0" w:line="186" w:lineRule="exact"/>
        <w:rPr>
          <w:sz w:val="20"/>
          <w:szCs w:val="20"/>
          <w:color w:val="auto"/>
        </w:rPr>
      </w:pPr>
    </w:p>
    <w:p>
      <w:pPr>
        <w:jc w:val="both"/>
        <w:ind w:right="100" w:firstLine="647"/>
        <w:spacing w:after="0" w:line="269" w:lineRule="auto"/>
        <w:rPr>
          <w:sz w:val="20"/>
          <w:szCs w:val="20"/>
          <w:color w:val="auto"/>
        </w:rPr>
      </w:pPr>
      <w:r>
        <w:rPr>
          <w:rFonts w:ascii="Times New Roman" w:cs="Times New Roman" w:eastAsia="Times New Roman" w:hAnsi="Times New Roman"/>
          <w:sz w:val="19"/>
          <w:szCs w:val="19"/>
          <w:color w:val="auto"/>
        </w:rPr>
        <w:t>It is important that you document the details of a trading plan properly. Please note that, in addition to the requirements of a trading plan described above, there are a number of additional procedural conditions to Rule 10b5-1(c) that must be satisfied before you can rely on a trading plan as an affirmative defense against an insider trading charge. These requirements include that you act in good faith, that you not modify your trading instructions while you possess material non-public information and that you not enter into a corresponding or hedging transaction or position. Because this rule is complex, the Company recommends that you work with a broker and the Company’s General Counsel and be sure you fully understand the limitations and conditions of the rule before you establish a trading plan.</w:t>
      </w:r>
    </w:p>
    <w:p>
      <w:pPr>
        <w:spacing w:after="0" w:line="164" w:lineRule="exact"/>
        <w:rPr>
          <w:sz w:val="20"/>
          <w:szCs w:val="20"/>
          <w:color w:val="auto"/>
        </w:rPr>
      </w:pPr>
    </w:p>
    <w:p>
      <w:pPr>
        <w:jc w:val="both"/>
        <w:ind w:right="120" w:firstLine="647"/>
        <w:spacing w:after="0" w:line="261" w:lineRule="auto"/>
        <w:rPr>
          <w:sz w:val="20"/>
          <w:szCs w:val="20"/>
          <w:color w:val="auto"/>
        </w:rPr>
      </w:pPr>
      <w:r>
        <w:rPr>
          <w:rFonts w:ascii="Times New Roman" w:cs="Times New Roman" w:eastAsia="Times New Roman" w:hAnsi="Times New Roman"/>
          <w:sz w:val="20"/>
          <w:szCs w:val="20"/>
          <w:color w:val="auto"/>
        </w:rPr>
        <w:t>All trading plans must be reviewed and acknowledged by the Company’s General Counsel before they are implemented. All such plans must be entered into during an open window trading period and at a time which the Covered Person is not otherwise prohibited from transacting in Company Securities.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 Circumvention</w:t>
      </w:r>
    </w:p>
    <w:p>
      <w:pPr>
        <w:spacing w:after="0" w:line="233" w:lineRule="exact"/>
        <w:rPr>
          <w:sz w:val="20"/>
          <w:szCs w:val="20"/>
          <w:color w:val="auto"/>
        </w:rPr>
      </w:pPr>
    </w:p>
    <w:p>
      <w:pPr>
        <w:jc w:val="both"/>
        <w:ind w:right="100" w:firstLine="647"/>
        <w:spacing w:after="0" w:line="261" w:lineRule="auto"/>
        <w:rPr>
          <w:sz w:val="20"/>
          <w:szCs w:val="20"/>
          <w:color w:val="auto"/>
        </w:rPr>
      </w:pPr>
      <w:r>
        <w:rPr>
          <w:rFonts w:ascii="Times New Roman" w:cs="Times New Roman" w:eastAsia="Times New Roman" w:hAnsi="Times New Roman"/>
          <w:sz w:val="20"/>
          <w:szCs w:val="20"/>
          <w:color w:val="auto"/>
        </w:rPr>
        <w:t>No circumvention of this Policy is permitted. Do not try to accomplish indirectly what is prohibited directly by this Policy and federal and state securities laws. The short-term benefits to an individual cannot outweigh the potential liability that may result when an individual is involved in the illegal trading of securities.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 Exception for Hardship</w:t>
      </w:r>
    </w:p>
    <w:p>
      <w:pPr>
        <w:spacing w:after="0" w:line="220" w:lineRule="exact"/>
        <w:rPr>
          <w:sz w:val="20"/>
          <w:szCs w:val="20"/>
          <w:color w:val="auto"/>
        </w:rPr>
      </w:pPr>
    </w:p>
    <w:p>
      <w:pPr>
        <w:jc w:val="both"/>
        <w:ind w:right="120" w:firstLine="647"/>
        <w:spacing w:after="0" w:line="283" w:lineRule="auto"/>
        <w:rPr>
          <w:sz w:val="20"/>
          <w:szCs w:val="20"/>
          <w:color w:val="auto"/>
        </w:rPr>
      </w:pPr>
      <w:r>
        <w:rPr>
          <w:rFonts w:ascii="Times New Roman" w:cs="Times New Roman" w:eastAsia="Times New Roman" w:hAnsi="Times New Roman"/>
          <w:sz w:val="20"/>
          <w:szCs w:val="20"/>
          <w:color w:val="auto"/>
        </w:rPr>
        <w:t>The existence of a personal financial emergency does not excuse you from compliance with this Policy and federal and state securities laws.</w:t>
      </w:r>
    </w:p>
    <w:p>
      <w:pPr>
        <w:spacing w:after="0" w:line="15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Penalties for Insider Trading</w:t>
      </w:r>
    </w:p>
    <w:p>
      <w:pPr>
        <w:spacing w:after="0" w:line="269" w:lineRule="exact"/>
        <w:rPr>
          <w:sz w:val="20"/>
          <w:szCs w:val="20"/>
          <w:color w:val="auto"/>
        </w:rPr>
      </w:pPr>
    </w:p>
    <w:p>
      <w:pPr>
        <w:jc w:val="both"/>
        <w:ind w:right="100" w:firstLine="647"/>
        <w:spacing w:after="0" w:line="261" w:lineRule="auto"/>
        <w:rPr>
          <w:sz w:val="20"/>
          <w:szCs w:val="20"/>
          <w:color w:val="auto"/>
        </w:rPr>
      </w:pPr>
      <w:r>
        <w:rPr>
          <w:rFonts w:ascii="Times New Roman" w:cs="Times New Roman" w:eastAsia="Times New Roman" w:hAnsi="Times New Roman"/>
          <w:sz w:val="20"/>
          <w:szCs w:val="20"/>
          <w:color w:val="auto"/>
        </w:rPr>
        <w:t>Penalties for trading on or communicating material non-public information are severe, both for individuals involved in such unlawful conduct and their employers. A person can be subject to some or all of the penalties below even if he or she does not personally benefit from the violation. Penalties include:</w:t>
      </w:r>
    </w:p>
    <w:p>
      <w:pPr>
        <w:spacing w:after="0" w:line="181" w:lineRule="exact"/>
        <w:rPr>
          <w:sz w:val="20"/>
          <w:szCs w:val="20"/>
          <w:color w:val="auto"/>
        </w:rPr>
      </w:pPr>
    </w:p>
    <w:p>
      <w:pPr>
        <w:ind w:left="960" w:hanging="314"/>
        <w:spacing w:after="0"/>
        <w:tabs>
          <w:tab w:leader="none" w:pos="9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jail sentences of up to 20 years;</w:t>
      </w:r>
    </w:p>
    <w:p>
      <w:pPr>
        <w:spacing w:after="0" w:line="107" w:lineRule="exact"/>
        <w:rPr>
          <w:rFonts w:ascii="Times New Roman" w:cs="Times New Roman" w:eastAsia="Times New Roman" w:hAnsi="Times New Roman"/>
          <w:sz w:val="20"/>
          <w:szCs w:val="20"/>
          <w:color w:val="auto"/>
        </w:rPr>
      </w:pPr>
    </w:p>
    <w:p>
      <w:pPr>
        <w:ind w:left="960" w:right="180" w:hanging="314"/>
        <w:spacing w:after="0" w:line="283" w:lineRule="auto"/>
        <w:tabs>
          <w:tab w:leader="none" w:pos="94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criminal fines (no matter how small the profit) of up to $5,000,000 plus, in the case of entities only, a criminal penalty of up to $25,000,000;</w:t>
      </w:r>
    </w:p>
    <w:p>
      <w:pPr>
        <w:spacing w:after="0" w:line="38" w:lineRule="exact"/>
        <w:rPr>
          <w:rFonts w:ascii="Times New Roman" w:cs="Times New Roman" w:eastAsia="Times New Roman" w:hAnsi="Times New Roman"/>
          <w:sz w:val="20"/>
          <w:szCs w:val="20"/>
          <w:color w:val="auto"/>
        </w:rPr>
      </w:pPr>
    </w:p>
    <w:p>
      <w:pPr>
        <w:ind w:left="960" w:right="180" w:hanging="314"/>
        <w:spacing w:after="0" w:line="283" w:lineRule="auto"/>
        <w:tabs>
          <w:tab w:leader="none" w:pos="94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civil fines for the person who committed the violation of up to three times the profit gained or loss avoided, whether or not the person actually benefited;</w:t>
      </w:r>
    </w:p>
    <w:p>
      <w:pPr>
        <w:spacing w:after="0" w:line="51" w:lineRule="exact"/>
        <w:rPr>
          <w:rFonts w:ascii="Times New Roman" w:cs="Times New Roman" w:eastAsia="Times New Roman" w:hAnsi="Times New Roman"/>
          <w:sz w:val="20"/>
          <w:szCs w:val="20"/>
          <w:color w:val="auto"/>
        </w:rPr>
      </w:pPr>
    </w:p>
    <w:p>
      <w:pPr>
        <w:ind w:left="960" w:right="300" w:hanging="314"/>
        <w:spacing w:after="0" w:line="269" w:lineRule="auto"/>
        <w:tabs>
          <w:tab w:leader="none" w:pos="94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fines for the employer or other controlling/supervisory person of up to the greater of $1,000,000 or three times the amount of the profit gained or loss avoided;</w:t>
      </w:r>
    </w:p>
    <w:p>
      <w:pPr>
        <w:spacing w:after="0" w:line="64" w:lineRule="exact"/>
        <w:rPr>
          <w:rFonts w:ascii="Times New Roman" w:cs="Times New Roman" w:eastAsia="Times New Roman" w:hAnsi="Times New Roman"/>
          <w:sz w:val="20"/>
          <w:szCs w:val="20"/>
          <w:color w:val="auto"/>
        </w:rPr>
      </w:pPr>
    </w:p>
    <w:p>
      <w:pPr>
        <w:ind w:left="960" w:hanging="314"/>
        <w:spacing w:after="0"/>
        <w:tabs>
          <w:tab w:leader="none" w:pos="9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disgorgement of profits, including reasonable interest;</w:t>
      </w:r>
    </w:p>
    <w:p>
      <w:pPr>
        <w:spacing w:after="0" w:line="107" w:lineRule="exact"/>
        <w:rPr>
          <w:rFonts w:ascii="Times New Roman" w:cs="Times New Roman" w:eastAsia="Times New Roman" w:hAnsi="Times New Roman"/>
          <w:sz w:val="20"/>
          <w:szCs w:val="20"/>
          <w:color w:val="auto"/>
        </w:rPr>
      </w:pPr>
    </w:p>
    <w:p>
      <w:pPr>
        <w:ind w:left="960" w:hanging="314"/>
        <w:spacing w:after="0"/>
        <w:tabs>
          <w:tab w:leader="none" w:pos="9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civil injunctions; and</w:t>
      </w:r>
    </w:p>
    <w:p>
      <w:pPr>
        <w:spacing w:after="0" w:line="121" w:lineRule="exact"/>
        <w:rPr>
          <w:rFonts w:ascii="Times New Roman" w:cs="Times New Roman" w:eastAsia="Times New Roman" w:hAnsi="Times New Roman"/>
          <w:sz w:val="20"/>
          <w:szCs w:val="20"/>
          <w:color w:val="auto"/>
        </w:rPr>
      </w:pPr>
    </w:p>
    <w:p>
      <w:pPr>
        <w:ind w:left="960" w:hanging="314"/>
        <w:spacing w:after="0"/>
        <w:tabs>
          <w:tab w:leader="none" w:pos="9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treble damages;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140"/>
          </w:cols>
          <w:pgMar w:left="420" w:top="1071"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19.1</w:t>
      </w:r>
    </w:p>
    <w:p>
      <w:pPr>
        <w:spacing w:after="0" w:line="200" w:lineRule="exact"/>
        <w:rPr>
          <w:sz w:val="20"/>
          <w:szCs w:val="20"/>
          <w:color w:val="auto"/>
        </w:rPr>
      </w:pPr>
    </w:p>
    <w:p>
      <w:pPr>
        <w:spacing w:after="0" w:line="249" w:lineRule="exact"/>
        <w:rPr>
          <w:sz w:val="20"/>
          <w:szCs w:val="20"/>
          <w:color w:val="auto"/>
        </w:rPr>
      </w:pPr>
    </w:p>
    <w:p>
      <w:pPr>
        <w:jc w:val="both"/>
        <w:ind w:right="120" w:firstLine="647"/>
        <w:spacing w:after="0" w:line="283" w:lineRule="auto"/>
        <w:rPr>
          <w:sz w:val="20"/>
          <w:szCs w:val="20"/>
          <w:color w:val="auto"/>
        </w:rPr>
      </w:pPr>
      <w:r>
        <w:rPr>
          <w:rFonts w:ascii="Times New Roman" w:cs="Times New Roman" w:eastAsia="Times New Roman" w:hAnsi="Times New Roman"/>
          <w:sz w:val="20"/>
          <w:szCs w:val="20"/>
          <w:color w:val="auto"/>
        </w:rPr>
        <w:t>In addition, any violation of this Policy can be expected to result in serious sanctions by the Company, including dismissal of the persons involved.</w:t>
      </w:r>
    </w:p>
    <w:p>
      <w:pPr>
        <w:spacing w:after="0" w:line="15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Acknowledgment</w:t>
      </w:r>
    </w:p>
    <w:p>
      <w:pPr>
        <w:spacing w:after="0" w:line="242" w:lineRule="exact"/>
        <w:rPr>
          <w:sz w:val="20"/>
          <w:szCs w:val="20"/>
          <w:color w:val="auto"/>
        </w:rPr>
      </w:pPr>
    </w:p>
    <w:p>
      <w:pPr>
        <w:jc w:val="both"/>
        <w:ind w:right="100" w:firstLine="647"/>
        <w:spacing w:after="0" w:line="269" w:lineRule="auto"/>
        <w:rPr>
          <w:sz w:val="20"/>
          <w:szCs w:val="20"/>
          <w:color w:val="auto"/>
        </w:rPr>
      </w:pPr>
      <w:r>
        <w:rPr>
          <w:rFonts w:ascii="Times New Roman" w:cs="Times New Roman" w:eastAsia="Times New Roman" w:hAnsi="Times New Roman"/>
          <w:sz w:val="20"/>
          <w:szCs w:val="20"/>
          <w:color w:val="auto"/>
        </w:rPr>
        <w:t xml:space="preserve">All employees and Covered Persons must certify in writing that they have read and intend to comply with the procedures set forth in this Policy. See </w:t>
      </w:r>
      <w:r>
        <w:rPr>
          <w:rFonts w:ascii="Times New Roman" w:cs="Times New Roman" w:eastAsia="Times New Roman" w:hAnsi="Times New Roman"/>
          <w:sz w:val="20"/>
          <w:szCs w:val="20"/>
          <w:u w:val="single" w:color="auto"/>
          <w:color w:val="auto"/>
        </w:rPr>
        <w:t>Annex C</w:t>
      </w:r>
      <w:r>
        <w:rPr>
          <w:rFonts w:ascii="Times New Roman" w:cs="Times New Roman" w:eastAsia="Times New Roman" w:hAnsi="Times New Roman"/>
          <w:sz w:val="20"/>
          <w:szCs w:val="20"/>
          <w:color w:val="auto"/>
        </w:rPr>
        <w:t>.</w:t>
      </w:r>
    </w:p>
    <w:p>
      <w:pPr>
        <w:spacing w:after="0" w:line="16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Amendment; Waivers</w:t>
      </w:r>
    </w:p>
    <w:p>
      <w:pPr>
        <w:spacing w:after="0" w:line="269" w:lineRule="exact"/>
        <w:rPr>
          <w:sz w:val="20"/>
          <w:szCs w:val="20"/>
          <w:color w:val="auto"/>
        </w:rPr>
      </w:pPr>
    </w:p>
    <w:p>
      <w:pPr>
        <w:jc w:val="both"/>
        <w:ind w:right="100" w:firstLine="647"/>
        <w:spacing w:after="0" w:line="261" w:lineRule="auto"/>
        <w:rPr>
          <w:sz w:val="20"/>
          <w:szCs w:val="20"/>
          <w:color w:val="auto"/>
        </w:rPr>
      </w:pPr>
      <w:r>
        <w:rPr>
          <w:rFonts w:ascii="Times New Roman" w:cs="Times New Roman" w:eastAsia="Times New Roman" w:hAnsi="Times New Roman"/>
          <w:sz w:val="20"/>
          <w:szCs w:val="20"/>
          <w:color w:val="auto"/>
        </w:rPr>
        <w:t>The Board of Directors of the Company, by itself or through its Corporate Governance and Nominating Committee reserves the right to amend this Policy at any time and to grant a waiver of this Policy but only on a case-by-case basis, and then only under special circumstances.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140"/>
          </w:cols>
          <w:pgMar w:left="420" w:top="1071"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19.1</w:t>
      </w:r>
    </w:p>
    <w:p>
      <w:pPr>
        <w:spacing w:after="0" w:line="30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ANNEX A</w:t>
      </w:r>
    </w:p>
    <w:p>
      <w:pPr>
        <w:spacing w:after="0" w:line="2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COVERED PERSONS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Section 16 Reporting Persons</w:t>
      </w:r>
    </w:p>
    <w:p>
      <w:pPr>
        <w:spacing w:after="0" w:line="32" w:lineRule="exact"/>
        <w:rPr>
          <w:sz w:val="20"/>
          <w:szCs w:val="20"/>
          <w:color w:val="auto"/>
        </w:rPr>
      </w:pPr>
    </w:p>
    <w:p>
      <w:pPr>
        <w:ind w:left="640" w:hanging="318"/>
        <w:spacing w:after="0"/>
        <w:tabs>
          <w:tab w:leader="none" w:pos="6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Members of the Board of Directors of the Company</w:t>
      </w:r>
    </w:p>
    <w:p>
      <w:pPr>
        <w:spacing w:after="0" w:line="227" w:lineRule="exact"/>
        <w:rPr>
          <w:rFonts w:ascii="Times New Roman" w:cs="Times New Roman" w:eastAsia="Times New Roman" w:hAnsi="Times New Roman"/>
          <w:sz w:val="20"/>
          <w:szCs w:val="20"/>
          <w:color w:val="auto"/>
        </w:rPr>
      </w:pPr>
    </w:p>
    <w:p>
      <w:pPr>
        <w:ind w:left="640" w:hanging="318"/>
        <w:spacing w:after="0"/>
        <w:tabs>
          <w:tab w:leader="none" w:pos="6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Executive Officers of the Company</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Non-Section 16 Reporting Persons</w:t>
      </w:r>
    </w:p>
    <w:p>
      <w:pPr>
        <w:spacing w:after="0" w:line="26" w:lineRule="exact"/>
        <w:rPr>
          <w:sz w:val="20"/>
          <w:szCs w:val="20"/>
          <w:color w:val="auto"/>
        </w:rPr>
      </w:pPr>
    </w:p>
    <w:p>
      <w:pPr>
        <w:ind w:left="640" w:hanging="318"/>
        <w:spacing w:after="0"/>
        <w:tabs>
          <w:tab w:leader="none" w:pos="6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Senior Vice Presidents of the Company who are </w:t>
      </w:r>
      <w:r>
        <w:rPr>
          <w:rFonts w:ascii="Times New Roman" w:cs="Times New Roman" w:eastAsia="Times New Roman" w:hAnsi="Times New Roman"/>
          <w:sz w:val="20"/>
          <w:szCs w:val="20"/>
          <w:b w:val="1"/>
          <w:bCs w:val="1"/>
          <w:color w:val="auto"/>
        </w:rPr>
        <w:t>NOT</w:t>
      </w:r>
      <w:r>
        <w:rPr>
          <w:rFonts w:ascii="Times New Roman" w:cs="Times New Roman" w:eastAsia="Times New Roman" w:hAnsi="Times New Roman"/>
          <w:sz w:val="20"/>
          <w:szCs w:val="20"/>
          <w:color w:val="auto"/>
        </w:rPr>
        <w:t xml:space="preserve"> Section 16 Reporting Persons</w:t>
      </w:r>
    </w:p>
    <w:p>
      <w:pPr>
        <w:spacing w:after="0" w:line="220" w:lineRule="exact"/>
        <w:rPr>
          <w:rFonts w:ascii="Times New Roman" w:cs="Times New Roman" w:eastAsia="Times New Roman" w:hAnsi="Times New Roman"/>
          <w:sz w:val="20"/>
          <w:szCs w:val="20"/>
          <w:color w:val="auto"/>
        </w:rPr>
      </w:pPr>
    </w:p>
    <w:p>
      <w:pPr>
        <w:ind w:left="640" w:hanging="318"/>
        <w:spacing w:after="0"/>
        <w:tabs>
          <w:tab w:leader="none" w:pos="6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Vice Presidents of the Company in the following departments or functions:</w:t>
      </w:r>
    </w:p>
    <w:p>
      <w:pPr>
        <w:spacing w:after="0" w:line="21" w:lineRule="exact"/>
        <w:rPr>
          <w:rFonts w:ascii="Times New Roman" w:cs="Times New Roman" w:eastAsia="Times New Roman" w:hAnsi="Times New Roman"/>
          <w:sz w:val="20"/>
          <w:szCs w:val="20"/>
          <w:color w:val="auto"/>
        </w:rPr>
      </w:pPr>
    </w:p>
    <w:p>
      <w:pPr>
        <w:ind w:left="960" w:hanging="314"/>
        <w:spacing w:after="0"/>
        <w:tabs>
          <w:tab w:leader="none" w:pos="96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Accounting</w:t>
      </w:r>
    </w:p>
    <w:p>
      <w:pPr>
        <w:spacing w:after="0" w:line="6" w:lineRule="exact"/>
        <w:rPr>
          <w:rFonts w:ascii="Times New Roman" w:cs="Times New Roman" w:eastAsia="Times New Roman" w:hAnsi="Times New Roman"/>
          <w:sz w:val="20"/>
          <w:szCs w:val="20"/>
          <w:color w:val="auto"/>
        </w:rPr>
      </w:pPr>
    </w:p>
    <w:p>
      <w:pPr>
        <w:ind w:left="960" w:hanging="314"/>
        <w:spacing w:after="0"/>
        <w:tabs>
          <w:tab w:leader="none" w:pos="96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Communications</w:t>
      </w:r>
    </w:p>
    <w:p>
      <w:pPr>
        <w:spacing w:after="0" w:line="13" w:lineRule="exact"/>
        <w:rPr>
          <w:rFonts w:ascii="Times New Roman" w:cs="Times New Roman" w:eastAsia="Times New Roman" w:hAnsi="Times New Roman"/>
          <w:sz w:val="20"/>
          <w:szCs w:val="20"/>
          <w:color w:val="auto"/>
        </w:rPr>
      </w:pPr>
    </w:p>
    <w:p>
      <w:pPr>
        <w:ind w:left="960" w:hanging="314"/>
        <w:spacing w:after="0"/>
        <w:tabs>
          <w:tab w:leader="none" w:pos="96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Finance/Treasury</w:t>
      </w:r>
    </w:p>
    <w:p>
      <w:pPr>
        <w:spacing w:after="0" w:line="13" w:lineRule="exact"/>
        <w:rPr>
          <w:rFonts w:ascii="Times New Roman" w:cs="Times New Roman" w:eastAsia="Times New Roman" w:hAnsi="Times New Roman"/>
          <w:sz w:val="20"/>
          <w:szCs w:val="20"/>
          <w:color w:val="auto"/>
        </w:rPr>
      </w:pPr>
    </w:p>
    <w:p>
      <w:pPr>
        <w:ind w:left="960" w:hanging="314"/>
        <w:spacing w:after="0"/>
        <w:tabs>
          <w:tab w:leader="none" w:pos="96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Planning</w:t>
      </w:r>
    </w:p>
    <w:p>
      <w:pPr>
        <w:spacing w:after="0" w:line="13" w:lineRule="exact"/>
        <w:rPr>
          <w:rFonts w:ascii="Times New Roman" w:cs="Times New Roman" w:eastAsia="Times New Roman" w:hAnsi="Times New Roman"/>
          <w:sz w:val="20"/>
          <w:szCs w:val="20"/>
          <w:color w:val="auto"/>
        </w:rPr>
      </w:pPr>
    </w:p>
    <w:p>
      <w:pPr>
        <w:ind w:left="960" w:hanging="314"/>
        <w:spacing w:after="0"/>
        <w:tabs>
          <w:tab w:leader="none" w:pos="96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Reporting</w:t>
      </w:r>
    </w:p>
    <w:p>
      <w:pPr>
        <w:spacing w:after="0" w:line="13" w:lineRule="exact"/>
        <w:rPr>
          <w:rFonts w:ascii="Times New Roman" w:cs="Times New Roman" w:eastAsia="Times New Roman" w:hAnsi="Times New Roman"/>
          <w:sz w:val="20"/>
          <w:szCs w:val="20"/>
          <w:color w:val="auto"/>
        </w:rPr>
      </w:pPr>
    </w:p>
    <w:p>
      <w:pPr>
        <w:ind w:left="960" w:hanging="314"/>
        <w:spacing w:after="0"/>
        <w:tabs>
          <w:tab w:leader="none" w:pos="96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Internal Audit</w:t>
      </w:r>
    </w:p>
    <w:p>
      <w:pPr>
        <w:spacing w:after="0" w:line="13" w:lineRule="exact"/>
        <w:rPr>
          <w:rFonts w:ascii="Times New Roman" w:cs="Times New Roman" w:eastAsia="Times New Roman" w:hAnsi="Times New Roman"/>
          <w:sz w:val="20"/>
          <w:szCs w:val="20"/>
          <w:color w:val="auto"/>
        </w:rPr>
      </w:pPr>
    </w:p>
    <w:p>
      <w:pPr>
        <w:ind w:left="960" w:hanging="314"/>
        <w:spacing w:after="0"/>
        <w:tabs>
          <w:tab w:leader="none" w:pos="96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Relations</w:t>
      </w:r>
    </w:p>
    <w:p>
      <w:pPr>
        <w:spacing w:after="0" w:line="13" w:lineRule="exact"/>
        <w:rPr>
          <w:rFonts w:ascii="Times New Roman" w:cs="Times New Roman" w:eastAsia="Times New Roman" w:hAnsi="Times New Roman"/>
          <w:sz w:val="20"/>
          <w:szCs w:val="20"/>
          <w:color w:val="auto"/>
        </w:rPr>
      </w:pPr>
    </w:p>
    <w:p>
      <w:pPr>
        <w:ind w:left="960" w:hanging="314"/>
        <w:spacing w:after="0"/>
        <w:tabs>
          <w:tab w:leader="none" w:pos="96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Legal</w:t>
      </w:r>
    </w:p>
    <w:p>
      <w:pPr>
        <w:spacing w:after="0" w:line="13" w:lineRule="exact"/>
        <w:rPr>
          <w:rFonts w:ascii="Times New Roman" w:cs="Times New Roman" w:eastAsia="Times New Roman" w:hAnsi="Times New Roman"/>
          <w:sz w:val="20"/>
          <w:szCs w:val="20"/>
          <w:color w:val="auto"/>
        </w:rPr>
      </w:pPr>
    </w:p>
    <w:p>
      <w:pPr>
        <w:ind w:left="960" w:hanging="314"/>
        <w:spacing w:after="0"/>
        <w:tabs>
          <w:tab w:leader="none" w:pos="96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Strategy/Corporate Development</w:t>
      </w:r>
    </w:p>
    <w:p>
      <w:pPr>
        <w:spacing w:after="0" w:line="213" w:lineRule="exact"/>
        <w:rPr>
          <w:rFonts w:ascii="Times New Roman" w:cs="Times New Roman" w:eastAsia="Times New Roman" w:hAnsi="Times New Roman"/>
          <w:sz w:val="20"/>
          <w:szCs w:val="20"/>
          <w:color w:val="auto"/>
        </w:rPr>
      </w:pPr>
    </w:p>
    <w:p>
      <w:pPr>
        <w:jc w:val="both"/>
        <w:ind w:left="640" w:right="100" w:hanging="318"/>
        <w:spacing w:after="0" w:line="261" w:lineRule="auto"/>
        <w:tabs>
          <w:tab w:leader="none" w:pos="63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Managers and above of such above-referenced departments, plus such other members of the above-referenced departments as may be designated by the Company’s General Counsel or Chief Financial Officer from time to time because such other members’ work with or who otherwise have regular access to Company material non-public financial information.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A-1</w:t>
      </w:r>
    </w:p>
    <w:p>
      <w:pPr>
        <w:sectPr>
          <w:pgSz w:w="11900" w:h="16838" w:orient="portrait"/>
          <w:cols w:equalWidth="0" w:num="1">
            <w:col w:w="11140"/>
          </w:cols>
          <w:pgMar w:left="420" w:top="1071"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19.1</w:t>
      </w:r>
    </w:p>
    <w:p>
      <w:pPr>
        <w:spacing w:after="0" w:line="30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ANNEX B</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Pre-Trading Clearance and Certification Form</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For All Covered Persons who are </w:t>
      </w:r>
      <w:r>
        <w:rPr>
          <w:rFonts w:ascii="Times New Roman" w:cs="Times New Roman" w:eastAsia="Times New Roman" w:hAnsi="Times New Roman"/>
          <w:sz w:val="22"/>
          <w:szCs w:val="22"/>
          <w:b w:val="1"/>
          <w:bCs w:val="1"/>
          <w:i w:val="1"/>
          <w:iCs w:val="1"/>
          <w:u w:val="single" w:color="auto"/>
          <w:color w:val="auto"/>
        </w:rPr>
        <w:t>NOT</w:t>
      </w:r>
      <w:r>
        <w:rPr>
          <w:rFonts w:ascii="Times New Roman" w:cs="Times New Roman" w:eastAsia="Times New Roman" w:hAnsi="Times New Roman"/>
          <w:sz w:val="22"/>
          <w:szCs w:val="22"/>
          <w:i w:val="1"/>
          <w:iCs w:val="1"/>
          <w:color w:val="auto"/>
        </w:rPr>
        <w:t xml:space="preserve"> Section 16 Reporting Persons</w:t>
      </w:r>
    </w:p>
    <w:p>
      <w:pPr>
        <w:spacing w:after="0" w:line="200" w:lineRule="exact"/>
        <w:rPr>
          <w:sz w:val="20"/>
          <w:szCs w:val="20"/>
          <w:color w:val="auto"/>
        </w:rPr>
      </w:pPr>
    </w:p>
    <w:p>
      <w:pPr>
        <w:spacing w:after="0" w:line="269"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21"/>
          <w:szCs w:val="21"/>
          <w:color w:val="auto"/>
        </w:rPr>
        <w:t>I desire to make a trade or trades in securities of Universal Electronics Inc. (“the Company”). I hereby certify that I have read and understand the Company’s Insider Trading Policy and I am not in possession of any material non-public information concerning the Company nor am I otherwise prohibited from transacting in the Company’s securities. I intend to execute this transaction within the time frame and in the manner set forth in your email to me or pursuant to a 10b5-1 Trading Plan. If I effect my trade via a limit order, I will place an end date on the order to coincide with the end date of my trading authorization, subject to the terms of any 10b5-1 Trading Plan. I further understand that I must obtain clearance if the transaction(s) does not take place within that time frame or if I do not enter into a 10b5-1 Trading Plan within that time frame.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For All Covered Persons who </w:t>
      </w:r>
      <w:r>
        <w:rPr>
          <w:rFonts w:ascii="Times New Roman" w:cs="Times New Roman" w:eastAsia="Times New Roman" w:hAnsi="Times New Roman"/>
          <w:sz w:val="22"/>
          <w:szCs w:val="22"/>
          <w:b w:val="1"/>
          <w:bCs w:val="1"/>
          <w:i w:val="1"/>
          <w:iCs w:val="1"/>
          <w:u w:val="single" w:color="auto"/>
          <w:color w:val="auto"/>
        </w:rPr>
        <w:t>ARE</w:t>
      </w:r>
      <w:r>
        <w:rPr>
          <w:rFonts w:ascii="Times New Roman" w:cs="Times New Roman" w:eastAsia="Times New Roman" w:hAnsi="Times New Roman"/>
          <w:sz w:val="22"/>
          <w:szCs w:val="22"/>
          <w:i w:val="1"/>
          <w:iCs w:val="1"/>
          <w:color w:val="auto"/>
        </w:rPr>
        <w:t xml:space="preserve"> Section 16 Reporting Persons</w:t>
      </w:r>
    </w:p>
    <w:p>
      <w:pPr>
        <w:spacing w:after="0" w:line="239" w:lineRule="exact"/>
        <w:rPr>
          <w:sz w:val="20"/>
          <w:szCs w:val="20"/>
          <w:color w:val="auto"/>
        </w:rPr>
      </w:pPr>
    </w:p>
    <w:p>
      <w:pPr>
        <w:jc w:val="both"/>
        <w:ind w:right="100" w:firstLine="647"/>
        <w:spacing w:after="0" w:line="248" w:lineRule="auto"/>
        <w:rPr>
          <w:sz w:val="20"/>
          <w:szCs w:val="20"/>
          <w:color w:val="auto"/>
        </w:rPr>
      </w:pPr>
      <w:r>
        <w:rPr>
          <w:rFonts w:ascii="Times New Roman" w:cs="Times New Roman" w:eastAsia="Times New Roman" w:hAnsi="Times New Roman"/>
          <w:sz w:val="22"/>
          <w:szCs w:val="22"/>
          <w:color w:val="auto"/>
        </w:rPr>
        <w:t>I desire to transact in securities of Universal Electronics Inc. (“the Company”). I hereby certify that I have read and understand the Company’s Insider Trading Policy and I am not in possession of any material non-public information concerning the Company nor am I otherwise prohibited from transacting in the Company’s securities. I intend to execute this transaction within the time frame and in the manner set forth in your email to me or pursuant to a 10b5-1 Trading Plan. If I effect my trade via a limit order, I will place an end date on the order to coincide with the end date of my trading authorization, subject to the terms of any 10b5-1 Trading Plan. I further understand that I must obtain clearance if the transaction(s) does not take place within that time or if I do not enter into a 10b5-1 Trading Plan within that time. I also certify that I am or my representative is responsible for preparing and filing any notice pursuant to Rule 144 and that I or my representative will provide you with all necessary information regarding my transaction(s) in UEI stock so you may timely prepare and file the required Form 4(s) on my behalf. Finally, I certify that I understand the “short-swing” rules under Section 16(b) of the Exchange Act of 1934, as amended and the liabilities imposed upon me thereunder and that any transaction by me in the Company’s securities will not result in “matchable” transactions under Section 16.</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B-1</w:t>
      </w:r>
    </w:p>
    <w:p>
      <w:pPr>
        <w:sectPr>
          <w:pgSz w:w="11900" w:h="16838" w:orient="portrait"/>
          <w:cols w:equalWidth="0" w:num="1">
            <w:col w:w="11140"/>
          </w:cols>
          <w:pgMar w:left="420" w:top="1071"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19.1</w:t>
      </w:r>
    </w:p>
    <w:p>
      <w:pPr>
        <w:spacing w:after="0" w:line="30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ANNEX C</w:t>
      </w:r>
    </w:p>
    <w:p>
      <w:pPr>
        <w:spacing w:after="0" w:line="22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b w:val="1"/>
          <w:bCs w:val="1"/>
          <w:color w:val="auto"/>
        </w:rPr>
        <w:t>Acknowledgement of Universal Electronics Inc. Insider</w:t>
      </w:r>
    </w:p>
    <w:p>
      <w:pPr>
        <w:spacing w:after="0" w:line="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Trading Policy</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of Universal Electronics Inc.:</w:t>
      </w:r>
    </w:p>
    <w:p>
      <w:pPr>
        <w:spacing w:after="0" w:line="216" w:lineRule="exact"/>
        <w:rPr>
          <w:sz w:val="20"/>
          <w:szCs w:val="20"/>
          <w:color w:val="auto"/>
        </w:rPr>
      </w:pPr>
    </w:p>
    <w:p>
      <w:pPr>
        <w:ind w:right="20" w:firstLine="647"/>
        <w:spacing w:after="0" w:line="283" w:lineRule="auto"/>
        <w:rPr>
          <w:sz w:val="20"/>
          <w:szCs w:val="20"/>
          <w:color w:val="auto"/>
        </w:rPr>
      </w:pPr>
      <w:r>
        <w:rPr>
          <w:rFonts w:ascii="Times New Roman" w:cs="Times New Roman" w:eastAsia="Times New Roman" w:hAnsi="Times New Roman"/>
          <w:sz w:val="20"/>
          <w:szCs w:val="20"/>
          <w:color w:val="auto"/>
        </w:rPr>
        <w:t>I acknowledge that I have read and understand the Universal Electronics Inc. Insider Trading Policy and agree to abide by its provisions.</w:t>
      </w:r>
    </w:p>
    <w:p>
      <w:pPr>
        <w:spacing w:after="0" w:line="2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Signature:</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3644900</wp:posOffset>
            </wp:positionH>
            <wp:positionV relativeFrom="paragraph">
              <wp:posOffset>-140335</wp:posOffset>
            </wp:positionV>
            <wp:extent cx="34290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3644900</wp:posOffset>
            </wp:positionH>
            <wp:positionV relativeFrom="paragraph">
              <wp:posOffset>-140335</wp:posOffset>
            </wp:positionV>
            <wp:extent cx="34290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3644900</wp:posOffset>
            </wp:positionH>
            <wp:positionV relativeFrom="paragraph">
              <wp:posOffset>21590</wp:posOffset>
            </wp:positionV>
            <wp:extent cx="34290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3429000" cy="8255"/>
                    </a:xfrm>
                    <a:prstGeom prst="rect">
                      <a:avLst/>
                    </a:prstGeom>
                    <a:noFill/>
                  </pic:spPr>
                </pic:pic>
              </a:graphicData>
            </a:graphic>
          </wp:anchor>
        </w:drawing>
        <w:drawing>
          <wp:anchor simplePos="0" relativeHeight="251657728" behindDoc="1" locked="0" layoutInCell="0" allowOverlap="1">
            <wp:simplePos x="0" y="0"/>
            <wp:positionH relativeFrom="column">
              <wp:posOffset>3644900</wp:posOffset>
            </wp:positionH>
            <wp:positionV relativeFrom="paragraph">
              <wp:posOffset>-140335</wp:posOffset>
            </wp:positionV>
            <wp:extent cx="34290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C-1</w:t>
      </w:r>
    </w:p>
    <w:p>
      <w:pPr>
        <w:sectPr>
          <w:pgSz w:w="11900" w:h="16838" w:orient="portrait"/>
          <w:cols w:equalWidth="0" w:num="1">
            <w:col w:w="11140"/>
          </w:cols>
          <w:pgMar w:left="420" w:top="1071"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List of Subsidiaries of the Registrant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C.G. Development Ltd. (organized under the laws of Hong Kong)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CG Mexico Distribution Co., S de R.L. de C.V. (organized under the laws of Mexico)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CG Mexico Remote Controls, S de R.L. de C.V. (organized under the laws of Mexico)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Ecolink Intelligent Technology, Inc. (organized under the laws of Delaware)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Enson Assets Ltd. (organized under the laws of the British Virgin Islands)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Gemstar Polyfirst Ltd. (organized under the laws of Hong Kong)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Gemstar Technology (Qinzhou)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Gemstar Technology (Yangzhou)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Guangzhou Universal Electronics Service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For All France S.A.S. (organized under the laws of France)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For All GmbH (organized under the laws of Germany)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For All Iberia S.L. (organized under the laws of Spain)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For All UK, Ltd. (organized under the laws of the United Kingdom)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Qinzhou Universal Trading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UE Japan Ltd. (organized under the laws of Japan)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UE Korea Ltd. (organized under the laws of South Korea)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UE Singapore Pte. Ltd. (organized under the laws of the Republic of Singapore)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UE Vietnam Company Limited (organized under the laws of Vietnam)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UEI Electronics Pte. Ltd. (organized under the laws of India)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UEI Hong Kong Pte. Ltd. (organized under the laws of Hong Kong)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Universal Electronics B.V. (organized under the laws of the Netherlands)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Universal Electronics Italia S.R.L. (organized under the laws of Italy)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Universal Electronics Yangzhou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Universal Electronics do Brasil Ltda. (organized under the laws of Brazil)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Yangzhou Universal Trading Co. Ltd. (organized under the laws of the People's Republic of China)</w:t>
      </w:r>
    </w:p>
    <w:p>
      <w:pPr>
        <w:sectPr>
          <w:pgSz w:w="11900" w:h="16838" w:orient="portrait"/>
          <w:cols w:equalWidth="0" w:num="1">
            <w:col w:w="11240"/>
          </w:cols>
          <w:pgMar w:left="320" w:top="887"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23.1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0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have issued our reports dated March 11, 2025, with respect to the consolidated financial statements and internal control over financial reporting incorporated by reference in the Annual Report of Universal Electronics Inc. on Form 10-K for the year ended December 31, 2024. We consent to the incorporation by reference of said reports in the Registration Statements of Universal Electronics Inc. on Forms S-8 (File No. 333-198083, File No. 333-227594, File No. 333-258488, and File 333-281411).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Arizona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2025</w:t>
      </w:r>
    </w:p>
    <w:p>
      <w:pPr>
        <w:sectPr>
          <w:pgSz w:w="11900" w:h="16838" w:orient="portrait"/>
          <w:cols w:equalWidth="0" w:num="1">
            <w:col w:w="11240"/>
          </w:cols>
          <w:pgMar w:left="320" w:top="887"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Rule 13a-14(a) Certifications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D. Arling, certify that:</w:t>
      </w:r>
    </w:p>
    <w:p>
      <w:pPr>
        <w:spacing w:after="0" w:line="104"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Universal Electronics Inc.;</w:t>
      </w:r>
    </w:p>
    <w:p>
      <w:pPr>
        <w:spacing w:after="0" w:line="10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2025</w:t>
      </w: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4715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Paul D. Arling</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Rule 13a-14(a) Certifications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Bryan M. Hackworth, certify that:</w:t>
      </w:r>
    </w:p>
    <w:p>
      <w:pPr>
        <w:spacing w:after="0" w:line="104"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Universal Electronics Inc.;</w:t>
      </w:r>
    </w:p>
    <w:p>
      <w:pPr>
        <w:spacing w:after="0" w:line="10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2025</w:t>
      </w: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4715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Bryan M. Hackworth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240"/>
          </w:cols>
          <w:pgMar w:left="320" w:top="88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Paul D. Arling, as Chief Executive Officer of Universal Electronics Inc. (the “Company”), certifies, pursuant to 18 U.S.C. Section 1350, as adopted pursuant to Section 906 of the Sarbanes-Oxley Act of 2002, that:</w:t>
      </w:r>
    </w:p>
    <w:p>
      <w:pPr>
        <w:spacing w:after="0" w:line="27" w:lineRule="exact"/>
        <w:rPr>
          <w:sz w:val="20"/>
          <w:szCs w:val="20"/>
          <w:color w:val="auto"/>
        </w:rPr>
      </w:pPr>
    </w:p>
    <w:p>
      <w:pPr>
        <w:ind w:left="660" w:right="20" w:hanging="328"/>
        <w:spacing w:after="0" w:line="312" w:lineRule="auto"/>
        <w:tabs>
          <w:tab w:leader="none" w:pos="73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Annual Report on Form 10-K for the fiscal year ended December 31, 2024 as filed with the Securities and Exchange Commission on the date hereof (the “Report”) fully complies with the requirements of Section 13(a) or 15(d) of the Securities Exchange Act of 1934; and</w:t>
      </w:r>
    </w:p>
    <w:p>
      <w:pPr>
        <w:spacing w:after="0" w:line="18" w:lineRule="exact"/>
        <w:rPr>
          <w:rFonts w:ascii="Times New Roman" w:cs="Times New Roman" w:eastAsia="Times New Roman" w:hAnsi="Times New Roman"/>
          <w:sz w:val="17"/>
          <w:szCs w:val="17"/>
          <w:color w:val="auto"/>
        </w:rPr>
      </w:pPr>
    </w:p>
    <w:p>
      <w:pPr>
        <w:ind w:left="720" w:hanging="388"/>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Paul D. Arling</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11, 2025</w:t>
      </w:r>
    </w:p>
    <w:p>
      <w:pPr>
        <w:sectPr>
          <w:pgSz w:w="11900" w:h="16838" w:orient="portrait"/>
          <w:cols w:equalWidth="0" w:num="1">
            <w:col w:w="11240"/>
          </w:cols>
          <w:pgMar w:left="320" w:top="887"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Bryan M. Hackworth, as Chief Financial Officer of Universal Electronics Inc. (the “Company”), certifies, pursuant to 18 U.S.C. Section 1350, as adopted pursuant to Section 906 of the Sarbanes-Oxley Act of 2002, that:</w:t>
      </w:r>
    </w:p>
    <w:p>
      <w:pPr>
        <w:spacing w:after="0" w:line="27" w:lineRule="exact"/>
        <w:rPr>
          <w:sz w:val="20"/>
          <w:szCs w:val="20"/>
          <w:color w:val="auto"/>
        </w:rPr>
      </w:pPr>
    </w:p>
    <w:p>
      <w:pPr>
        <w:ind w:left="660" w:right="20" w:hanging="328"/>
        <w:spacing w:after="0" w:line="312" w:lineRule="auto"/>
        <w:tabs>
          <w:tab w:leader="none" w:pos="73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Annual Report on Form 10-K for the fiscal year ended December 31, 2024 as filed with the Securities and Exchange Commission on the date hereof (the “Report”) fully complies with the requirements of Section 13(a) or 15(d) of the Securities Exchange Act of 1934; and</w:t>
      </w:r>
    </w:p>
    <w:p>
      <w:pPr>
        <w:spacing w:after="0" w:line="18" w:lineRule="exact"/>
        <w:rPr>
          <w:rFonts w:ascii="Times New Roman" w:cs="Times New Roman" w:eastAsia="Times New Roman" w:hAnsi="Times New Roman"/>
          <w:sz w:val="17"/>
          <w:szCs w:val="17"/>
          <w:color w:val="auto"/>
        </w:rPr>
      </w:pPr>
    </w:p>
    <w:p>
      <w:pPr>
        <w:ind w:left="720" w:hanging="388"/>
        <w:spacing w:after="0"/>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Bryan M. Hackworth</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11, 2025</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1)"/>
      <w:numFmt w:val="decimal"/>
      <w:start w:val="1"/>
    </w:lvl>
  </w:abstractNum>
  <w:abstractNum w:abstractNumId="9">
    <w:nsid w:val="440BADFC"/>
    <w:multiLevelType w:val="hybridMultilevel"/>
    <w:lvl w:ilvl="0">
      <w:lvlJc w:val="left"/>
      <w:lvlText w:val="(%1)"/>
      <w:numFmt w:val="decimal"/>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1)"/>
      <w:numFmt w:val="decimal"/>
      <w:start w:val="1"/>
    </w:lvl>
  </w:abstractNum>
  <w:abstractNum w:abstractNumId="17">
    <w:nsid w:val="51EAD36B"/>
    <w:multiLevelType w:val="hybridMultilevel"/>
    <w:lvl w:ilvl="0">
      <w:lvlJc w:val="left"/>
      <w:lvlText w:val="(%1)"/>
      <w:numFmt w:val="decimal"/>
      <w:start w:val="1"/>
    </w:lvl>
  </w:abstractNum>
  <w:abstractNum w:abstractNumId="18">
    <w:nsid w:val="2D517796"/>
    <w:multiLevelType w:val="hybridMultilevel"/>
    <w:lvl w:ilvl="0">
      <w:lvlJc w:val="left"/>
      <w:lvlText w:val="(%1)"/>
      <w:numFmt w:val="decimal"/>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1)"/>
      <w:numFmt w:val="decimal"/>
      <w:start w:val="1"/>
    </w:lvl>
  </w:abstractNum>
  <w:abstractNum w:abstractNumId="22">
    <w:nsid w:val="70A64E2A"/>
    <w:multiLevelType w:val="hybridMultilevel"/>
    <w:lvl w:ilvl="0">
      <w:lvlJc w:val="left"/>
      <w:lvlText w:val="(%1)"/>
      <w:numFmt w:val="decimal"/>
      <w:start w:val="1"/>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1)"/>
      <w:numFmt w:val="decimal"/>
      <w:start w:val="1"/>
    </w:lvl>
  </w:abstractNum>
  <w:abstractNum w:abstractNumId="25">
    <w:nsid w:val="1D4ED43B"/>
    <w:multiLevelType w:val="hybridMultilevel"/>
    <w:lvl w:ilvl="0">
      <w:lvlJc w:val="left"/>
      <w:lvlText w:val="(%1)"/>
      <w:numFmt w:val="decimal"/>
      <w:start w:val="1"/>
    </w:lvl>
  </w:abstractNum>
  <w:abstractNum w:abstractNumId="26">
    <w:nsid w:val="725A06FB"/>
    <w:multiLevelType w:val="hybridMultilevel"/>
    <w:lvl w:ilvl="0">
      <w:lvlJc w:val="left"/>
      <w:lvlText w:val="(%1)"/>
      <w:numFmt w:val="decimal"/>
      <w:start w:val="1"/>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1"/>
      <w:numFmt w:val="decimal"/>
      <w:start w:val="104"/>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1."/>
      <w:numFmt w:val="decimal"/>
      <w:start w:val="3"/>
    </w:lvl>
  </w:abstractNum>
  <w:abstractNum w:abstractNumId="34">
    <w:nsid w:val="7644A45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2"/>
    </w:lvl>
    <w:lvl w:ilvl="3">
      <w:lvlJc w:val="left"/>
      <w:lvlText w:val="(%4)"/>
      <w:numFmt w:val="upperLetter"/>
      <w:start w:val="2"/>
    </w:lvl>
  </w:abstractNum>
  <w:abstractNum w:abstractNumId="35">
    <w:nsid w:val="32FFF902"/>
    <w:multiLevelType w:val="hybridMultilevel"/>
    <w:lvl w:ilvl="0">
      <w:lvlJc w:val="left"/>
      <w:lvlText w:val="%1."/>
      <w:numFmt w:val="decimal"/>
      <w:start w:val="5"/>
    </w:lvl>
    <w:lvl w:ilvl="1">
      <w:lvlJc w:val="left"/>
      <w:lvlText w:val="(%2)"/>
      <w:numFmt w:val="lowerLetter"/>
      <w:start w:val="1"/>
    </w:lvl>
  </w:abstractNum>
  <w:abstractNum w:abstractNumId="36">
    <w:nsid w:val="684A481A"/>
    <w:multiLevelType w:val="hybridMultilevel"/>
    <w:lvl w:ilvl="0">
      <w:lvlJc w:val="left"/>
      <w:lvlText w:val="%1."/>
      <w:numFmt w:val="decimal"/>
      <w:start w:val="7"/>
    </w:lvl>
  </w:abstractNum>
  <w:abstractNum w:abstractNumId="37">
    <w:nsid w:val="579478FE"/>
    <w:multiLevelType w:val="hybridMultilevel"/>
    <w:lvl w:ilvl="0">
      <w:lvlJc w:val="left"/>
      <w:lvlText w:val="%1."/>
      <w:numFmt w:val="decimal"/>
      <w:start w:val="10"/>
    </w:lvl>
  </w:abstractNum>
  <w:abstractNum w:abstractNumId="38">
    <w:nsid w:val="749ABB43"/>
    <w:multiLevelType w:val="hybridMultilevel"/>
    <w:lvl w:ilvl="0">
      <w:lvlJc w:val="left"/>
      <w:lvlText w:val="%1."/>
      <w:numFmt w:val="decimal"/>
      <w:start w:val="1"/>
    </w:lvl>
    <w:lvl w:ilvl="1">
      <w:lvlJc w:val="left"/>
      <w:lvlText w:val="(%2)"/>
      <w:numFmt w:val="lowerLetter"/>
      <w:start w:val="1"/>
    </w:lvl>
  </w:abstractNum>
  <w:abstractNum w:abstractNumId="39">
    <w:nsid w:val="3DC240FB"/>
    <w:multiLevelType w:val="hybridMultilevel"/>
    <w:lvl w:ilvl="0">
      <w:lvlJc w:val="left"/>
      <w:lvlText w:val="%1"/>
      <w:numFmt w:val="decimal"/>
      <w:start w:val="1"/>
    </w:lvl>
    <w:lvl w:ilvl="1">
      <w:lvlJc w:val="left"/>
      <w:lvlText w:val="(%2)"/>
      <w:numFmt w:val="lowerLetter"/>
      <w:start w:val="2"/>
    </w:lvl>
  </w:abstractNum>
  <w:abstractNum w:abstractNumId="40">
    <w:nsid w:val="1BA026FA"/>
    <w:multiLevelType w:val="hybridMultilevel"/>
    <w:lvl w:ilvl="0">
      <w:lvlJc w:val="left"/>
      <w:lvlText w:val="%1."/>
      <w:numFmt w:val="decimal"/>
      <w:start w:val="3"/>
    </w:lvl>
    <w:lvl w:ilvl="1">
      <w:lvlJc w:val="left"/>
      <w:lvlText w:val="(%2)"/>
      <w:numFmt w:val="lowerLetter"/>
      <w:start w:val="1"/>
    </w:lvl>
  </w:abstractNum>
  <w:abstractNum w:abstractNumId="41">
    <w:nsid w:val="79A1DE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42">
    <w:nsid w:val="75C6C33A"/>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43">
    <w:nsid w:val="12E685F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44">
    <w:nsid w:val="70C6A529"/>
    <w:multiLevelType w:val="hybridMultilevel"/>
    <w:lvl w:ilvl="0">
      <w:lvlJc w:val="left"/>
      <w:lvlText w:val="(%1)"/>
      <w:numFmt w:val="lowerLetter"/>
      <w:start w:val="2"/>
    </w:lvl>
  </w:abstractNum>
  <w:abstractNum w:abstractNumId="45">
    <w:nsid w:val="520EEDD1"/>
    <w:multiLevelType w:val="hybridMultilevel"/>
    <w:lvl w:ilvl="0">
      <w:lvlJc w:val="left"/>
      <w:lvlText w:val="%1."/>
      <w:numFmt w:val="decimal"/>
      <w:start w:val="7"/>
    </w:lvl>
  </w:abstractNum>
  <w:abstractNum w:abstractNumId="46">
    <w:nsid w:val="374A3FE6"/>
    <w:multiLevelType w:val="hybridMultilevel"/>
    <w:lvl w:ilvl="0">
      <w:lvlJc w:val="left"/>
      <w:lvlText w:val="%1."/>
      <w:numFmt w:val="decimal"/>
      <w:start w:val="15"/>
    </w:lvl>
  </w:abstractNum>
  <w:abstractNum w:abstractNumId="47">
    <w:nsid w:val="4F4EF005"/>
    <w:multiLevelType w:val="hybridMultilevel"/>
    <w:lvl w:ilvl="0">
      <w:lvlJc w:val="left"/>
      <w:lvlText w:val="%1."/>
      <w:numFmt w:val="decimal"/>
      <w:start w:val="1"/>
    </w:lvl>
    <w:lvl w:ilvl="1">
      <w:lvlJc w:val="left"/>
      <w:lvlText w:val="(%2)"/>
      <w:numFmt w:val="lowerLetter"/>
      <w:start w:val="1"/>
    </w:lvl>
  </w:abstractNum>
  <w:abstractNum w:abstractNumId="48">
    <w:nsid w:val="23F9C13C"/>
    <w:multiLevelType w:val="hybridMultilevel"/>
    <w:lvl w:ilvl="0">
      <w:lvlJc w:val="left"/>
      <w:lvlText w:val="%1."/>
      <w:numFmt w:val="decimal"/>
      <w:start w:val="3"/>
    </w:lvl>
    <w:lvl w:ilvl="1">
      <w:lvlJc w:val="left"/>
      <w:lvlText w:val="(%2)"/>
      <w:numFmt w:val="lowerLetter"/>
      <w:start w:val="1"/>
    </w:lvl>
  </w:abstractNum>
  <w:abstractNum w:abstractNumId="49">
    <w:nsid w:val="649BB77C"/>
    <w:multiLevelType w:val="hybridMultilevel"/>
    <w:lvl w:ilvl="0">
      <w:lvlJc w:val="left"/>
      <w:lvlText w:val="(%1)"/>
      <w:numFmt w:val="lowerLetter"/>
      <w:start w:val="2"/>
    </w:lvl>
  </w:abstractNum>
  <w:abstractNum w:abstractNumId="50">
    <w:nsid w:val="275AC794"/>
    <w:multiLevelType w:val="hybridMultilevel"/>
    <w:lvl w:ilvl="0">
      <w:lvlJc w:val="left"/>
      <w:lvlText w:val="%1."/>
      <w:numFmt w:val="decimal"/>
      <w:start w:val="4"/>
    </w:lvl>
  </w:abstractNum>
  <w:abstractNum w:abstractNumId="51">
    <w:nsid w:val="39386575"/>
    <w:multiLevelType w:val="hybridMultilevel"/>
    <w:lvl w:ilvl="0">
      <w:lvlJc w:val="left"/>
      <w:lvlText w:val="%1."/>
      <w:numFmt w:val="decimal"/>
      <w:start w:val="5"/>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lvl w:ilvl="1">
      <w:lvlJc w:val="left"/>
      <w:lvlText w:val="•"/>
      <w:numFmt w:val="bullet"/>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14" Type="http://schemas.openxmlformats.org/officeDocument/2006/relationships/image" Target="media/image96.png"/><Relationship Id="rId133" Type="http://schemas.openxmlformats.org/officeDocument/2006/relationships/image" Target="media/image97.png"/><Relationship Id="rId138" Type="http://schemas.openxmlformats.org/officeDocument/2006/relationships/image" Target="media/image98.png"/><Relationship Id="rId139"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png"/><Relationship Id="rId148" Type="http://schemas.openxmlformats.org/officeDocument/2006/relationships/image" Target="media/image108.png"/><Relationship Id="rId149" Type="http://schemas.openxmlformats.org/officeDocument/2006/relationships/image" Target="media/image109.png"/><Relationship Id="rId150" Type="http://schemas.openxmlformats.org/officeDocument/2006/relationships/image" Target="media/image110.png"/><Relationship Id="rId15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png"/><Relationship Id="rId159"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03" Type="http://schemas.openxmlformats.org/officeDocument/2006/relationships/hyperlink" Target="https://www.sec.gov/Archives/edgar/data/101984/000010198418000008/a10k20171231-ex33.htm" TargetMode="External"/><Relationship Id="rId104" Type="http://schemas.openxmlformats.org/officeDocument/2006/relationships/hyperlink" Target="https://www.sec.gov/Archives/edgar/data/101984/000010198418000008/a10k20171231-ex34.htm" TargetMode="External"/><Relationship Id="rId105" Type="http://schemas.openxmlformats.org/officeDocument/2006/relationships/hyperlink" Target="https://www.sec.gov/Archives/edgar/data/101984/000010198420000009/a10k20191231-ex43.htm" TargetMode="External"/><Relationship Id="rId106" Type="http://schemas.openxmlformats.org/officeDocument/2006/relationships/hyperlink" Target="https://www.sec.gov/Archives/edgar/data/101984/0000950152-98-002736.txt" TargetMode="External"/><Relationship Id="rId107" Type="http://schemas.openxmlformats.org/officeDocument/2006/relationships/hyperlink" Target="https://www.sec.gov/Archives/edgar/data/101984/000095015004000338/a97327exv10w42.txt" TargetMode="External"/><Relationship Id="rId108" Type="http://schemas.openxmlformats.org/officeDocument/2006/relationships/hyperlink" Target="https://www.sec.gov/Archives/edgar/data/101984/000089256907000250/a27604exv10w28.txt" TargetMode="External"/><Relationship Id="rId109" Type="http://schemas.openxmlformats.org/officeDocument/2006/relationships/hyperlink" Target="https://www.sec.gov/Archives/edgar/data/101984/000095012311025838/a58948exv10w31.htm" TargetMode="External"/><Relationship Id="rId110" Type="http://schemas.openxmlformats.org/officeDocument/2006/relationships/hyperlink" Target="https://www.sec.gov/Archives/edgar/data/101984/000144530513000608/ueic-12312012xex1031.htm" TargetMode="External"/><Relationship Id="rId111" Type="http://schemas.openxmlformats.org/officeDocument/2006/relationships/hyperlink" Target="https://www.sec.gov/Archives/edgar/data/101984/000010198414000051/exhibit452014-08.htm" TargetMode="External"/><Relationship Id="rId112" Type="http://schemas.openxmlformats.org/officeDocument/2006/relationships/hyperlink" Target="https://www.sec.gov/Archives/edgar/data/101984/000010198414000051/exhibit462014-08.htm" TargetMode="External"/><Relationship Id="rId113" Type="http://schemas.openxmlformats.org/officeDocument/2006/relationships/hyperlink" Target="https://www.sec.gov/Archives/edgar/data/101984/000010198418000008/a10k20171231-ex1039.htm" TargetMode="External"/><Relationship Id="rId115" Type="http://schemas.openxmlformats.org/officeDocument/2006/relationships/hyperlink" Target="https://www.sec.gov/Archives/edgar/data/101984/000010198418000032/uei-06302018x10qxex101.htm" TargetMode="External"/><Relationship Id="rId116" Type="http://schemas.openxmlformats.org/officeDocument/2006/relationships/hyperlink" Target="https://www.sec.gov/Archives/edgar/data/101984/000010198418000038/exhibit452018-09.htm" TargetMode="External"/><Relationship Id="rId117" Type="http://schemas.openxmlformats.org/officeDocument/2006/relationships/hyperlink" Target="https://www.sec.gov/Archives/edgar/data/101984/000010198418000032/uei-0630201810qex105.htm" TargetMode="External"/><Relationship Id="rId118" Type="http://schemas.openxmlformats.org/officeDocument/2006/relationships/hyperlink" Target="https://www.sec.gov/Archives/edgar/data/101984/000010198418000032/uei-0630201810qex106.htm" TargetMode="External"/><Relationship Id="rId119" Type="http://schemas.openxmlformats.org/officeDocument/2006/relationships/hyperlink" Target="https://www.sec.gov/Archives/edgar/data/101984/000010198419000003/usb-secondamendmenttoueise.htm" TargetMode="External"/><Relationship Id="rId120" Type="http://schemas.openxmlformats.org/officeDocument/2006/relationships/hyperlink" Target="https://www.sec.gov/Archives/edgar/data/101984/000010198421000009/a10k20201231-ex1033.htm" TargetMode="External"/><Relationship Id="rId121" Type="http://schemas.openxmlformats.org/officeDocument/2006/relationships/hyperlink" Target="https://www.sec.gov/Archives/edgar/data/101984/000010198421000009/a10k20201231-ex1034.htm" TargetMode="External"/><Relationship Id="rId122" Type="http://schemas.openxmlformats.org/officeDocument/2006/relationships/hyperlink" Target="https://www.sec.gov/Archives/edgar/data/101984/000010198421000047/exhibit462021s-8.htm" TargetMode="External"/><Relationship Id="rId123" Type="http://schemas.openxmlformats.org/officeDocument/2006/relationships/hyperlink" Target="https://www.sec.gov/Archives/edgar/data/101984/000010198421000056/uei-10282021x8kxex101.htm" TargetMode="External"/><Relationship Id="rId124" Type="http://schemas.openxmlformats.org/officeDocument/2006/relationships/hyperlink" Target="https://www.sec.gov/Archives/edgar/data/101984/000010198421000056/uei-10282021x8kxex102.htm" TargetMode="External"/><Relationship Id="rId125" Type="http://schemas.openxmlformats.org/officeDocument/2006/relationships/hyperlink" Target="https://www.sec.gov/Archives/edgar/data/101984/000010198421000056/uei-10282021x8kxex103.htm" TargetMode="External"/><Relationship Id="rId126" Type="http://schemas.openxmlformats.org/officeDocument/2006/relationships/hyperlink" Target="https://www.sec.gov/Archives/edgar/data/101984/000010198423000027/uei-03312023x10qxex101.htm" TargetMode="External"/><Relationship Id="rId127" Type="http://schemas.openxmlformats.org/officeDocument/2006/relationships/hyperlink" Target="https://www.sec.gov/Archives/edgar/data/101984/000010198423000063/uei-12262023x8kxexhibit101.htm" TargetMode="External"/><Relationship Id="rId128" Type="http://schemas.openxmlformats.org/officeDocument/2006/relationships/hyperlink" Target="https://www.sec.gov/Archives/edgar/data/101984/000010198424000048/a10k20231231-ex1024.htm" TargetMode="External"/><Relationship Id="rId129" Type="http://schemas.openxmlformats.org/officeDocument/2006/relationships/hyperlink" Target="https://www.sec.gov/Archives/edgar/data/101984/000010198424000134/exhibit452024s-8.htm" TargetMode="External"/><Relationship Id="rId130" Type="http://schemas.openxmlformats.org/officeDocument/2006/relationships/hyperlink" Target="https://www.sec.gov/Archives/edgar/data/101984/000010198424000146/a8thamendmenttosecondarcre.htm" TargetMode="External"/><Relationship Id="rId131" Type="http://schemas.openxmlformats.org/officeDocument/2006/relationships/hyperlink" Target="https://www.sec.gov/Archives/edgar/data/101984/000010198424000150/lineofcreditagreementengli.htm" TargetMode="External"/><Relationship Id="rId132" Type="http://schemas.openxmlformats.org/officeDocument/2006/relationships/hyperlink" Target="https://www.sec.gov/Archives/edgar/data/101984/000010198424000150/maximummortgagecontracteng.htm" TargetMode="External"/><Relationship Id="rId134" Type="http://schemas.openxmlformats.org/officeDocument/2006/relationships/hyperlink" Target="https://www.sec.gov/Archives/edgar/data/101984/000010198424000150/workingcapitalloancontract.htm" TargetMode="External"/><Relationship Id="rId135" Type="http://schemas.openxmlformats.org/officeDocument/2006/relationships/hyperlink" Target="https://www.sec.gov/Archives/edgar/data/101984/000010198425000003/ninthamendmenttosecondamen.htm" TargetMode="External"/><Relationship Id="rId136" Type="http://schemas.openxmlformats.org/officeDocument/2006/relationships/hyperlink" Target="https://www.sec.gov/Archives/edgar/data/101984/000010198424000048/a10k20231231-ex141.htm" TargetMode="External"/><Relationship Id="rId137" Type="http://schemas.openxmlformats.org/officeDocument/2006/relationships/hyperlink" Target="https://www.sec.gov/Archives/edgar/data/101984/000010198424000048/a10k20231231-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2025-03-11T14:17:45Z</dcterms:created>
  <dcterms:modified xsi:type="dcterms:W3CDTF">2025-03-11T14:17:45Z</dcterms:modified>
</cp:coreProperties>
</file>