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2014</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15,700,250 shares of Common Stock, par value $0.01 per share, of the registrant were outstanding on August 5, 2014.</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right"/>
        <w:ind w:right="260"/>
        <w:spacing w:after="0"/>
        <w:tabs>
          <w:tab w:leader="none" w:pos="1140" w:val="left"/>
        </w:tabs>
        <w:rPr>
          <w:sz w:val="20"/>
          <w:szCs w:val="20"/>
          <w:color w:val="auto"/>
        </w:rPr>
      </w:pPr>
      <w:r>
        <w:rPr>
          <w:rFonts w:ascii="Arial" w:cs="Arial" w:eastAsia="Arial" w:hAnsi="Arial"/>
          <w:sz w:val="14"/>
          <w:szCs w:val="14"/>
          <w:b w:val="1"/>
          <w:bCs w:val="1"/>
          <w:color w:val="auto"/>
        </w:rPr>
        <w:t>June 30, 2014</w:t>
      </w:r>
      <w:r>
        <w:rPr>
          <w:sz w:val="20"/>
          <w:szCs w:val="20"/>
          <w:color w:val="auto"/>
        </w:rPr>
        <w:tab/>
      </w:r>
      <w:r>
        <w:rPr>
          <w:rFonts w:ascii="Arial" w:cs="Arial" w:eastAsia="Arial" w:hAnsi="Arial"/>
          <w:sz w:val="12"/>
          <w:szCs w:val="12"/>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5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receivable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jc w:val="right"/>
        <w:ind w:right="200"/>
        <w:spacing w:after="0"/>
        <w:tabs>
          <w:tab w:leader="none" w:pos="2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Line of credit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sales discounts, rebates and royalties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Common stock, $0.01 par value, 50,000,000 shares authorized; 22,648,822 and 22,344,121 shares issued on June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30, 2014 and December 31,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36" w:lineRule="exact"/>
        <w:rPr>
          <w:sz w:val="20"/>
          <w:szCs w:val="20"/>
          <w:color w:val="auto"/>
        </w:rPr>
      </w:pPr>
    </w:p>
    <w:p>
      <w:pPr>
        <w:ind w:left="380" w:right="420"/>
        <w:spacing w:after="0" w:line="288" w:lineRule="auto"/>
        <w:rPr>
          <w:sz w:val="20"/>
          <w:szCs w:val="20"/>
          <w:color w:val="auto"/>
        </w:rPr>
      </w:pPr>
      <w:r>
        <w:rPr>
          <w:rFonts w:ascii="Arial" w:cs="Arial" w:eastAsia="Arial" w:hAnsi="Arial"/>
          <w:sz w:val="16"/>
          <w:szCs w:val="16"/>
          <w:color w:val="auto"/>
        </w:rPr>
        <w:t>Less cost of common stock in treasury, 6,974,030 and 6,639,497 shares on June 30, 2014 and December 31, 2013,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87,642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76,174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107,508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95,408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88,776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96,309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4,290</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4,395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6,156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6,167</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294,378</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278,466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75,353</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75,570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30,995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31,000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25,576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26,963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5,467</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6,455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5,222</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5,279</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436,991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423,733</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8"/>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69,859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58,498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34,727</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38,317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7,631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8,539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1,115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3,032</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305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13,227</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11,229</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126,864</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119,918</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10,004</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9,887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606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1,998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2,052</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139,472</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132,463</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227</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208,906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199,513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1,138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2,982</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206,293</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193,532</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416,564</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396,250</w:t>
            </w:r>
          </w:p>
        </w:tc>
      </w:tr>
      <w:tr>
        <w:trPr>
          <w:trHeight w:val="459"/>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(119,045)</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-441325</wp:posOffset>
            </wp:positionV>
            <wp:extent cx="1097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-1933575</wp:posOffset>
            </wp:positionV>
            <wp:extent cx="1097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-4343400</wp:posOffset>
            </wp:positionV>
            <wp:extent cx="1097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200" w:space="720"/>
            <w:col w:w="25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90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297,519</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291,270</w:t>
            </w:r>
          </w:p>
        </w:tc>
      </w:tr>
      <w:tr>
        <w:trPr>
          <w:trHeight w:val="33"/>
        </w:trPr>
        <w:tc>
          <w:tcPr>
            <w:tcW w:w="7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423,733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136,109</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250,831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102,757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196,056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180,446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70,385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48,233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8,755</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6,491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10,917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8,311</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12,761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8,787</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8,788</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Provision for inventory write-downs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Shares issued for employee benefit plan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w:t>
            </w:r>
          </w:p>
        </w:tc>
      </w:tr>
      <w:tr>
        <w:trPr>
          <w:trHeight w:val="243"/>
        </w:trPr>
        <w:tc>
          <w:tcPr>
            <w:tcW w:w="81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2,647</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Accrued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28,791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7,946</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Acquisition of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(4,655)</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Issuance of debt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19,500</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3,946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366</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638</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44,593</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2,420</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8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2014 are not necessarily indicative of the results to be expected for the full year. These financial statements should be read in conjunction with the "Risk Factors," "Management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year ended December 31,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doubtful accounts, warranties, inventory valuation,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2013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FASB issued Accounting Standards Update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became effective for fiscal years, and interim periods within those years, beginning after December 15, 2013. The adoption of this guidance did not have a material impact on our consolidated financial statements.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Early adoption is not permitted. We have not yet selected a transition method and are evaluating the impact that this new standard will have on our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6"/>
          </w:tcPr>
          <w:p>
            <w:pPr>
              <w:ind w:left="2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CCEEFF"/>
            </w:tcBorders>
            <w:gridSpan w:val="2"/>
            <w:shd w:val="clear" w:color="auto" w:fill="CCEEFF"/>
          </w:tcPr>
          <w:p>
            <w:pPr>
              <w:jc w:val="center"/>
              <w:ind w:left="71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29,412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Asia</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45,789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9,186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88"/>
              </w:rPr>
              <w:t>3,255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87,642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spacing w:after="0"/>
              <w:rPr>
                <w:sz w:val="20"/>
                <w:szCs w:val="20"/>
                <w:color w:val="auto"/>
              </w:rPr>
            </w:pPr>
            <w:r>
              <w:rPr>
                <w:rFonts w:ascii="Arial" w:cs="Arial" w:eastAsia="Arial" w:hAnsi="Arial"/>
                <w:sz w:val="18"/>
                <w:szCs w:val="18"/>
                <w:color w:val="auto"/>
              </w:rPr>
              <w:t>Accounts receivable, net were as follows: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7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6"/>
          </w:tcPr>
          <w:p>
            <w:pPr>
              <w:ind w:left="2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140" w:type="dxa"/>
            <w:vAlign w:val="bottom"/>
            <w:tcBorders>
              <w:bottom w:val="single" w:sz="8" w:color="CCEEFF"/>
            </w:tcBorders>
            <w:gridSpan w:val="2"/>
            <w:shd w:val="clear" w:color="auto" w:fill="CCEEFF"/>
          </w:tcPr>
          <w:p>
            <w:pPr>
              <w:jc w:val="center"/>
              <w:ind w:left="71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103,846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Net trade receivables</w:t>
            </w:r>
          </w:p>
        </w:tc>
        <w:tc>
          <w:tcPr>
            <w:tcW w:w="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102,654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4,854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107,508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95,408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1034"/>
              <w:spacing w:after="0"/>
              <w:rPr>
                <w:sz w:val="20"/>
                <w:szCs w:val="20"/>
                <w:color w:val="auto"/>
              </w:rPr>
            </w:pPr>
            <w:r>
              <w:rPr>
                <w:rFonts w:ascii="Arial" w:cs="Arial" w:eastAsia="Arial" w:hAnsi="Arial"/>
                <w:sz w:val="14"/>
                <w:szCs w:val="14"/>
                <w:b w:val="1"/>
                <w:bCs w:val="1"/>
                <w:color w:val="auto"/>
                <w:w w:val="92"/>
              </w:rPr>
              <w:t>Six Months Ended June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Additions to costs and expenses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(Write-offs)/FX effects</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June 30, 2014 and December 31, 2013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$0.5 million on June 30, 2014 and December 31, 2013, respectively. The value of these returned goods was included in our inventory balance at June 30, 2014 and December 31, 2013.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22"/>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55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(thousands)</w:t>
            </w: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22"/>
                <w:szCs w:val="22"/>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right"/>
              <w:ind w:right="182"/>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DIRECTV</w:t>
            </w:r>
          </w:p>
        </w:tc>
        <w:tc>
          <w:tcPr>
            <w:tcW w:w="36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22,137</w:t>
            </w:r>
          </w:p>
        </w:tc>
        <w:tc>
          <w:tcPr>
            <w:tcW w:w="1620" w:type="dxa"/>
            <w:vAlign w:val="bottom"/>
            <w:gridSpan w:val="3"/>
          </w:tcPr>
          <w:p>
            <w:pPr>
              <w:jc w:val="right"/>
              <w:ind w:right="102"/>
              <w:spacing w:after="0"/>
              <w:rPr>
                <w:sz w:val="20"/>
                <w:szCs w:val="20"/>
                <w:color w:val="auto"/>
              </w:rPr>
            </w:pPr>
            <w:r>
              <w:rPr>
                <w:rFonts w:ascii="Arial" w:cs="Arial" w:eastAsia="Arial" w:hAnsi="Arial"/>
                <w:sz w:val="18"/>
                <w:szCs w:val="18"/>
                <w:color w:val="auto"/>
              </w:rPr>
              <w:t>16.3</w:t>
            </w:r>
          </w:p>
        </w:tc>
      </w:tr>
      <w:tr>
        <w:trPr>
          <w:trHeight w:val="575"/>
        </w:trPr>
        <w:tc>
          <w:tcPr>
            <w:tcW w:w="5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22"/>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5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5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53,015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59,393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88,776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96,309</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$0.1 million for the six months ended June 30, 2014 and 2013,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ectPr>
          <w:pgSz w:w="11900" w:h="16838" w:orient="portrait"/>
          <w:cols w:equalWidth="0" w:num="1">
            <w:col w:w="11420"/>
          </w:cols>
          <w:pgMar w:left="240" w:top="11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 that totaled more than 10% of our total inventory purchases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center"/>
              <w:ind w:left="464"/>
              <w:spacing w:after="0"/>
              <w:rPr>
                <w:sz w:val="20"/>
                <w:szCs w:val="20"/>
                <w:color w:val="auto"/>
              </w:rPr>
            </w:pPr>
            <w:r>
              <w:rPr>
                <w:rFonts w:ascii="Arial" w:cs="Arial" w:eastAsia="Arial" w:hAnsi="Arial"/>
                <w:sz w:val="14"/>
                <w:szCs w:val="14"/>
                <w:b w:val="1"/>
                <w:bCs w:val="1"/>
                <w:color w:val="auto"/>
                <w:w w:val="92"/>
              </w:rPr>
              <w:t>Three Months Ended June 30,</w:t>
            </w:r>
          </w:p>
        </w:tc>
        <w:tc>
          <w:tcPr>
            <w:tcW w:w="1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36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vMerge w:val="restart"/>
          </w:tcPr>
          <w:p>
            <w:pPr>
              <w:spacing w:after="0"/>
              <w:rPr>
                <w:sz w:val="13"/>
                <w:szCs w:val="13"/>
                <w:color w:val="auto"/>
              </w:rPr>
            </w:pPr>
          </w:p>
        </w:tc>
        <w:tc>
          <w:tcPr>
            <w:tcW w:w="1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00" w:type="dxa"/>
            <w:vAlign w:val="bottom"/>
            <w:gridSpan w:val="2"/>
            <w:vMerge w:val="restart"/>
          </w:tcPr>
          <w:p>
            <w:pPr>
              <w:spacing w:after="0"/>
              <w:rPr>
                <w:sz w:val="13"/>
                <w:szCs w:val="13"/>
                <w:color w:val="auto"/>
              </w:rPr>
            </w:pPr>
          </w:p>
        </w:tc>
        <w:tc>
          <w:tcPr>
            <w:tcW w:w="1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 Integrated Products International Limited</w:t>
            </w:r>
          </w:p>
        </w:tc>
        <w:tc>
          <w:tcPr>
            <w:tcW w:w="3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9,148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464"/>
              <w:spacing w:after="0"/>
              <w:rPr>
                <w:sz w:val="20"/>
                <w:szCs w:val="20"/>
                <w:color w:val="auto"/>
              </w:rPr>
            </w:pPr>
            <w:r>
              <w:rPr>
                <w:rFonts w:ascii="Arial" w:cs="Arial" w:eastAsia="Arial" w:hAnsi="Arial"/>
                <w:sz w:val="14"/>
                <w:szCs w:val="14"/>
                <w:b w:val="1"/>
                <w:bCs w:val="1"/>
                <w:color w:val="auto"/>
                <w:w w:val="92"/>
              </w:rPr>
              <w:t>Six Months Ended June 30,</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36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vMerge w:val="restart"/>
          </w:tcPr>
          <w:p>
            <w:pPr>
              <w:spacing w:after="0"/>
              <w:rPr>
                <w:sz w:val="13"/>
                <w:szCs w:val="13"/>
                <w:color w:val="auto"/>
              </w:rPr>
            </w:pPr>
          </w:p>
        </w:tc>
        <w:tc>
          <w:tcPr>
            <w:tcW w:w="1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3"/>
                <w:szCs w:val="13"/>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 Integrated Products International Limited</w:t>
            </w:r>
          </w:p>
        </w:tc>
        <w:tc>
          <w:tcPr>
            <w:tcW w:w="3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17,202</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left="348"/>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388"/>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 (thousands)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248"/>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center"/>
              <w:ind w:left="139"/>
              <w:spacing w:after="0"/>
              <w:rPr>
                <w:sz w:val="20"/>
                <w:szCs w:val="20"/>
                <w:color w:val="auto"/>
              </w:rPr>
            </w:pPr>
            <w:r>
              <w:rPr>
                <w:rFonts w:ascii="Arial" w:cs="Arial" w:eastAsia="Arial" w:hAnsi="Arial"/>
                <w:sz w:val="18"/>
                <w:szCs w:val="18"/>
                <w:color w:val="auto"/>
                <w:w w:val="88"/>
              </w:rPr>
              <w:t>2,507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left="348"/>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388"/>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 (thousands)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248"/>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center"/>
              <w:ind w:left="139"/>
              <w:spacing w:after="0"/>
              <w:rPr>
                <w:sz w:val="20"/>
                <w:szCs w:val="20"/>
                <w:color w:val="auto"/>
              </w:rPr>
            </w:pPr>
            <w:r>
              <w:rPr>
                <w:rFonts w:ascii="Arial" w:cs="Arial" w:eastAsia="Arial" w:hAnsi="Arial"/>
                <w:sz w:val="18"/>
                <w:szCs w:val="18"/>
                <w:color w:val="auto"/>
                <w:w w:val="88"/>
              </w:rPr>
              <w:t>4,230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8"/>
        </w:trPr>
        <w:tc>
          <w:tcPr>
            <w:tcW w:w="4820" w:type="dxa"/>
            <w:vAlign w:val="bottom"/>
          </w:tcPr>
          <w:p>
            <w:pPr>
              <w:spacing w:after="0"/>
              <w:rPr>
                <w:sz w:val="20"/>
                <w:szCs w:val="20"/>
                <w:color w:val="auto"/>
              </w:rPr>
            </w:pPr>
            <w:r>
              <w:rPr>
                <w:rFonts w:ascii="Arial" w:cs="Arial" w:eastAsia="Arial" w:hAnsi="Arial"/>
                <w:sz w:val="18"/>
                <w:szCs w:val="18"/>
                <w:color w:val="auto"/>
                <w:w w:val="99"/>
              </w:rPr>
              <w:t>The total accounts payable to this vendor were the following:</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908"/>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1"/>
              </w:rPr>
              <w:t>$ (thousands)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2,439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FX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2014</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$6.7 million and $6.6 million on June 30, 2014 and December 31, 2013, respectively.</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1,945</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76"/>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20" w:type="dxa"/>
            <w:vAlign w:val="bottom"/>
          </w:tcPr>
          <w:p>
            <w:pPr>
              <w:jc w:val="center"/>
              <w:ind w:left="33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3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JUNE 30, 2014</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(Unaudited)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21"/>
        </w:trPr>
        <w:tc>
          <w:tcPr>
            <w:tcW w:w="992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related to our intangible assets at June 30, 2014, is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8"/>
        </w:trPr>
        <w:tc>
          <w:tcPr>
            <w:tcW w:w="9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(remaining 6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2015</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3,980</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2017</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3,912</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r>
      <w:tr>
        <w:trPr>
          <w:trHeight w:val="24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7,801</w:t>
            </w:r>
          </w:p>
        </w:tc>
      </w:tr>
      <w:tr>
        <w:trPr>
          <w:trHeight w:val="27"/>
        </w:trPr>
        <w:tc>
          <w:tcPr>
            <w:tcW w:w="11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25,576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immaterial impairment charges related to our intangible assets for the six months ended June 30, 2014 and 2013.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June 30, 2014. The Amended Credit Agreement expires on November 1, 2014. We are presently in negotiations with U.S. Bank to extend the term of the Amended Credit Agreement and expect to have an extension or replacement credit facility in place prior to the scheduled expiration date. The size, rate and other key terms of the extension or replacement credit facility have yet to be determined.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June 30, 2014, we were in compliance with the covenants and conditions of the Amended Credit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interest expense on borrowings during the three and six months ended June 30, 2014 nor during the three months ended June 30, 2013. Our total interest expense on borrowings was $23 thousand during the six months ended June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$2.8 million and $2.5 million for the three months ended June 30, 2014 and 2013, respectively. Our effective tax rate was 24.7% and 30.0% during the three months ended June 30, 2014 and 2013, respectively. The decrease in our effective tax rate was due to the recording of $0.4 million of additional tax reserves in the second quarter of 2013 resulting from a tax audit in Hong Kong for years preceding our acquisition of Enson Assets Limited. In addition, foreign earnings, which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have a lower tax rate than the United States, represented a higher percentage of our pre-tax income during the three months ended June 30, 2014 compared to the same period in 2013. Partially offsetting these favorable items was the expiration of the "Look-Through" rule, which expired as of December 31, 2013 and resulted in an increase of Subpart F income for the three months ended June 30, 2014. In addition, the federal research and development ("R&amp;D") tax credit for 2014 has not been passed; therefore, the benefit is not included in our estimated tax rate for the current year.</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income tax expense of $4.1 million and $2.9 million for the six months ended June 30, 2014 and 2013, respectively. Our effective tax rate was 24.5% and 24.9% during the six months ended June 30, 2014 and 2013, respectively. The decrease in our effective tax rate was due to the recording of $0.4 million of additional tax reserves in the second quarter of 2013 resulting from a tax audit in Hong Kong for years preceding our acquisition of Enson Assets Limited. In addition, foreign earnings, which have a lower tax rate than the United States, represented a higher percentage of our pre-tax income during the six months ended June 30, 2014 compared to the same period in 2013. Partially offsetting these favorable items was the expiration of the "Look-Through" rule, which expired as of December 31, 2013 and resulted in an increase of Subpart F income for the six months ended June 30, 2014. In addition, the federal R&amp;D tax credit for 2014 has not been passed; therefore, the benefit is not included in our estimated tax rate for the current year.</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30, 2014, we had gross unrecognized tax benefits of $3.7 million, including interest and penalties, of which $3.2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$0.1 million on June 30, 2014 and December 31, 2013,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June 30, 2014, the open statutes of limitations in our significant tax jurisdictions were as follows: federal 2010 through 2013, state 2009 through 2013, and foreign 2007 through 2013. On June 30, 2014, of our gross unrecognized tax benefits of $3.7 million, which included $0.2 million of interest and penalties, $1.5 million are classified as current and $2.2 million are classified as long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2013</w:t>
            </w:r>
          </w:p>
        </w:tc>
      </w:tr>
      <w:tr>
        <w:trPr>
          <w:trHeight w:val="270"/>
        </w:trPr>
        <w:tc>
          <w:tcPr>
            <w:tcW w:w="7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19,981</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20,492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5,324</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r>
      <w:tr>
        <w:trPr>
          <w:trHeight w:val="270"/>
        </w:trPr>
        <w:tc>
          <w:tcPr>
            <w:tcW w:w="7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7,186</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201</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38,317</w:t>
            </w:r>
          </w:p>
        </w:tc>
      </w:tr>
      <w:tr>
        <w:trPr>
          <w:trHeight w:val="27"/>
        </w:trPr>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2014 and December 31, 2013.</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$0.5 million and $0.6 million at June 30, 2014 and December 31, 2013,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6"/>
                <w:szCs w:val="16"/>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2013</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Duties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797</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614</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1,757</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3,189</w:t>
            </w:r>
          </w:p>
        </w:tc>
      </w:tr>
      <w:tr>
        <w:trPr>
          <w:trHeight w:val="27"/>
        </w:trPr>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2013</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375</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279</w:t>
            </w: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We alleged that this complaint related to multiple URC remote control products, including the URC model numbers UR5U-9000L, WR7 and other remote controls with different model names or numbers, but with substantially the same designs, features, and functionalities. We sought monetary relief for the infringement, including enhanced damages due to the willfulness of URC's actions, injunctive relief to enjoin URC from further infringing, including contributory infringement and/or inducing infringement, and attorney's fees. URC denied infringing our patents and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March 2014, the Court further narrowed the scope of this litigation granting URC’s motion for summary judgment with respect to certain issues that effectively removed two additional patents. In March 2014, the Court also granted our motion for summary judgment on certain of URC’s defenses and counterclaims, including URC’s counterclaim for</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breach of contract. A trial was held from May 6, 2014 through May 20, 2014, and the jury returned a verdict that URC did not infringe on our remaining patent, and found for URC on patent validity and several equitable defenses in the lawsuit, although the jury's verdict on the equitable defenses were advisory in nature. We do not believe that the evidence presented at trial supports the jury verdict and are currently seeking the trial court’s review of the verdict, including the jury's advisory verdict on the equitable defenses. A hearing on motions pertaining to the jury's verdict has been set for August 18, 2014, at which time we expect to obtain a ruling from the Court. However, at this time we cannot predict how the Court will rule. Based on the trial court's decisions on these jury verdict motions, there remain a variety of possible outcomes in this case, including filing further motions with the Court seeking judgment as a matter of law and/or a new trial. Additionally, depending upon how the Court rules at the August 18 hearing, URC may ask the court for reimbursement of its legal fees associated with its defense of this lawsuit and while we are unable to estimate the amount URC may claim or ultimately what amount, if any, the Court may award, such amount could be significant. We intend to oppose any such request and, if awarded, appeal any such decision. In all other respects, this litigation is continuing as scheduled and we expect the Court to enter ruling on all post-trial motions in the fourth quarter of 2014.</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we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In late June and early July of 2014, URC and Ohsung requested Inter Partes Review (IPR) with the US Patent and Trademark Office for each of the ten patents pending in the second URC lawsuit. We intend to vigorously defend each patent before the Patent Office. The Patent Office is expected to issue its decisions on URC’s petitions to institute IPRs within 6 months. In the interest of judicial economy and to best utilize our resources, upon the parties’ agreed motion, the Court has stayed this second lawsuit for 6 months pending the conclusion of the IPRs.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 seeking monetary relief for the infringement, including enhanced damages due to the willfulness of Peel’s actions, injunctive relief to enjoin Peel from further infringement, including contributory infringement and/or inducing infringement, and attorney’s fees. On November 14, 2013, Peel answered our complaint with a general denial that it is infringing our patents and has filed counter-claims, seeking declaratory judgments that our patents are not infringed and are invalid. They are also seeking attorney’s fees. In our reply to Peel’s counterclaims, which we filed on December 5, 2013, we have asked the Court to deny and dismiss with prejudice Peel’s counterclaims and sought after relief. In April 2014, both parties were granted leave by the court to amend the pleadings in the case. We have added four additional patents related to remote control technology, and Peel has filed a counterclaim against us alleging we are infringing one patent related to remote control technology which they recently acquired. We answered Peel’s counterclaim with a general denial of infringement and added our affirmative defenses of non-infringement, invalidity and unenforceability. We will seek attorney fees in connection with defending against this countersuit. In all other respects, this litigation is continuing with discovery under way and the parties are currently engaged in the claim construction process with a “Markman” hearing set for August 13, 2014.</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two of our subsidiaries, Gemstar Technology (China) Co. Ltd. and Gemstar Technology (Yangzhou) Co. Ltd., each filed arbitration requests in Hong Kong under the arbitration rules of the Hong Kong International Arbitration Centre (the “HKIAC”)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against Dongguan City Liwang Battery Co. Ltd. (“LiWang”). In these requests, our subsidiaries are claiming that LiWang supplied defective batteries and are seeking damages incurred as a result. LiWang is opposing jurisdiction under the HKIAC and has, in turn, filed claims against Gemstar Technology (China) Co. Ltd. in the People’s Court of Panyu District, and against Gemstar Technology (Yangzhou) Co., Ltd. in the People’s Court of Bao Ying District, each alleging breach of contract and that jurisdiction should be in China. We are opposing these claims and are awaiting a ruling by the China Courts.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June 30, 2014 and December 31, 2013 based on its latest actuarial report. The India Plan has an independent external manager that advises us of the appropriate funding contribution requirements to which we comply. At June 30, 2014, approximately 38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June 30, 2014 and December 31, 2013 for the India Plan was not material. During the six months ended June 30, 2014 and 2013,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16"/>
                <w:szCs w:val="16"/>
                <w:color w:val="auto"/>
              </w:rPr>
            </w:pP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2013</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349,533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117,666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2,435</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six months ended June 30, 2014 and 2013, we issued 15,000 and 15,000 shares from treasury, respectively, to outside directors for services performed (see Note 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2014, we had 665,439 shares available for repurchase under the Board's authorizations. On July 30, 2014, our Board increased these repurchase authorizations by 436,661 shares bringing the total authorization as of the approval date to 1,100,000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92,747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32,114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29,575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51,735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41,624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17,992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33,521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14,494</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146,315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250,831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71,097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72,957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80,575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80,849</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2,258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2,561</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742</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220" w:type="dxa"/>
            <w:vAlign w:val="bottom"/>
          </w:tcPr>
          <w:p>
            <w:pPr>
              <w:spacing w:after="0"/>
              <w:rPr>
                <w:sz w:val="12"/>
                <w:szCs w:val="12"/>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Weighted-Average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32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 000's)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Exercise Price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22.04</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35.28</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19.25</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21.09</w:t>
            </w: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June 30, 2014 </w:t>
            </w:r>
            <w:r>
              <w:rPr>
                <w:rFonts w:ascii="Arial" w:cs="Arial" w:eastAsia="Arial" w:hAnsi="Arial"/>
                <w:sz w:val="25"/>
                <w:szCs w:val="25"/>
                <w:color w:val="auto"/>
                <w:vertAlign w:val="superscript"/>
              </w:rPr>
              <w:t>(1)</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22.86</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June 30, 2014 </w:t>
            </w:r>
            <w:r>
              <w:rPr>
                <w:rFonts w:ascii="Arial" w:cs="Arial" w:eastAsia="Arial" w:hAnsi="Arial"/>
                <w:sz w:val="25"/>
                <w:szCs w:val="25"/>
                <w:color w:val="auto"/>
                <w:vertAlign w:val="superscript"/>
              </w:rPr>
              <w:t>(1)</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22.87</w:t>
            </w:r>
          </w:p>
        </w:tc>
        <w:tc>
          <w:tcPr>
            <w:tcW w:w="1900" w:type="dxa"/>
            <w:vAlign w:val="bottom"/>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June 30, 2014 </w:t>
            </w:r>
            <w:r>
              <w:rPr>
                <w:rFonts w:ascii="Arial" w:cs="Arial" w:eastAsia="Arial" w:hAnsi="Arial"/>
                <w:sz w:val="25"/>
                <w:szCs w:val="25"/>
                <w:color w:val="auto"/>
                <w:vertAlign w:val="superscript"/>
              </w:rPr>
              <w:t>(1)</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24.12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18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2014 and the exercise price, multiplied by the number of in-the-money options) that would have been received by the option holders had they all exercised their options on June 30, 2014.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8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9.26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21"/>
                <w:szCs w:val="21"/>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7"/>
        </w:trPr>
        <w:tc>
          <w:tcPr>
            <w:tcW w:w="5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5.20</w:t>
            </w:r>
          </w:p>
        </w:tc>
      </w:tr>
    </w:tbl>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2014, we expect to recognize $2.9 million of total unrecognized pre-tax stock-based compensation expense related to non-vested stock options over a remaining weighted-average life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Shares Granted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6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(in 000’s)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35.28</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24.20</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37.78</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2014</w:t>
            </w:r>
          </w:p>
        </w:tc>
        <w:tc>
          <w:tcPr>
            <w:tcW w:w="14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26.63</w:t>
            </w:r>
          </w:p>
        </w:tc>
      </w:tr>
      <w:tr>
        <w:trPr>
          <w:trHeight w:val="20"/>
        </w:trPr>
        <w:tc>
          <w:tcPr>
            <w:tcW w:w="7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2014, we expect to recognize $5.7 million of total unrecognized pre-tax stock-based compensation expense related to non-vested restricted stock awards over a weighted-average life of 2.2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8,787</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0.58</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8,787</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4"/>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ind w:left="540"/>
              <w:spacing w:after="0"/>
              <w:rPr>
                <w:sz w:val="20"/>
                <w:szCs w:val="20"/>
                <w:color w:val="auto"/>
              </w:rPr>
            </w:pPr>
            <w:r>
              <w:rPr>
                <w:rFonts w:ascii="Arial" w:cs="Arial" w:eastAsia="Arial" w:hAnsi="Arial"/>
                <w:sz w:val="14"/>
                <w:szCs w:val="14"/>
                <w:b w:val="1"/>
                <w:bCs w:val="1"/>
                <w:color w:val="auto"/>
              </w:rPr>
              <w:t>2014</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21"/>
                <w:szCs w:val="21"/>
                <w:color w:val="auto"/>
              </w:rPr>
            </w:pPr>
          </w:p>
        </w:tc>
        <w:tc>
          <w:tcPr>
            <w:tcW w:w="152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held foreign currency exchange contracts which resulted in a net pre-tax loss of $0.2 million and $0.1 million for the three months ended June 30, 2014 and 2013, respectively. For the six months ended June 30, 2014 and 2013, we had a net pre-tax loss of $1.3 million and $0.3 million,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8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Position Held</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1, 2014</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June 30, 2014</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6.0461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31,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15, 2014</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4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original equipment manufacturers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827,000 individual device functions and approximately 6,700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twenty-three subsidiaries located in Argentina, Cayman Islands, France, Germany, Hong Kong (6), India, Italy, the Netherlands, Singapore, Spain, Brazil, British Virgin Islands (3), People's Republic of China (3)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June 30, 2014:</w:t>
      </w:r>
    </w:p>
    <w:p>
      <w:pPr>
        <w:spacing w:after="0" w:line="63"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increased 7.5% to $146.3 million for the three months ended June 30, 2014 from $136.1 million for the three months ended June 30, 2013.</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margin percentage increased from 27.8% for the three months ended June 30, 2013 to 29.8% for the three months ended June 30, 2014.</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from 20.5% for the three months ended June 30, 2013 to 21.8% for the three months ended June 30, 2014.</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income increased 17.0% to $11.7 million for the three months ended June 30, 2014 from $10.0 million for the three months ended June 30, 2013, and our operating margin percentage increased to 8.0% for the three months ended June 30, 2014, compared to 7.3% for the three months ended June 30, 2013.</w:t>
      </w:r>
    </w:p>
    <w:p>
      <w:pPr>
        <w:spacing w:after="0" w:line="1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decreased to 24.7% for the three months ended June 30, 2014, compared to 30.0% for the three months ended June 30,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2014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an on-going basis, we evaluate our estimates and judgments, including those related to revenue recognition, allowance for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2014 to the items that we disclosed as our critical accounting policies and estimates in Item 7, "Management’s Discussion and Analysis of Financial Condition and Results of Operations" contained in our Annual Report on Form 10-K for our fiscal year ended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10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71.9</w:t>
            </w:r>
          </w:p>
        </w:tc>
      </w:tr>
      <w:tr>
        <w:trPr>
          <w:trHeight w:val="27"/>
        </w:trPr>
        <w:tc>
          <w:tcPr>
            <w:tcW w:w="5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19.2</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5.6</w:t>
            </w: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(0.9)</w:t>
            </w:r>
          </w:p>
        </w:tc>
      </w:tr>
      <w:tr>
        <w:trPr>
          <w:trHeight w:val="27"/>
        </w:trPr>
        <w:tc>
          <w:tcPr>
            <w:tcW w:w="5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7"/>
        </w:trPr>
        <w:tc>
          <w:tcPr>
            <w:tcW w:w="5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Three Months Ended June 30, 2013</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June 30, 2014 were $146.3 million, an increase of 7.5% compared to $136.1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8.7</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in our Business lines (subscription broadcasting, OEM, and computing companies) were 90.7% of net sales for the three months ended June 30, 2014 compared to 91.3% for the three months ended June 30, 2013. Net sales in our Business lines for the three months ended June 30, 2014 increased by 6.8% to $132.7 million from $124.2 million driven primarily by growth in sales to consumer electronics companies in Asia, an increase in licensing income, as well as strong demand and increased market share with both European and North American subscription broadcasters.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9.3% of net sales for the three months ended June 30, 2014 compared to 8.7% for the three months ended June 30, 2013. Net sales in our Consumer lines for the three months ended June 30, 2014 increased by 14.3% to $13.6 million from $11.9 million in the three months ended June 30, 2013 primarily due to increased distribution in the grocery-food channel as well as increased demand resulting from the 2014 FIFA World Cup™.</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June 30, 2014 was $43.6 million compared to $37.8 million for the three months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increased to 29.8% for the three months ended June 30, 2014 compared to 27.8% for the three months ended June 30, 2013. The gross margin percentage was favorably impacted by an increase in licensing revenue associated with the smart device channel and, to a lesser extent, the strengthening of the British Pound and Euro compared to the U.S. Dollar. Offsetting these favorable items was an increase in sales to certain large customers that yield a lower gross margin than our company average.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2.0% to $4.1 million for the three months ended June 30, 2014 from $4.0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2013. This increase in spending was in line with our strategic initiatives and was primarily driven by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16.6% to $27.8 million for the three months ended June 30, 2014 from</w:t>
      </w:r>
      <w:r>
        <w:rPr>
          <w:rFonts w:ascii="Arial" w:cs="Arial" w:eastAsia="Arial" w:hAnsi="Arial"/>
          <w:sz w:val="18"/>
          <w:szCs w:val="18"/>
          <w:i w:val="1"/>
          <w:iCs w:val="1"/>
          <w:color w:val="auto"/>
        </w:rPr>
        <w:t xml:space="preserve"> </w:t>
      </w:r>
      <w:r>
        <w:rPr>
          <w:rFonts w:ascii="Arial" w:cs="Arial" w:eastAsia="Arial" w:hAnsi="Arial"/>
          <w:sz w:val="18"/>
          <w:szCs w:val="18"/>
          <w:color w:val="auto"/>
        </w:rPr>
        <w:t>$23.8 million for the three months ended June 30, 2013. This increase was driven primarily by increased incentive compensation costs as a result of strong financial performance in the current year, increased external legal expenses related to patent litigation cases, and increased engineering costs related to product development.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$71 thousand for the three months ended June 30, 2014 compared to net interest income of $4</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June 30, 2013.</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$0.3 million for the three months ended June 30, 2014 compared to net other expense of $1.6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2013. This decrease was driven primarily by a decrease in foreign currency losses associated with fluctuations in foreign currency rates related to the Chinese Yuan Renminbi, Brazilian Real and Argentinian Peso.</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was $2.8 million for the three months ended June 30, 2014 compared to $2.5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2013. Our effective tax rate was 24.7% for the three months ended June 30, 2014 compared to 30.0% for the three months ended June 30, 2013. The decrease in our effective tax rate was primarily due to the recording of $0.4 million of additional tax reserves in the second quarter of 2013 resulting from a tax audit in Hong Kong for years preceding our acquisition of Enson Assets Limited. In addition, foreign earnings, which have a lower tax rate than the United States, represented a higher percentage of our pre-tax income in the second quarter of 2014 compared to the same period in 2013. Partially offsetting these favorable items was the expiration of the "Look-Through" rule, which expired as of December 31, 2013 and resulted in an increase of Subpart F income for the three months ended June 30, 2014. In addition, the federal R&amp;D tax credit for 2014 has not been passed; therefore, the benefit is not included in our estimated tax rate for the current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Six Months Ended June 30, 2013</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six months ended June 30, 2014 were $276.2 million, an increase of 10.1% compared to $250.8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90.9% of net sales for the six months ended June 30, 2014 compared to 91.2% for the six months ended June 30, 2013. Net sales in our Business lines for the six months ended June 30, 2014 increased by 9.8% to $251.2 million from $228.8 million driven primarily by growth in sales to consumer electronics companies in Asia, an increase in licensing income, as well as strong demand and increased market share in North American subscription broadcasting.</w:t>
      </w:r>
    </w:p>
    <w:p>
      <w:pPr>
        <w:spacing w:after="0" w:line="13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9.1% of net sales for the six months ended June 30, 2014 compared to 8.8% for the six months ended June 30, 2013. Net sales in our Consumer lines for the six months ended June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 2014 increased by 13.6% to $25.0 million from $22.0 million in the six months ended June 30, 2013 primarily due to increased distribution in the grocery-food channel as well as increased demand resulting from the 2014 FIFA World Cup™.</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six months ended June 30, 2014 was $80.1 million compared to $70.4 million for the six months ended June 30, 2013.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as a percent of sales was 29.0% for the six months ended June 30, 2014 compared to 28.1% for the six months ended June 30, 2013. The gross margin percentage was favorably impacted by an increase in licensing revenue associated with the smart device channel and, to a lesser extent, the strengthening of the British Pound, Brazilian Real and Euro compared to the U.S. Dollar. Offsetting these favorable items was an increase in sales to certain large customers that yield a lower gross margin than our company average.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1.4% to $8.4 million for the six months ended June 30, 2014 from $8.3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2013.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12.0% to $54.0 million for the six months ended June 30, 2014 from $48.2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2013. This increase was driven primarily by increased incentive compensation costs as a result of strong financial performance in the current year, increased external legal expenses related to patent litigation cases, and increased engineering costs related to product development.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$87 thousand for the six months ended June 30, 2014 compared to net interest income of $13</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six months ended June 30, 2013.</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$0.7 million for the six months ended June 30, 2014 compared to net other expense of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2013. This decrease was driven primarily by a decrease in foreign currency losses associated with fluctuations in foreign currency rates related to the Chinese Yuan Renminbi, Argentinian Peso and Brazilian Real.</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$4.1 million for the six months ended June 30, 2014 compared to $2.9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2013. Our effective tax rate was 24.5% for the six months ended June 30, 2014 compared to 24.9% for the six months ended June 30, 2013. The decrease in our effective tax rate was primarily due to the recording of $0.4 million of additional tax reserves in the second quarter of 2013 resulting from a tax audit in Hong Kong for years preceding our acquisition of Enson Assets Limited. In addition, foreign earnings, which have a lower tax rate than the United States, represented a higher percentage of our pre-tax income in the first half of 2014 compared to the same period in 2013. Partially offsetting these favorable items was the expiration of the "Look-Through" rule, which expired as of December 31, 2013 and resulted in an increase of Subpart F income for the six months ended June 30, 2014. In addition, the federal R&amp;D tax credit for 2014 has not been passed; therefore, the benefit is not included in our estimated tax rate for the current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504"/>
        </w:trPr>
        <w:tc>
          <w:tcPr>
            <w:tcW w:w="4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167,514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158,548</w:t>
            </w:r>
          </w:p>
        </w:tc>
        <w:tc>
          <w:tcPr>
            <w:tcW w:w="0" w:type="dxa"/>
            <w:vAlign w:val="bottom"/>
          </w:tcPr>
          <w:p>
            <w:pPr>
              <w:spacing w:after="0"/>
              <w:rPr>
                <w:sz w:val="1"/>
                <w:szCs w:val="1"/>
                <w:color w:val="auto"/>
              </w:rPr>
            </w:pPr>
          </w:p>
        </w:tc>
      </w:tr>
      <w:tr>
        <w:trPr>
          <w:trHeight w:val="486"/>
        </w:trPr>
        <w:tc>
          <w:tcPr>
            <w:tcW w:w="4540" w:type="dxa"/>
            <w:vAlign w:val="bottom"/>
          </w:tcPr>
          <w:p>
            <w:pPr>
              <w:spacing w:after="0"/>
              <w:rPr>
                <w:sz w:val="24"/>
                <w:szCs w:val="24"/>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24</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increased $20.8 million to $28.8 million during the six months ended June 30, 2014 from $7.9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2013, primarily due to the net impact of changes in working capital needs associated with inventories, accounts payable and accounts receivable. Our inventory turns improved to 4.3 turns for the six months ended June 30, 2014, compared to 3.9 turns for the six months ended June 30, 2013, primarily as a result of increased resin purchases during the six months ended June 30, 2013 due to attractive pricing at that time, increased levels of certain components, primarily chips, at June 30, 2013 due to increased lead times, and more tightly managed inventory levels in the current year. With respect to accounts payable, payment timing related to 2014 inventory purchases resulted in increased cash inflows during the six months ended June 30, 2014 compared to the prior year period. Offsetting these impacts was an increase in accounts receivable, which was driven by sales growth and collection timing. Days sales outstanding increased from 59 days at June 30, 2013 to 66 days at June 30, 2014. Our days sales outstanding typically fluctuates between 62 and 69 days.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2014 was $8.4 million compared to $5.3 million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2013. Cash outflows to purchase property, plant and equipment were $7.7 million during the six months ended June 30, 2014 compared to $4.7 million for the six months ended June 30, 2013. This increase was driven primarily by an increase in machinery and equipment purchases at our China factories compared to the same period in the prior year.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$8.5 million during the six months ended June 30, 2014 compared to net cash provided by financing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during the six months ended June 30, 2013. The increase in cash used for financing activities was driven primarily by an increased level of stock repurchases in the current year period.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2014, we repurchased 349,533 shares of our common stock at a cost of $14.3 million compared to our repurchase of 117,666 shares at a cost of $2.4 million during the six months ended June 30, 2013.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2014, we had 665,439 shares available for repurchase under the Board's authorizations. On July 30, 2014, our Board increased these repurchase authorizations by 436,661 shares bringing the total authorization as of the approval date to 1,100,000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14,180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during the next twelve months; however, because our cash is located in various jurisdictions throughout the world, we may at times need to borrow from our revolving line of credit or take on additional debt until we are able to transfer cash among our various entities.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1">
              <w:r>
                <w:rPr>
                  <w:rFonts w:ascii="Arial" w:cs="Arial" w:eastAsia="Arial" w:hAnsi="Arial"/>
                  <w:sz w:val="14"/>
                  <w:szCs w:val="14"/>
                  <w:b w:val="1"/>
                  <w:bCs w:val="1"/>
                  <w:color w:val="0000EE"/>
                  <w:w w:val="91"/>
                </w:rPr>
                <w:t>Table of Contents</w:t>
              </w:r>
            </w:hyperlink>
          </w:p>
        </w:tc>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4"/>
                <w:szCs w:val="24"/>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Pr>
          <w:p>
            <w:pPr>
              <w:spacing w:after="0"/>
              <w:rPr>
                <w:sz w:val="24"/>
                <w:szCs w:val="24"/>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42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54,987</w:t>
            </w:r>
          </w:p>
        </w:tc>
      </w:tr>
      <w:tr>
        <w:trPr>
          <w:trHeight w:val="27"/>
        </w:trPr>
        <w:tc>
          <w:tcPr>
            <w:tcW w:w="11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2014, we had $29.4 million, $45.8 million, $9.2 million and $3.2 million of cash and cash equivalents in the United States, Asia, Europe, and South America, respectively. On December 31, 2013, we had approximately $30.1 million, $34.6 million, $7.2 million, and $4.3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June 30, 2014. The Amended Credit Agreement expires on November 1, 2014. We are presently in negotiations with U.S. Bank to extend the term of the Amended Credit Agreement and expect to have an extension or replacement credit facility in place prior to the scheduled expiration date. The size, rates and other key terms of the extension or replacement credit facility have yet to be determined.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June 30, 2014, we were in compliance with the covenants and conditions of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2013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materially from those contained in any forward-looking statement. Therefore, forward-looking statements should not be relied upon as a prediction of actual future results.</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June 30, 2014 we had no outstanding borrowings under our Credit Line, from time to time we may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six months ended June 30, 2014.</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2014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Indian Rupee, and Singapore Dollar.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For most other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June 30, 2014, we believe that movements in foreign currency rates may have a material effect on our financial position and results of operations. We estimate that if the exchange rates for the Chinese Yuan Renminbi, Euro, British Pound, Argentinian Peso, Brazilian Real, Indian Rupee, and Singapore Dollar relative to the U.S. Dollar fluctuate 10% from June 30, 2014, net income in the third quarter of 2014 would fluctuate by approximately $7.2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2013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June 30, 2014, we repurchased 338,421 shares of our issued and outstanding common stock for $13.9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June 30, 2014, we had 665,439 shares available for repurchase under the Board's authorizations. On July 30, 2014, our Board increased these repurchase authorizations by 436,661 shares bringing the total authorization as of the approval date to 1,100,000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the three months ended June 30, 2014,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Shares Purchased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2014 - April 30, 2014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3,860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May 1, 2014 - May 31, 2014</w:t>
            </w:r>
          </w:p>
        </w:tc>
        <w:tc>
          <w:tcPr>
            <w:tcW w:w="1320" w:type="dxa"/>
            <w:vAlign w:val="bottom"/>
          </w:tcPr>
          <w:p>
            <w:pPr>
              <w:jc w:val="right"/>
              <w:spacing w:after="0"/>
              <w:rPr>
                <w:sz w:val="20"/>
                <w:szCs w:val="20"/>
                <w:color w:val="auto"/>
              </w:rPr>
            </w:pPr>
            <w:r>
              <w:rPr>
                <w:rFonts w:ascii="Arial" w:cs="Arial" w:eastAsia="Arial" w:hAnsi="Arial"/>
                <w:sz w:val="18"/>
                <w:szCs w:val="18"/>
                <w:color w:val="auto"/>
              </w:rPr>
              <w:t>289,526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289,526</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710,474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2014 - June 30, 2014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45,035</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665,439</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338,421</w:t>
            </w: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338,421</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665,439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180"/>
          </w:cols>
          <w:pgMar w:left="240" w:top="118" w:right="4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Dated:  August 7, 2014</w:t>
            </w:r>
          </w:p>
        </w:tc>
        <w:tc>
          <w:tcPr>
            <w:tcW w:w="7700" w:type="dxa"/>
            <w:vAlign w:val="bottom"/>
            <w:gridSpan w:val="2"/>
          </w:tcPr>
          <w:p>
            <w:pPr>
              <w:ind w:left="192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8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8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31</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18"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2019-12-05T16:07:34Z</dcterms:created>
  <dcterms:modified xsi:type="dcterms:W3CDTF">2019-12-05T16:07:34Z</dcterms:modified>
</cp:coreProperties>
</file>