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For the quarterly period ended September 30, 2014</w:t>
      </w:r>
    </w:p>
    <w:p>
      <w:pPr>
        <w:spacing w:after="0" w:line="85"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39"/>
              <w:spacing w:after="0"/>
              <w:rPr>
                <w:sz w:val="20"/>
                <w:szCs w:val="20"/>
                <w:color w:val="auto"/>
              </w:rPr>
            </w:pPr>
            <w:r>
              <w:rPr>
                <w:rFonts w:ascii="Arial" w:cs="Arial" w:eastAsia="Arial" w:hAnsi="Arial"/>
                <w:sz w:val="18"/>
                <w:szCs w:val="18"/>
                <w:b w:val="1"/>
                <w:bCs w:val="1"/>
                <w:color w:val="auto"/>
              </w:rPr>
              <w:t>33-0204817</w:t>
            </w:r>
          </w:p>
        </w:tc>
      </w:tr>
      <w:tr>
        <w:trPr>
          <w:trHeight w:val="180"/>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201 E. Sandpointe Avenue, 8</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5100" w:type="dxa"/>
            <w:vAlign w:val="bottom"/>
          </w:tcPr>
          <w:p>
            <w:pPr>
              <w:spacing w:after="0"/>
              <w:rPr>
                <w:sz w:val="24"/>
                <w:szCs w:val="24"/>
                <w:color w:val="auto"/>
              </w:rPr>
            </w:pPr>
          </w:p>
        </w:tc>
      </w:t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Santa Ana, California</w:t>
            </w:r>
          </w:p>
        </w:tc>
        <w:tc>
          <w:tcPr>
            <w:tcW w:w="5100" w:type="dxa"/>
            <w:vAlign w:val="bottom"/>
          </w:tcPr>
          <w:p>
            <w:pPr>
              <w:jc w:val="right"/>
              <w:ind w:right="239"/>
              <w:spacing w:after="0"/>
              <w:rPr>
                <w:sz w:val="20"/>
                <w:szCs w:val="20"/>
                <w:color w:val="auto"/>
              </w:rPr>
            </w:pPr>
            <w:r>
              <w:rPr>
                <w:rFonts w:ascii="Arial" w:cs="Arial" w:eastAsia="Arial" w:hAnsi="Arial"/>
                <w:sz w:val="18"/>
                <w:szCs w:val="18"/>
                <w:b w:val="1"/>
                <w:bCs w:val="1"/>
                <w:color w:val="auto"/>
              </w:rPr>
              <w:t>92707</w:t>
            </w:r>
          </w:p>
        </w:tc>
      </w:tr>
      <w:tr>
        <w:trPr>
          <w:trHeight w:val="218"/>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7880" w:type="dxa"/>
            <w:vAlign w:val="bottom"/>
            <w:gridSpan w:val="2"/>
          </w:tcPr>
          <w:p>
            <w:pPr>
              <w:jc w:val="center"/>
              <w:ind w:left="738"/>
              <w:spacing w:after="0"/>
              <w:rPr>
                <w:sz w:val="20"/>
                <w:szCs w:val="20"/>
                <w:color w:val="auto"/>
              </w:rPr>
            </w:pPr>
            <w:r>
              <w:rPr>
                <w:rFonts w:ascii="Arial" w:cs="Arial" w:eastAsia="Arial" w:hAnsi="Arial"/>
                <w:sz w:val="18"/>
                <w:szCs w:val="18"/>
                <w:b w:val="1"/>
                <w:bCs w:val="1"/>
                <w:color w:val="auto"/>
                <w:w w:val="89"/>
              </w:rPr>
              <w:t>Registrant's telephone number, including area code: (714) 918-9500</w:t>
            </w:r>
          </w:p>
        </w:tc>
      </w:tr>
      <w:tr>
        <w:trPr>
          <w:trHeight w:val="284"/>
        </w:trPr>
        <w:tc>
          <w:tcPr>
            <w:tcW w:w="2780" w:type="dxa"/>
            <w:vAlign w:val="bottom"/>
          </w:tcPr>
          <w:p>
            <w:pPr>
              <w:spacing w:after="0"/>
              <w:rPr>
                <w:sz w:val="24"/>
                <w:szCs w:val="24"/>
                <w:color w:val="auto"/>
              </w:rPr>
            </w:pPr>
          </w:p>
        </w:tc>
        <w:tc>
          <w:tcPr>
            <w:tcW w:w="5100" w:type="dxa"/>
            <w:vAlign w:val="bottom"/>
          </w:tcPr>
          <w:p>
            <w:pPr>
              <w:jc w:val="right"/>
              <w:ind w:right="1939"/>
              <w:spacing w:after="0"/>
              <w:rPr>
                <w:sz w:val="20"/>
                <w:szCs w:val="20"/>
                <w:color w:val="auto"/>
              </w:rPr>
            </w:pPr>
            <w:r>
              <w:rPr>
                <w:rFonts w:ascii="Arial" w:cs="Arial" w:eastAsia="Arial" w:hAnsi="Arial"/>
                <w:sz w:val="18"/>
                <w:szCs w:val="18"/>
                <w:color w:val="auto"/>
                <w:w w:val="89"/>
              </w:rPr>
              <w:t>__________________________________</w:t>
            </w:r>
          </w:p>
        </w:tc>
      </w:tr>
    </w:tbl>
    <w:p>
      <w:pPr>
        <w:spacing w:after="0" w:line="148" w:lineRule="exact"/>
        <w:rPr>
          <w:sz w:val="24"/>
          <w:szCs w:val="24"/>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17" w:right="239" w:bottom="144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560" w:space="720"/>
            <w:col w:w="1880" w:space="720"/>
            <w:col w:w="340"/>
          </w:cols>
          <w:pgMar w:left="240" w:top="517"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560" w:space="640"/>
            <w:col w:w="180" w:space="80"/>
            <w:col w:w="5300" w:space="720"/>
            <w:col w:w="1960" w:space="640"/>
            <w:col w:w="340"/>
          </w:cols>
          <w:pgMar w:left="240" w:top="517"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5">
            <w:col w:w="7440" w:space="160"/>
            <w:col w:w="260" w:space="100"/>
            <w:col w:w="160" w:space="180"/>
            <w:col w:w="220" w:space="80"/>
            <w:col w:w="2820"/>
          </w:cols>
          <w:pgMar w:left="240" w:top="517" w:right="239" w:bottom="1440" w:gutter="0" w:footer="0" w:header="0"/>
          <w:type w:val="continuous"/>
        </w:sectPr>
      </w:pPr>
    </w:p>
    <w:p>
      <w:pPr>
        <w:ind w:right="34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15,796,158 shares of Common Stock, par value $0.01 per share, of the registrant were outstanding on November 4, 2014.</w:t>
      </w:r>
    </w:p>
    <w:p>
      <w:pPr>
        <w:sectPr>
          <w:pgSz w:w="11900" w:h="16838" w:orient="portrait"/>
          <w:cols w:equalWidth="0" w:num="1">
            <w:col w:w="11420"/>
          </w:cols>
          <w:pgMar w:left="240" w:top="51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gridSpan w:val="3"/>
          </w:tcPr>
          <w:p>
            <w:pPr>
              <w:jc w:val="center"/>
              <w:ind w:right="1440"/>
              <w:spacing w:after="0"/>
              <w:rPr>
                <w:sz w:val="20"/>
                <w:szCs w:val="20"/>
                <w:color w:val="auto"/>
              </w:rPr>
            </w:pPr>
            <w:r>
              <w:rPr>
                <w:rFonts w:ascii="Arial" w:cs="Arial" w:eastAsia="Arial" w:hAnsi="Arial"/>
                <w:sz w:val="18"/>
                <w:szCs w:val="18"/>
                <w:b w:val="1"/>
                <w:bCs w:val="1"/>
                <w:color w:val="auto"/>
              </w:rPr>
              <w:t>UNIVERSAL ELECTRONICS INC.</w:t>
            </w: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rPr>
              <w:t>INDEX</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23"/>
        </w:trPr>
        <w:tc>
          <w:tcPr>
            <w:tcW w:w="884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Consolidated Financial Statements (Unaudited)</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4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1620" w:type="dxa"/>
            <w:vAlign w:val="bottom"/>
            <w:tcBorders>
              <w:top w:val="single" w:sz="8" w:color="0000EE"/>
            </w:tcBorders>
            <w:gridSpan w:val="7"/>
          </w:tcPr>
          <w:p>
            <w:pPr>
              <w:spacing w:after="0"/>
              <w:rPr>
                <w:sz w:val="21"/>
                <w:szCs w:val="21"/>
                <w:color w:val="auto"/>
              </w:rPr>
            </w:pPr>
          </w:p>
        </w:tc>
        <w:tc>
          <w:tcPr>
            <w:tcW w:w="4880" w:type="dxa"/>
            <w:vAlign w:val="bottom"/>
            <w:gridSpan w:val="3"/>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Comprehensive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50"/>
        </w:trPr>
        <w:tc>
          <w:tcPr>
            <w:tcW w:w="240" w:type="dxa"/>
            <w:vAlign w:val="bottom"/>
          </w:tcPr>
          <w:p>
            <w:pPr>
              <w:spacing w:after="0"/>
              <w:rPr>
                <w:sz w:val="21"/>
                <w:szCs w:val="21"/>
                <w:color w:val="auto"/>
              </w:rPr>
            </w:pPr>
          </w:p>
        </w:tc>
        <w:tc>
          <w:tcPr>
            <w:tcW w:w="3540" w:type="dxa"/>
            <w:vAlign w:val="bottom"/>
            <w:tcBorders>
              <w:top w:val="single" w:sz="8" w:color="0000EE"/>
            </w:tcBorders>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w:t>
              </w:r>
            </w:hyperlink>
          </w:p>
        </w:tc>
        <w:tc>
          <w:tcPr>
            <w:tcW w:w="5060" w:type="dxa"/>
            <w:vAlign w:val="bottom"/>
            <w:gridSpan w:val="4"/>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17"/>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2. Management's Discussion and Analysis of Financial Condition and Results of Operations</w:t>
              </w:r>
            </w:hyperlink>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21</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3. Quantitative and Qualitative Disclosures About Market Risk</w:t>
              </w:r>
            </w:hyperlink>
          </w:p>
        </w:tc>
        <w:tc>
          <w:tcPr>
            <w:tcW w:w="2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27</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3940" w:type="dxa"/>
            <w:vAlign w:val="bottom"/>
            <w:tcBorders>
              <w:left w:val="single" w:sz="8" w:color="0000EE"/>
            </w:tcBorders>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Item 4. Controls and Procedures</w:t>
              </w:r>
            </w:hyperlink>
          </w:p>
        </w:tc>
        <w:tc>
          <w:tcPr>
            <w:tcW w:w="2580" w:type="dxa"/>
            <w:vAlign w:val="bottom"/>
            <w:gridSpan w:val="9"/>
          </w:tcPr>
          <w:p>
            <w:pPr>
              <w:spacing w:after="0"/>
              <w:rPr>
                <w:sz w:val="21"/>
                <w:szCs w:val="21"/>
                <w:color w:val="auto"/>
              </w:rPr>
            </w:pPr>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28</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60" w:type="dxa"/>
            <w:vAlign w:val="bottom"/>
            <w:gridSpan w:val="1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 Legal Proceedings</w:t>
              </w:r>
            </w:hyperlink>
          </w:p>
        </w:tc>
        <w:tc>
          <w:tcPr>
            <w:tcW w:w="6080" w:type="dxa"/>
            <w:vAlign w:val="bottom"/>
            <w:gridSpan w:val="8"/>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80" w:type="dxa"/>
            <w:vAlign w:val="bottom"/>
            <w:gridSpan w:val="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6960" w:type="dxa"/>
            <w:vAlign w:val="bottom"/>
            <w:gridSpan w:val="1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Item 2. Unregistered Sales of Equity Securities and Use of Proceeds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6. Exhibits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29</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w:t>
              </w:r>
            </w:hyperlink>
          </w:p>
        </w:tc>
        <w:tc>
          <w:tcPr>
            <w:tcW w:w="7700" w:type="dxa"/>
            <w:vAlign w:val="bottom"/>
            <w:gridSpan w:val="14"/>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30</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80" w:type="dxa"/>
            <w:vAlign w:val="bottom"/>
            <w:gridSpan w:val="3"/>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Exhibit Index</w:t>
              </w:r>
            </w:hyperlink>
          </w:p>
        </w:tc>
        <w:tc>
          <w:tcPr>
            <w:tcW w:w="7860" w:type="dxa"/>
            <w:vAlign w:val="bottom"/>
            <w:gridSpan w:val="15"/>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31</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00"/>
          </w:cols>
          <w:pgMar w:left="280" w:top="364" w:right="51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9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98,964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76,174</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105,920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95,408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92,341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96,309</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4,548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4,395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6,158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6,167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307,947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278,466</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76,682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75,570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31,000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25,164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26,963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5,442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5,279</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451,596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423,733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20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69,885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58,498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Line of credit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38,002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38,317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Accrued sales discounts, rebates and royalties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8,539</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Accrued income taxes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1,922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3,032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Other accrued expenses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12,466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11,229</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129,921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119,918</w:t>
            </w: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9,887</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Income tax payable</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217"/>
        </w:trPr>
        <w:tc>
          <w:tcPr>
            <w:tcW w:w="7900" w:type="dxa"/>
            <w:vAlign w:val="bottom"/>
          </w:tcPr>
          <w:p>
            <w:pPr>
              <w:ind w:left="114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142,582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132,463</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w w:val="96"/>
              </w:rPr>
              <w:t>Common stock, $0.01 par value, 50,000,000 shares authorized; 22,788,604 and 22,344,121 shares issued on</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380"/>
              <w:spacing w:after="0"/>
              <w:rPr>
                <w:sz w:val="20"/>
                <w:szCs w:val="20"/>
                <w:color w:val="auto"/>
              </w:rPr>
            </w:pPr>
            <w:r>
              <w:rPr>
                <w:rFonts w:ascii="Arial" w:cs="Arial" w:eastAsia="Arial" w:hAnsi="Arial"/>
                <w:sz w:val="16"/>
                <w:szCs w:val="16"/>
                <w:color w:val="auto"/>
              </w:rPr>
              <w:t>September 30, 2014 and December 31, 2013, respectively</w:t>
            </w:r>
          </w:p>
        </w:tc>
        <w:tc>
          <w:tcPr>
            <w:tcW w:w="180" w:type="dxa"/>
            <w:vAlign w:val="bottom"/>
          </w:tcPr>
          <w:p>
            <w:pPr>
              <w:spacing w:after="0"/>
              <w:rPr>
                <w:sz w:val="17"/>
                <w:szCs w:val="17"/>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199,513</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2,982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217,164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193,532</w:t>
            </w: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428,968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396,250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Less cost of common stock in treasury, 6,992,446 and 6,639,497 shares on</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September 30, 2014 and December 31, 2013,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(104,980)</w:t>
            </w:r>
          </w:p>
        </w:tc>
        <w:tc>
          <w:tcPr>
            <w:tcW w:w="0" w:type="dxa"/>
            <w:vAlign w:val="bottom"/>
          </w:tcPr>
          <w:p>
            <w:pPr>
              <w:spacing w:after="0"/>
              <w:rPr>
                <w:sz w:val="1"/>
                <w:szCs w:val="1"/>
                <w:color w:val="auto"/>
              </w:rPr>
            </w:pPr>
          </w:p>
        </w:tc>
      </w:tr>
      <w:tr>
        <w:trPr>
          <w:trHeight w:val="217"/>
        </w:trPr>
        <w:tc>
          <w:tcPr>
            <w:tcW w:w="7900" w:type="dxa"/>
            <w:vAlign w:val="bottom"/>
          </w:tcPr>
          <w:p>
            <w:pPr>
              <w:ind w:left="11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309,014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291,270</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451,596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423,733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See Note 4 for further information concerning our purchases from a related party vendor.</w:t>
      </w:r>
    </w:p>
    <w:p>
      <w:pPr>
        <w:spacing w:after="0" w:line="22"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147,780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142,389</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393,220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102,665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101,940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298,721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282,386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110,834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4,210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12,606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74,029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13,785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10,471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31,449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24,342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6,458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8,623</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17,410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earnings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15,723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15,324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15,764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15,129</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15,462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10,871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23,632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17,410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7,936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10,688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18,853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18,999</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23,632</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17,410</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13,445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13,387</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Provision for inventory write-downs</w:t>
            </w:r>
          </w:p>
        </w:tc>
        <w:tc>
          <w:tcPr>
            <w:tcW w:w="3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1,988</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Tax benefit from exercise of stock options and vested restricted stock</w:t>
            </w:r>
          </w:p>
        </w:tc>
        <w:tc>
          <w:tcPr>
            <w:tcW w:w="3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1,040</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Shares issued for employee benefit plan</w:t>
            </w:r>
          </w:p>
        </w:tc>
        <w:tc>
          <w:tcPr>
            <w:tcW w:w="3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598</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3,950</w:t>
            </w:r>
          </w:p>
        </w:tc>
      </w:tr>
      <w:tr>
        <w:trPr>
          <w:trHeight w:val="243"/>
        </w:trPr>
        <w:tc>
          <w:tcPr>
            <w:tcW w:w="8100" w:type="dxa"/>
            <w:vAlign w:val="bottom"/>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(12,734)</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(20,701)</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w:t>
            </w:r>
          </w:p>
        </w:tc>
      </w:tr>
      <w:tr>
        <w:trPr>
          <w:trHeight w:val="243"/>
        </w:trPr>
        <w:tc>
          <w:tcPr>
            <w:tcW w:w="8100" w:type="dxa"/>
            <w:vAlign w:val="bottom"/>
          </w:tcPr>
          <w:p>
            <w:pPr>
              <w:ind w:left="82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13,647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(3,015)</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Accrued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37"/>
        </w:trPr>
        <w:tc>
          <w:tcPr>
            <w:tcW w:w="810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43,347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802</w:t>
            </w:r>
          </w:p>
        </w:tc>
      </w:tr>
      <w:tr>
        <w:trPr>
          <w:trHeight w:val="27"/>
        </w:trPr>
        <w:tc>
          <w:tcPr>
            <w:tcW w:w="8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used for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Acquisition of property, plant, and equipment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(7,978)</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intangible assets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r>
      <w:tr>
        <w:trPr>
          <w:trHeight w:val="237"/>
        </w:trPr>
        <w:tc>
          <w:tcPr>
            <w:tcW w:w="8100" w:type="dxa"/>
            <w:vAlign w:val="bottom"/>
          </w:tcPr>
          <w:p>
            <w:pPr>
              <w:ind w:left="700"/>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(8,956)</w:t>
            </w:r>
          </w:p>
        </w:tc>
      </w:tr>
      <w:tr>
        <w:trPr>
          <w:trHeight w:val="27"/>
        </w:trPr>
        <w:tc>
          <w:tcPr>
            <w:tcW w:w="8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(used for)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Issuance of debt</w:t>
            </w: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19,500</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(19,500)</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Proceeds from stock options exercised</w:t>
            </w:r>
          </w:p>
        </w:tc>
        <w:tc>
          <w:tcPr>
            <w:tcW w:w="3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6,400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8,487</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purchased</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1,011</w:t>
            </w:r>
          </w:p>
        </w:tc>
      </w:tr>
      <w:tr>
        <w:trPr>
          <w:trHeight w:val="27"/>
        </w:trPr>
        <w:tc>
          <w:tcPr>
            <w:tcW w:w="8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provided by (used for)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6,345</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1,818</w:t>
            </w:r>
          </w:p>
        </w:tc>
      </w:tr>
      <w:tr>
        <w:trPr>
          <w:trHeight w:val="27"/>
        </w:trPr>
        <w:tc>
          <w:tcPr>
            <w:tcW w:w="8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76,174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44,593</w:t>
            </w:r>
          </w:p>
        </w:tc>
      </w:tr>
      <w:tr>
        <w:trPr>
          <w:trHeight w:val="27"/>
        </w:trPr>
        <w:tc>
          <w:tcPr>
            <w:tcW w:w="8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98,964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44,602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4,091</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3,319</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8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18" w:right="2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and nine months ended September 30, 2014 are not necessarily indicative of the results to be expected for the full year. These financial statements should be read in conjunction with the "Risk Factors," "Management Discussion and Analysis of Financial Condition and Results of Operations," "Quantitative and Qualitative Disclosures About Market Risk," and the "Financial Statements and Supplementary Data" and notes thereto included in Items 1A, 7, 7A, and 8, respectively, of our Annual Report on Form 10-K for the year ended December 31,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judgments and assumptions, including those related to revenue recognition, allowance for doubtful accounts, warranties, inventory valuation, impairment of long-lived assets, intangible assets and goodwill, income taxes and stock-based compensation expense. Actual results may differ from our expectations. Based on our evaluation, our estimates, judgments and assumptions may be adjusted as more information becomes available. Any adjustment may be material.</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2013 for a summary of our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2013, the FASB issued Accounting Standards Update ("ASU") 2013-11, "Presentation of an Unrecognized Tax Benefit When a Net Operating Loss Carryforward, a Similar Tax Loss, or a Tax Credit Carryforward Exists." This standard requires an entity to present an unrecognized tax benefit, or a portion of an unrecognized tax benefit, in the financial statements as a reduction to a deferred tax asset for a net operating loss carryforward, a similar tax loss, or a tax credit carryforward.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guidance became effective for fiscal years, and interim periods within those years, beginning after December 15, 2013. The adoption of this guidance did not have a material impact on our consolidated financial statements.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which will supersede most existing U.S. GAAP revenue recognition guidance. This new standard requires an entity to recognize revenue to depict the transfer of goods or services to customers in an amount that reflects the consideration to which an entity expects to be entitled in exchange for those goods or services. In addition, ASU 2014-09 contains expanded disclosure requirements relating to the nature, amount, timing, and uncertainty of revenue and cash flows arising from contracts with customers. ASU 2014-09 is effective for fiscal periods beginning after December 15, 2016 and permits the use of either the full retrospective or cumulative effect transition method. Early adoption is not permitted. We have not yet selected a transition method and are evaluating the impact that this new standard will have on our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4"/>
                <w:szCs w:val="14"/>
                <w:color w:val="auto"/>
              </w:rPr>
            </w:pPr>
          </w:p>
        </w:tc>
        <w:tc>
          <w:tcPr>
            <w:tcW w:w="1440" w:type="dxa"/>
            <w:vAlign w:val="bottom"/>
          </w:tcPr>
          <w:p>
            <w:pPr>
              <w:jc w:val="center"/>
              <w:ind w:right="19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60" w:type="dxa"/>
            <w:vAlign w:val="bottom"/>
            <w:tcBorders>
              <w:bottom w:val="single" w:sz="8" w:color="CCEEFF"/>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24,631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Asia</w:t>
            </w:r>
          </w:p>
        </w:tc>
        <w:tc>
          <w:tcPr>
            <w:tcW w:w="2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52,808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34,627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15,575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South America</w:t>
            </w:r>
          </w:p>
        </w:tc>
        <w:tc>
          <w:tcPr>
            <w:tcW w:w="2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5,950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4,304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98,964</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76,174</w:t>
            </w:r>
          </w:p>
        </w:tc>
        <w:tc>
          <w:tcPr>
            <w:tcW w:w="0" w:type="dxa"/>
            <w:vAlign w:val="bottom"/>
          </w:tcPr>
          <w:p>
            <w:pPr>
              <w:spacing w:after="0"/>
              <w:rPr>
                <w:sz w:val="1"/>
                <w:szCs w:val="1"/>
                <w:color w:val="auto"/>
              </w:rPr>
            </w:pPr>
          </w:p>
        </w:tc>
      </w:tr>
      <w:tr>
        <w:trPr>
          <w:trHeight w:val="20"/>
        </w:trPr>
        <w:tc>
          <w:tcPr>
            <w:tcW w:w="7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3 — Accounts Receivable, Net and Revenue Concentrations</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88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80" w:type="dxa"/>
            <w:vAlign w:val="bottom"/>
            <w:gridSpan w:val="3"/>
          </w:tcPr>
          <w:p>
            <w:pPr>
              <w:spacing w:after="0"/>
              <w:rPr>
                <w:sz w:val="20"/>
                <w:szCs w:val="20"/>
                <w:color w:val="auto"/>
              </w:rPr>
            </w:pPr>
            <w:r>
              <w:rPr>
                <w:rFonts w:ascii="Arial" w:cs="Arial" w:eastAsia="Arial" w:hAnsi="Arial"/>
                <w:sz w:val="18"/>
                <w:szCs w:val="18"/>
                <w:color w:val="auto"/>
              </w:rPr>
              <w:t>Accounts receivable, net were as follows: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7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15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24"/>
                <w:szCs w:val="24"/>
                <w:color w:val="auto"/>
              </w:rPr>
            </w:pPr>
          </w:p>
        </w:tc>
        <w:tc>
          <w:tcPr>
            <w:tcW w:w="1440" w:type="dxa"/>
            <w:vAlign w:val="bottom"/>
          </w:tcPr>
          <w:p>
            <w:pPr>
              <w:jc w:val="center"/>
              <w:ind w:right="23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center"/>
              <w:ind w:right="195"/>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100,278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94,325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Pr>
          <w:p>
            <w:pPr>
              <w:ind w:left="360"/>
              <w:spacing w:after="0"/>
              <w:rPr>
                <w:sz w:val="20"/>
                <w:szCs w:val="20"/>
                <w:color w:val="auto"/>
              </w:rPr>
            </w:pPr>
            <w:r>
              <w:rPr>
                <w:rFonts w:ascii="Arial" w:cs="Arial" w:eastAsia="Arial" w:hAnsi="Arial"/>
                <w:sz w:val="18"/>
                <w:szCs w:val="18"/>
                <w:color w:val="auto"/>
              </w:rPr>
              <w:t>Net trade receivables</w:t>
            </w: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99,197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92,982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6,723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105,920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95,408</w:t>
            </w:r>
          </w:p>
        </w:tc>
        <w:tc>
          <w:tcPr>
            <w:tcW w:w="0" w:type="dxa"/>
            <w:vAlign w:val="bottom"/>
          </w:tcPr>
          <w:p>
            <w:pPr>
              <w:spacing w:after="0"/>
              <w:rPr>
                <w:sz w:val="1"/>
                <w:szCs w:val="1"/>
                <w:color w:val="auto"/>
              </w:rPr>
            </w:pPr>
          </w:p>
        </w:tc>
      </w:tr>
      <w:tr>
        <w:trPr>
          <w:trHeight w:val="27"/>
        </w:trPr>
        <w:tc>
          <w:tcPr>
            <w:tcW w:w="786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880" w:type="dxa"/>
            <w:vAlign w:val="bottom"/>
            <w:gridSpan w:val="3"/>
          </w:tcPr>
          <w:p>
            <w:pPr>
              <w:spacing w:after="0"/>
              <w:rPr>
                <w:sz w:val="20"/>
                <w:szCs w:val="20"/>
                <w:color w:val="auto"/>
              </w:rPr>
            </w:pPr>
            <w:r>
              <w:rPr>
                <w:rFonts w:ascii="Arial" w:cs="Arial" w:eastAsia="Arial" w:hAnsi="Arial"/>
                <w:sz w:val="18"/>
                <w:szCs w:val="18"/>
                <w:i w:val="1"/>
                <w:iCs w:val="1"/>
                <w:color w:val="auto"/>
              </w:rPr>
              <w:t>Allowance for Doubtful Accounts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80" w:type="dxa"/>
            <w:vAlign w:val="bottom"/>
            <w:gridSpan w:val="3"/>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jc w:val="right"/>
              <w:ind w:right="57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Additions to costs and expenses</w:t>
            </w:r>
          </w:p>
        </w:tc>
        <w:tc>
          <w:tcPr>
            <w:tcW w:w="2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(Write-offs)/FX effects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477</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sales returns at September 30, 2014 and December 31, 2013 included reserves for items returned prior to period-end that were not completely processed, and therefore had not yet been removed from the allowance for sales returns balance. If these returns had been fully processed, the allowance for sales returns balance would have been approximately $0.3 million and $0.5 million on September 30, 2014 and December 31, 2013, respectively. The value of these returned goods was included in our inventory balance at September 30, 2014 and December 31, 2013.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 totaled more than 10% of our net sales: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1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2013</w:t>
            </w:r>
          </w:p>
        </w:tc>
      </w:tr>
      <w:tr>
        <w:trPr>
          <w:trHeight w:val="264"/>
        </w:trPr>
        <w:tc>
          <w:tcPr>
            <w:tcW w:w="50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89"/>
              </w:rPr>
              <w:t>(thousands)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of Net Sales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 (thousands)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of Net Sales</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DIRECTV</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18,201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21,667</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548"/>
        </w:trPr>
        <w:tc>
          <w:tcPr>
            <w:tcW w:w="50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1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2013</w:t>
            </w:r>
          </w:p>
        </w:tc>
      </w:tr>
      <w:tr>
        <w:trPr>
          <w:trHeight w:val="264"/>
        </w:trPr>
        <w:tc>
          <w:tcPr>
            <w:tcW w:w="50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89"/>
              </w:rPr>
              <w:t>(thousands)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 of Net Sales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 (thousands)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of Net Sales</w:t>
            </w: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DIRECTV</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44,733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64,651</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5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loss of this customer or any other customer, either in the United States or abroad, due to their financial weakness or bankruptcy, or our inability to obtain orders or maintain our order volume with them, may have a material adverse effect on our financial condition, results of operations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Net and Significant Suppliers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2014</w:t>
            </w:r>
          </w:p>
        </w:tc>
        <w:tc>
          <w:tcPr>
            <w:tcW w:w="280" w:type="dxa"/>
            <w:vAlign w:val="bottom"/>
          </w:tcPr>
          <w:p>
            <w:pPr>
              <w:spacing w:after="0"/>
              <w:rPr>
                <w:sz w:val="16"/>
                <w:szCs w:val="16"/>
                <w:color w:val="auto"/>
              </w:rPr>
            </w:pPr>
          </w:p>
        </w:tc>
        <w:tc>
          <w:tcPr>
            <w:tcW w:w="1420" w:type="dxa"/>
            <w:vAlign w:val="bottom"/>
          </w:tcPr>
          <w:p>
            <w:pPr>
              <w:jc w:val="right"/>
              <w:ind w:right="33"/>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22,571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ind w:left="20"/>
              <w:spacing w:after="0"/>
              <w:rPr>
                <w:sz w:val="20"/>
                <w:szCs w:val="20"/>
                <w:color w:val="auto"/>
              </w:rPr>
            </w:pPr>
            <w:r>
              <w:rPr>
                <w:rFonts w:ascii="Arial" w:cs="Arial" w:eastAsia="Arial" w:hAnsi="Arial"/>
                <w:sz w:val="18"/>
                <w:szCs w:val="18"/>
                <w:color w:val="auto"/>
              </w:rPr>
              <w:t>Components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13,928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18,623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54,622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59,393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for excess and obsolete inventory</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Pr>
          <w:p>
            <w:pPr>
              <w:ind w:left="260"/>
              <w:spacing w:after="0"/>
              <w:rPr>
                <w:sz w:val="20"/>
                <w:szCs w:val="20"/>
                <w:color w:val="auto"/>
              </w:rPr>
            </w:pPr>
            <w:r>
              <w:rPr>
                <w:rFonts w:ascii="Arial" w:cs="Arial" w:eastAsia="Arial" w:hAnsi="Arial"/>
                <w:sz w:val="18"/>
                <w:szCs w:val="18"/>
                <w:color w:val="auto"/>
              </w:rPr>
              <w:t>Inventories, net</w:t>
            </w: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92,341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96,309</w:t>
            </w:r>
          </w:p>
        </w:tc>
        <w:tc>
          <w:tcPr>
            <w:tcW w:w="0" w:type="dxa"/>
            <w:vAlign w:val="bottom"/>
          </w:tcPr>
          <w:p>
            <w:pPr>
              <w:spacing w:after="0"/>
              <w:rPr>
                <w:sz w:val="1"/>
                <w:szCs w:val="1"/>
                <w:color w:val="auto"/>
              </w:rPr>
            </w:pPr>
          </w:p>
        </w:tc>
      </w:tr>
      <w:tr>
        <w:trPr>
          <w:trHeight w:val="27"/>
        </w:trPr>
        <w:tc>
          <w:tcPr>
            <w:tcW w:w="78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Reserve for Excess and Obsolete Inventory</w:t>
            </w: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gridSpan w:val="2"/>
          </w:tcPr>
          <w:p>
            <w:pPr>
              <w:spacing w:after="0"/>
              <w:rPr>
                <w:sz w:val="20"/>
                <w:szCs w:val="20"/>
                <w:color w:val="auto"/>
              </w:rPr>
            </w:pPr>
            <w:r>
              <w:rPr>
                <w:rFonts w:ascii="Arial" w:cs="Arial" w:eastAsia="Arial" w:hAnsi="Arial"/>
                <w:sz w:val="18"/>
                <w:szCs w:val="18"/>
                <w:color w:val="auto"/>
              </w:rPr>
              <w:t>Changes in the reserve for excess and obsolete inventory were as follows: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jc w:val="right"/>
              <w:ind w:right="57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2,141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ind w:left="20"/>
              <w:spacing w:after="0"/>
              <w:rPr>
                <w:sz w:val="20"/>
                <w:szCs w:val="20"/>
                <w:color w:val="auto"/>
              </w:rPr>
            </w:pPr>
            <w:r>
              <w:rPr>
                <w:rFonts w:ascii="Arial" w:cs="Arial" w:eastAsia="Arial" w:hAnsi="Arial"/>
                <w:sz w:val="18"/>
                <w:szCs w:val="18"/>
                <w:color w:val="auto"/>
              </w:rPr>
              <w:t>Write-offs/FX effects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2,265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2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$0.2 million and $0.2 million for the nine months ended September 30, 2014 and 2013, respectively. These amounts are production waste and are not included in management’s reserve for excess and obsolete inventory.</w:t>
      </w:r>
    </w:p>
    <w:p>
      <w:pPr>
        <w:spacing w:after="0" w:line="95" w:lineRule="exact"/>
        <w:rPr>
          <w:rFonts w:ascii="Arial" w:cs="Arial" w:eastAsia="Arial" w:hAnsi="Arial"/>
          <w:sz w:val="25"/>
          <w:szCs w:val="25"/>
          <w:color w:val="auto"/>
          <w:vertAlign w:val="superscript"/>
        </w:rPr>
      </w:pPr>
    </w:p>
    <w:p>
      <w:pPr>
        <w:jc w:val="both"/>
        <w:ind w:left="660" w:hanging="328"/>
        <w:spacing w:after="0" w:line="22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reversal of reserves associated with inventory items that were sold during the period. Sell through is the result of differences between our judgment concerning the saleability of inventory items during the excess and obsolete inventory review process and our subsequent experience.</w:t>
      </w:r>
    </w:p>
    <w:p>
      <w:pPr>
        <w:sectPr>
          <w:pgSz w:w="11900" w:h="16838" w:orient="portrait"/>
          <w:cols w:equalWidth="0" w:num="1">
            <w:col w:w="11420"/>
          </w:cols>
          <w:pgMar w:left="240" w:top="118"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We had purchases from the following significant suppliers that totaled more than 10% of our total inventory purchases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rPr>
              <w:t>Three Months Ended September 30,</w:t>
            </w:r>
          </w:p>
        </w:tc>
        <w:tc>
          <w:tcPr>
            <w:tcW w:w="1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40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362"/>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89"/>
              </w:rPr>
              <w:t>(thousands)</w:t>
            </w:r>
          </w:p>
        </w:tc>
        <w:tc>
          <w:tcPr>
            <w:tcW w:w="120" w:type="dxa"/>
            <w:vAlign w:val="bottom"/>
            <w:vMerge w:val="restart"/>
          </w:tcPr>
          <w:p>
            <w:pPr>
              <w:spacing w:after="0"/>
              <w:rPr>
                <w:sz w:val="13"/>
                <w:szCs w:val="13"/>
                <w:color w:val="auto"/>
              </w:rPr>
            </w:pPr>
          </w:p>
        </w:tc>
        <w:tc>
          <w:tcPr>
            <w:tcW w:w="1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 (thousands)</w:t>
            </w:r>
          </w:p>
        </w:tc>
        <w:tc>
          <w:tcPr>
            <w:tcW w:w="100" w:type="dxa"/>
            <w:vAlign w:val="bottom"/>
            <w:gridSpan w:val="2"/>
            <w:vMerge w:val="restart"/>
          </w:tcPr>
          <w:p>
            <w:pPr>
              <w:spacing w:after="0"/>
              <w:rPr>
                <w:sz w:val="13"/>
                <w:szCs w:val="13"/>
                <w:color w:val="auto"/>
              </w:rPr>
            </w:pPr>
          </w:p>
        </w:tc>
        <w:tc>
          <w:tcPr>
            <w:tcW w:w="18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48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Inventory Purchases</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 Integrated Products International Limited</w:t>
            </w:r>
          </w:p>
        </w:tc>
        <w:tc>
          <w:tcPr>
            <w:tcW w:w="3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8"/>
                <w:szCs w:val="18"/>
                <w:color w:val="auto"/>
                <w:w w:val="90"/>
              </w:rPr>
              <w:t>11.2%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Wuxi Funide Digital</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7,781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tcPr>
          <w:p>
            <w:pPr>
              <w:ind w:left="138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c>
          <w:tcPr>
            <w:tcW w:w="1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38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36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89"/>
              </w:rPr>
              <w:t>(thousands)</w:t>
            </w:r>
          </w:p>
        </w:tc>
        <w:tc>
          <w:tcPr>
            <w:tcW w:w="120" w:type="dxa"/>
            <w:vAlign w:val="bottom"/>
            <w:vMerge w:val="restart"/>
          </w:tcPr>
          <w:p>
            <w:pPr>
              <w:spacing w:after="0"/>
              <w:rPr>
                <w:sz w:val="13"/>
                <w:szCs w:val="13"/>
                <w:color w:val="auto"/>
              </w:rPr>
            </w:pPr>
          </w:p>
        </w:tc>
        <w:tc>
          <w:tcPr>
            <w:tcW w:w="1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3"/>
                <w:szCs w:val="13"/>
                <w:color w:val="auto"/>
              </w:rPr>
            </w:pPr>
          </w:p>
        </w:tc>
        <w:tc>
          <w:tcPr>
            <w:tcW w:w="108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3"/>
              </w:rPr>
              <w:t>$ (thousands)</w:t>
            </w:r>
          </w:p>
        </w:tc>
        <w:tc>
          <w:tcPr>
            <w:tcW w:w="1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88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98"/>
              </w:rPr>
              <w:t>% of 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 Integrated Products International Limited</w:t>
            </w:r>
          </w:p>
        </w:tc>
        <w:tc>
          <w:tcPr>
            <w:tcW w:w="3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24,296</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ind w:left="150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purchase certain printed circuit board assemblies from a related party vendor. The vendor is considered a related party for financial reporting purposes because our Senior Vice President of Manufacturing owns 40% of this vendor. Inventory purchases from this vendor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1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1388"/>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3"/>
                <w:szCs w:val="13"/>
                <w:color w:val="auto"/>
              </w:rPr>
            </w:pPr>
          </w:p>
        </w:tc>
        <w:tc>
          <w:tcPr>
            <w:tcW w:w="16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 (thousands)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8"/>
              </w:rPr>
              <w:t>% of 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 (thousands)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ind w:right="248"/>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640" w:type="dxa"/>
            <w:vAlign w:val="bottom"/>
            <w:gridSpan w:val="5"/>
            <w:vMerge w:val="continue"/>
          </w:tcPr>
          <w:p>
            <w:pPr>
              <w:spacing w:after="0"/>
              <w:rPr>
                <w:sz w:val="16"/>
                <w:szCs w:val="16"/>
                <w:color w:val="auto"/>
              </w:rPr>
            </w:pPr>
          </w:p>
        </w:tc>
        <w:tc>
          <w:tcPr>
            <w:tcW w:w="17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Inventory Purchases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2"/>
              </w:rPr>
              <w:t>Inventory Purchases</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center"/>
              <w:ind w:left="140"/>
              <w:spacing w:after="0"/>
              <w:rPr>
                <w:sz w:val="20"/>
                <w:szCs w:val="20"/>
                <w:color w:val="auto"/>
              </w:rPr>
            </w:pPr>
            <w:r>
              <w:rPr>
                <w:rFonts w:ascii="Arial" w:cs="Arial" w:eastAsia="Arial" w:hAnsi="Arial"/>
                <w:sz w:val="18"/>
                <w:szCs w:val="18"/>
                <w:color w:val="auto"/>
                <w:w w:val="88"/>
              </w:rPr>
              <w:t>2,372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561"/>
        </w:trPr>
        <w:tc>
          <w:tcPr>
            <w:tcW w:w="4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1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1388"/>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3"/>
                <w:szCs w:val="13"/>
                <w:color w:val="auto"/>
              </w:rPr>
            </w:pPr>
          </w:p>
        </w:tc>
        <w:tc>
          <w:tcPr>
            <w:tcW w:w="16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 (thousands)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8"/>
              </w:rPr>
              <w:t>% of 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 (thousands)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ind w:right="248"/>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640" w:type="dxa"/>
            <w:vAlign w:val="bottom"/>
            <w:gridSpan w:val="5"/>
            <w:vMerge w:val="continue"/>
          </w:tcPr>
          <w:p>
            <w:pPr>
              <w:spacing w:after="0"/>
              <w:rPr>
                <w:sz w:val="16"/>
                <w:szCs w:val="16"/>
                <w:color w:val="auto"/>
              </w:rPr>
            </w:pPr>
          </w:p>
        </w:tc>
        <w:tc>
          <w:tcPr>
            <w:tcW w:w="17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Inventory Purchases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2"/>
              </w:rPr>
              <w:t>Inventory Purchases</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center"/>
              <w:ind w:left="140"/>
              <w:spacing w:after="0"/>
              <w:rPr>
                <w:sz w:val="20"/>
                <w:szCs w:val="20"/>
                <w:color w:val="auto"/>
              </w:rPr>
            </w:pPr>
            <w:r>
              <w:rPr>
                <w:rFonts w:ascii="Arial" w:cs="Arial" w:eastAsia="Arial" w:hAnsi="Arial"/>
                <w:sz w:val="18"/>
                <w:szCs w:val="18"/>
                <w:color w:val="auto"/>
                <w:w w:val="88"/>
              </w:rPr>
              <w:t>6,602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7,079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78"/>
        </w:trPr>
        <w:tc>
          <w:tcPr>
            <w:tcW w:w="4820" w:type="dxa"/>
            <w:vAlign w:val="bottom"/>
          </w:tcPr>
          <w:p>
            <w:pPr>
              <w:spacing w:after="0"/>
              <w:rPr>
                <w:sz w:val="20"/>
                <w:szCs w:val="20"/>
                <w:color w:val="auto"/>
              </w:rPr>
            </w:pPr>
            <w:r>
              <w:rPr>
                <w:rFonts w:ascii="Arial" w:cs="Arial" w:eastAsia="Arial" w:hAnsi="Arial"/>
                <w:sz w:val="18"/>
                <w:szCs w:val="18"/>
                <w:color w:val="auto"/>
                <w:w w:val="99"/>
              </w:rPr>
              <w:t>The total accounts payable to this vendor were the following:</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ind w:left="760"/>
              <w:spacing w:after="0"/>
              <w:rPr>
                <w:sz w:val="20"/>
                <w:szCs w:val="20"/>
                <w:color w:val="auto"/>
              </w:rPr>
            </w:pPr>
            <w:r>
              <w:rPr>
                <w:rFonts w:ascii="Arial" w:cs="Arial" w:eastAsia="Arial" w:hAnsi="Arial"/>
                <w:sz w:val="14"/>
                <w:szCs w:val="14"/>
                <w:b w:val="1"/>
                <w:bCs w:val="1"/>
                <w:color w:val="auto"/>
              </w:rPr>
              <w:t>September 30, 2014</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908"/>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1"/>
              </w:rPr>
              <w:t>$ (thousands)</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6"/>
              </w:rPr>
              <w:t>% of Accounts Payable</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 (thousands)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of Accounts Payable</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97"/>
              </w:rPr>
              <w:t>2,374</w:t>
            </w:r>
          </w:p>
        </w:tc>
        <w:tc>
          <w:tcPr>
            <w:tcW w:w="1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payable terms and pricing with this vendor are consistent with the terms offered by other vendors in the ordinary course of business. The accounting policies that we apply to our transactions with our related party vendor are consistent with those applied in transactions with independent third parties. Corporate management routinely monitors purchases from our related party vendor to ensure these purchases remain consistent with our business objectives.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Goodwill and changes in the carrying amount of goodwill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380"/>
              <w:spacing w:after="0"/>
              <w:rPr>
                <w:sz w:val="20"/>
                <w:szCs w:val="20"/>
                <w:color w:val="auto"/>
              </w:rPr>
            </w:pPr>
            <w:r>
              <w:rPr>
                <w:rFonts w:ascii="Arial" w:cs="Arial" w:eastAsia="Arial" w:hAnsi="Arial"/>
                <w:sz w:val="18"/>
                <w:szCs w:val="18"/>
                <w:color w:val="auto"/>
              </w:rPr>
              <w:t>FX effects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2014</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Intangible Assets, Net</w:t>
            </w: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00" w:type="dxa"/>
            <w:vAlign w:val="bottom"/>
            <w:gridSpan w:val="4"/>
          </w:tcPr>
          <w:p>
            <w:pPr>
              <w:spacing w:after="0"/>
              <w:rPr>
                <w:sz w:val="20"/>
                <w:szCs w:val="20"/>
                <w:color w:val="auto"/>
              </w:rPr>
            </w:pPr>
            <w:r>
              <w:rPr>
                <w:rFonts w:ascii="Arial" w:cs="Arial" w:eastAsia="Arial" w:hAnsi="Arial"/>
                <w:sz w:val="18"/>
                <w:szCs w:val="18"/>
                <w:color w:val="auto"/>
                <w:w w:val="97"/>
              </w:rPr>
              <w:t>The components of intangible assets, net were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3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2014</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2013</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136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rights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9,804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8,879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(4,251)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Developed and core technology</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Capitalized software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26,373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16,095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26,406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(8,388)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42,338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26,963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900" w:hanging="328"/>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$7.6 million and $6.6 million on September 30, 2014 and December 31, 2013, respectively.</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was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2,930</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56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11</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color w:val="0000EE"/>
        </w:rPr>
      </w:pPr>
      <w:hyperlink w:anchor="page1">
        <w:r>
          <w:rPr>
            <w:rFonts w:ascii="Arial" w:cs="Arial" w:eastAsia="Arial" w:hAnsi="Arial"/>
            <w:sz w:val="14"/>
            <w:szCs w:val="14"/>
            <w:b w:val="1"/>
            <w:bCs w:val="1"/>
            <w:color w:val="0000EE"/>
          </w:rPr>
          <w:t>Table of Contents</w:t>
        </w:r>
      </w:hyperlink>
    </w:p>
    <w:tbl>
      <w:tblPr>
        <w:tblLayout w:type="fixed"/>
        <w:tblInd w:w="0" w:type="dxa"/>
        <w:tblCellMar>
          <w:top w:w="0" w:type="dxa"/>
          <w:left w:w="0" w:type="dxa"/>
          <w:bottom w:w="0" w:type="dxa"/>
          <w:right w:w="0" w:type="dxa"/>
        </w:tblCellMar>
      </w:tblPr>
      <w:tr>
        <w:trPr>
          <w:trHeight w:val="205"/>
        </w:trPr>
        <w:tc>
          <w:tcPr>
            <w:tcW w:w="1100" w:type="dxa"/>
            <w:vAlign w:val="bottom"/>
            <w:tcBorders>
              <w:top w:val="single" w:sz="8" w:color="0000EE"/>
            </w:tcBorders>
          </w:tcPr>
          <w:p>
            <w:pPr>
              <w:spacing w:after="0"/>
              <w:rPr>
                <w:sz w:val="17"/>
                <w:szCs w:val="17"/>
                <w:color w:val="auto"/>
              </w:rPr>
            </w:pPr>
          </w:p>
        </w:tc>
        <w:tc>
          <w:tcPr>
            <w:tcW w:w="8820" w:type="dxa"/>
            <w:vAlign w:val="bottom"/>
          </w:tcPr>
          <w:p>
            <w:pPr>
              <w:jc w:val="center"/>
              <w:ind w:left="330"/>
              <w:spacing w:after="0" w:line="205" w:lineRule="exact"/>
              <w:rPr>
                <w:sz w:val="20"/>
                <w:szCs w:val="20"/>
                <w:color w:val="auto"/>
              </w:rPr>
            </w:pPr>
            <w:r>
              <w:rPr>
                <w:rFonts w:ascii="Arial" w:cs="Arial" w:eastAsia="Arial" w:hAnsi="Arial"/>
                <w:sz w:val="18"/>
                <w:szCs w:val="18"/>
                <w:b w:val="1"/>
                <w:bCs w:val="1"/>
                <w:color w:val="auto"/>
              </w:rPr>
              <w:t>UNIVERSAL ELECTRONICS INC.</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1100" w:type="dxa"/>
            <w:vAlign w:val="bottom"/>
          </w:tcPr>
          <w:p>
            <w:pPr>
              <w:spacing w:after="0"/>
              <w:rPr>
                <w:sz w:val="18"/>
                <w:szCs w:val="18"/>
                <w:color w:val="auto"/>
              </w:rPr>
            </w:pPr>
          </w:p>
        </w:tc>
        <w:tc>
          <w:tcPr>
            <w:tcW w:w="8820" w:type="dxa"/>
            <w:vAlign w:val="bottom"/>
          </w:tcPr>
          <w:p>
            <w:pPr>
              <w:jc w:val="center"/>
              <w:ind w:left="330"/>
              <w:spacing w:after="0"/>
              <w:rPr>
                <w:sz w:val="20"/>
                <w:szCs w:val="20"/>
                <w:color w:val="auto"/>
              </w:rPr>
            </w:pPr>
            <w:r>
              <w:rPr>
                <w:rFonts w:ascii="Arial" w:cs="Arial" w:eastAsia="Arial" w:hAnsi="Arial"/>
                <w:sz w:val="18"/>
                <w:szCs w:val="18"/>
                <w:b w:val="1"/>
                <w:bCs w:val="1"/>
                <w:color w:val="auto"/>
              </w:rPr>
              <w:t>NOTES TO CONSOLIDATED FINANCIAL STATEMENTS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882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SEPTEMBER 30, 2014</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882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(Unaudited)</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21"/>
        </w:trPr>
        <w:tc>
          <w:tcPr>
            <w:tcW w:w="9920" w:type="dxa"/>
            <w:vAlign w:val="bottom"/>
            <w:gridSpan w:val="2"/>
          </w:tcPr>
          <w:p>
            <w:pPr>
              <w:spacing w:after="0"/>
              <w:rPr>
                <w:sz w:val="20"/>
                <w:szCs w:val="20"/>
                <w:color w:val="auto"/>
              </w:rPr>
            </w:pPr>
            <w:r>
              <w:rPr>
                <w:rFonts w:ascii="Arial" w:cs="Arial" w:eastAsia="Arial" w:hAnsi="Arial"/>
                <w:sz w:val="18"/>
                <w:szCs w:val="18"/>
                <w:color w:val="auto"/>
              </w:rPr>
              <w:t>Estimated future amortization expense related to our intangible assets at September 30, 2014, is as follows: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8"/>
        </w:trPr>
        <w:tc>
          <w:tcPr>
            <w:tcW w:w="99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9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2014 (remaining 3 months)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1,045</w:t>
            </w:r>
          </w:p>
        </w:tc>
      </w:tr>
      <w:tr>
        <w:trPr>
          <w:trHeight w:val="243"/>
        </w:trPr>
        <w:tc>
          <w:tcPr>
            <w:tcW w:w="1100" w:type="dxa"/>
            <w:vAlign w:val="bottom"/>
          </w:tcPr>
          <w:p>
            <w:pPr>
              <w:ind w:left="40"/>
              <w:spacing w:after="0"/>
              <w:rPr>
                <w:sz w:val="20"/>
                <w:szCs w:val="20"/>
                <w:color w:val="auto"/>
              </w:rPr>
            </w:pPr>
            <w:r>
              <w:rPr>
                <w:rFonts w:ascii="Arial" w:cs="Arial" w:eastAsia="Arial" w:hAnsi="Arial"/>
                <w:sz w:val="18"/>
                <w:szCs w:val="18"/>
                <w:color w:val="auto"/>
              </w:rPr>
              <w:t>2015</w:t>
            </w:r>
          </w:p>
        </w:tc>
        <w:tc>
          <w:tcPr>
            <w:tcW w:w="8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4,107</w:t>
            </w:r>
          </w:p>
        </w:tc>
      </w:tr>
      <w:tr>
        <w:trPr>
          <w:trHeight w:val="27"/>
        </w:trPr>
        <w:tc>
          <w:tcPr>
            <w:tcW w:w="110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4,050</w:t>
            </w:r>
          </w:p>
        </w:tc>
      </w:tr>
      <w:tr>
        <w:trPr>
          <w:trHeight w:val="243"/>
        </w:trPr>
        <w:tc>
          <w:tcPr>
            <w:tcW w:w="1100" w:type="dxa"/>
            <w:vAlign w:val="bottom"/>
          </w:tcPr>
          <w:p>
            <w:pPr>
              <w:ind w:left="40"/>
              <w:spacing w:after="0"/>
              <w:rPr>
                <w:sz w:val="20"/>
                <w:szCs w:val="20"/>
                <w:color w:val="auto"/>
              </w:rPr>
            </w:pPr>
            <w:r>
              <w:rPr>
                <w:rFonts w:ascii="Arial" w:cs="Arial" w:eastAsia="Arial" w:hAnsi="Arial"/>
                <w:sz w:val="18"/>
                <w:szCs w:val="18"/>
                <w:color w:val="auto"/>
              </w:rPr>
              <w:t>2017</w:t>
            </w:r>
          </w:p>
        </w:tc>
        <w:tc>
          <w:tcPr>
            <w:tcW w:w="8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3,979</w:t>
            </w:r>
          </w:p>
        </w:tc>
      </w:tr>
      <w:tr>
        <w:trPr>
          <w:trHeight w:val="27"/>
        </w:trPr>
        <w:tc>
          <w:tcPr>
            <w:tcW w:w="110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3,959</w:t>
            </w:r>
          </w:p>
        </w:tc>
      </w:tr>
      <w:tr>
        <w:trPr>
          <w:trHeight w:val="243"/>
        </w:trPr>
        <w:tc>
          <w:tcPr>
            <w:tcW w:w="99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8,024</w:t>
            </w:r>
          </w:p>
        </w:tc>
      </w:tr>
      <w:tr>
        <w:trPr>
          <w:trHeight w:val="27"/>
        </w:trPr>
        <w:tc>
          <w:tcPr>
            <w:tcW w:w="1100" w:type="dxa"/>
            <w:vAlign w:val="bottom"/>
            <w:tcBorders>
              <w:bottom w:val="single" w:sz="8" w:color="CCEEFF"/>
            </w:tcBorders>
          </w:tcPr>
          <w:p>
            <w:pPr>
              <w:spacing w:after="0"/>
              <w:rPr>
                <w:sz w:val="2"/>
                <w:szCs w:val="2"/>
                <w:color w:val="auto"/>
              </w:rPr>
            </w:pPr>
          </w:p>
        </w:tc>
        <w:tc>
          <w:tcPr>
            <w:tcW w:w="88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25,164</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8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immaterial impairment charges related to our intangible assets for the nine months ended September 30, 2014 and 2013. Impairment charges are recorded in selling, general and administrative expenses as a component of amortization expense, except impairment charges related to capitalized software development costs which are recorded in cost of sales. Quoted prices for identical or similar patents, trademarks and trade names are unavailable. The fair value of intangible assets is based upon management's judgment. Management believes that the net book value represents the fair value of our patents, trademarks and trade names.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Line of Credit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9, 2014, we extended the term of our Amended and Restated Credit Agreement ("Amended Credit Agreement") with U.S. Bank National Association ("U.S. Bank") to November 1, 2017. The Amended Credit Agreement provides for a $55.0 million line of credit ("Credit Line") that may be used for working capital and other general corporate purposes including acquisitions, share repurchases and capital expenditures. Amounts available for borrowing under the Credit Line are reduced by the balance of any outstanding letters of credit, of which there were $13 thousand at September 30, 2014.</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People's Republic of China ("PRC").</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The applicable margins are calculated quarterly and vary based on our cash flow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Amended Credit Agreement includes financial covenants requiring a minimum fixed charge coverage ratio, a maximum cash flow leverage ratio and minimum liquidity levels. In addition, the Amended Credit Agreement also contains other customary affirmative and negative covenants and events of default. As of September 30, 2014, we were in compliance with the covenants and conditions of the Amended Credit Agreement.</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interest expense on borrowings during the three and nine months ended September 30, 2014 nor during the three months ended September 30, 2013. Our total interest expense on borrowings was $23 thousand during the nine months ended September 30,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income tax expense of $2.3 million and $1.2 million for the three months ended September 30, 2014 and 2013, respectively. Our effective tax rate was 17.6% and 12.0% during the three months ended September 30, 2014 and 2013, respectively. The increase in our effective tax rate was due to the expiration of the federal R&amp;D tax credit as of December 31, 2013 which has yet to be passed in 2014; therefore, the benefit is not included in our estimated tax rate for the current year. The "Look-Through" rule also expired as of December 31, 2013 which resulted in an increase in Subpart F income for the three months ended September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30, 2014. We also recorded a tax refund on certain Hong Kong income during the third quarter of 2013 which exceeded the benefit recorded during the third quarter of 2014.</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recorded income tax expense of $6.5 million and $4.1 million for the nine months ended September 30, 2014 and 2013, respectively. Our effective tax rate was 21.5% and 19.0% during the nine months ended September 30, 2014 and 2013, respectively. The increase in our effective tax rate was due to the expiration of the federal R&amp;D tax credit as of December 31, 2013 which has yet to be passed in 2014; therefore, the benefit is not included in our estimated tax rate for the current year. The "Look-Through" rule also expired as of December 31, 2013 which resulted in an increase of Subpart F income for the nine months ended September 30, 2014. We also recorded a tax refund on certain Hong Kong income during the third quarter of 2013 which exceeded the benefit recorded during the third quarter of 2014. Partially offsetting these benefits was the recording of $0.4 million of additional tax reserves in the second quarter of 2013 resulting from a tax audit in Hong Kong for years preceding our acquisition of Enson Assets Limited.</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30, 2014, we had gross unrecognized tax benefits of $3.7 million, including interest and penalties, of which $3.2 million would affect the annual effective tax rate if these tax benefits are realized. Further, we are unaware of any positions for which it is reasonably possible that the total amount of unrecognized tax benefits will significantly increase within the next twelve months. However, based on federal, state and foreign statute expirations in various jurisdictions, we anticipate a decrease in unrecognized tax benefits of approximately $0.2 million within the next twelve months.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$0.2 million and $0.1 million on September 30, 2014 and December 31, 2013, respectively, are included in our unrecognized tax benefits.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On September 30, 2014, the open statutes of limitations in our significant tax jurisdictions were as follows: federal 2011 through 2013, state 2009 through 2013, and foreign 2007 through 2013. On September 30, 2014, of our gross unrecognized tax benefits of $3.7 million, which included $0.2 million of interest and penalties, $1.5 million are classified as current and $2.2 million are classified as long term.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 2013</w:t>
            </w:r>
          </w:p>
        </w:tc>
      </w:tr>
      <w:tr>
        <w:trPr>
          <w:trHeight w:val="270"/>
        </w:trPr>
        <w:tc>
          <w:tcPr>
            <w:tcW w:w="78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20,218</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20,492</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2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6,337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5,324</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2,113</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6,577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7,186</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2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201</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1,651</w:t>
            </w: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38,002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38,317</w:t>
            </w:r>
          </w:p>
        </w:tc>
      </w:tr>
      <w:tr>
        <w:trPr>
          <w:trHeight w:val="27"/>
        </w:trPr>
        <w:tc>
          <w:tcPr>
            <w:tcW w:w="7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5"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September 30, 2014 and December 31, 2013.</w:t>
      </w:r>
    </w:p>
    <w:p>
      <w:pPr>
        <w:spacing w:after="0" w:line="96" w:lineRule="exact"/>
        <w:rPr>
          <w:rFonts w:ascii="Arial" w:cs="Arial" w:eastAsia="Arial" w:hAnsi="Arial"/>
          <w:sz w:val="25"/>
          <w:szCs w:val="25"/>
          <w:color w:val="auto"/>
          <w:vertAlign w:val="superscript"/>
        </w:rPr>
      </w:pPr>
    </w:p>
    <w:p>
      <w:pPr>
        <w:jc w:val="both"/>
        <w:ind w:left="660" w:hanging="328"/>
        <w:spacing w:after="0" w:line="230" w:lineRule="auto"/>
        <w:tabs>
          <w:tab w:leader="none" w:pos="66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salary was $0.5 million and $0.6 million at September 30, 2014 and December 31, 2013,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Accrued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2013</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Duties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797</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Freight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614</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warranty claim costs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1,757</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taxes and VAT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1,637</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Third-party commissions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511</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758</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Utilities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311</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3,191</w:t>
            </w: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Total other accrued expenses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12,466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11,229</w:t>
            </w:r>
          </w:p>
        </w:tc>
      </w:tr>
      <w:tr>
        <w:trPr>
          <w:trHeight w:val="27"/>
        </w:trPr>
        <w:tc>
          <w:tcPr>
            <w:tcW w:w="7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2013</w:t>
            </w: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4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375</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2, 2012, we filed a lawsuit against Universal Remote Control, Inc. ("URC") in the United States District Court, Central District of California (Universal Electronics Inc. v. Universal Remote Control, Inc., SACV12-0039 AG (JPRx)) alleging that URC was infringing, directly and indirectly, four of our patents related to remote control technology. We alleged that this complaint related to multiple URC remote control products, including the URC model numbers UR5U-9000L, WR7 and other remote controls with different model names or numbers, but with substantially the same designs, features, and functionalities. We sought monetary relief for the infringement, including enhanced damages due to the willfulness of URC's actions, injunctive relief to enjoin URC from further infringing, including contributory infringement and/or inducing infringement, and attorney's fees. URC denied infringing our patents and asserted a variety of counterclaims and affirmative defenses including invalidity and unenforceability of our patents, misuse of patents, and a breach of contract action stemming from the settlement by us of an earlier lawsuit against URC. On January 29, 2013, the Court held its "Markman" hearing and on February 1, 2013, the Court issued its ruling that four of the 24 claims we asserted against URC were invalid, effectively removing one of the four patents alleged by us to be infringed by URC from this litigation. In March 2014, the Court further narrowed the scope of this litigation granting URC’s motion for summary judgment with respect to certain issues that effectively removed two additional patents. In March 2014, the Court also granted our motion for summary judgment on certain of URC’s defenses and counterclaims, including URC’s counterclaim for breach of contract. A trial was held from May 6, 2014 through May 20, 2014, and the jury returned a verdict that URC did not infringe on our remaining patent, and found for URC on patent validity and several equitable defenses in the lawsuit, although the</w:t>
      </w:r>
    </w:p>
    <w:p>
      <w:pPr>
        <w:sectPr>
          <w:pgSz w:w="11900" w:h="16838" w:orient="portrait"/>
          <w:cols w:equalWidth="0" w:num="1">
            <w:col w:w="11420"/>
          </w:cols>
          <w:pgMar w:left="240" w:top="118"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jury's verdict on the equitable defenses were advisory in nature. We do not believe that the evidence presented at trial supports the jury verdict and are currently seeking the trial court’s review of the verdict, including the jury's advisory verdict on the equitable defenses. A hearing on motions pertaining to the jury's verdict was held on August 18, 2014 and we are awaiting the final ruling from Court. At this time we cannot predict how the Court will rule. Based on the trial court's decisions on these jury verdict motions, there remain a variety of possible outcomes in this case, including filing further motions with the Court seeking judgment as a matter of law and/or a new trial. Additionally, depending upon how the Court finally rules from the August 18, 2014 hearing, URC may ask the court for reimbursement of its legal fees associated with its defense of this lawsuit and while we are unable to estimate the amount URC may claim or ultimately what amount, if any, the Court may award, such amount could be significant. We intend to oppose any such request and, if awarded, appeal any such decision. In all other respects, this litigation is continuing as scheduled and we expect the Court to enter ruling on all post-trial motions in the fourth quarter of 2014.</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June 28, 2013, we filed a second lawsuit against URC, also in the United States District Court, Central District of California (Universal Electronics Inc. v. Universal Remote Control, Inc., SACV13-00987 JAK (SHx)). In this second lawsuit, we are alleging that URC is infringing, directly and indirectly, ten additional patents that we own related to remote control technology. As in the first lawsuit, in this second lawsuit we have alleged that this complaint relates to multiple URC remote control products. We are seeking monetary relief for infringement, including enhanced damages due to the willfulness of URC's actions, injunctive relief to enjoin URC from further infringing, including contributory infringement and/or inducing infringement, and attorney's fees. In mid-July 2013, URC filed a Notice of Related Cases seeking to join this lawsuit with the lawsuit we filed against URC on March 2, 2012 and we did not object to this Notice. Consequently, this lawsuit was transferred to the Judge and Magistrate hearing our first lawsuit filed against URC. In addition, URC answered this complaint with a denial of infringement, asserting affirmative defenses, and seeking a ruling that URC has not infringed our patents, that our patents are invalid and unenforceable, that the patents have been licensed to URC, and an award of attorneys’ fees and costs. In mid-November 2013, we filed a motion to add affiliated URC suppliers, Ohsung Electronics Co, Ltd, a South Korean entity, and Ohsung Electronics USA, Inc., a California entity, (collectively "Ohsung"), to the lawsuit. In February 2014, Ohsung answered and counterclaimed with a general denial of wrongdoing and asserted the standard affirmative defenses of non-infringement, invalidity and unenforceability of our patents and breach of contract action stemming from the settlement by us of an earlier lawsuit against URC. In March 2014, we answered by disputing Ohsung’s defenses and with a general denial of Ohsung’s breach of contract complaint. In late June and early July of 2014, URC and Ohsung requested Inter Partes Review (IPR) with the US Patent and Trademark Office for each of the ten patents pending in the second URC lawsuit. We intend to vigorously defend each patent before the Patent Office. The Patent Office is expected to issue its decisions on URC’s petitions to institute IPRs in the first quarter of 2015. In the interest of judicial economy and to best utilize our resources, upon the parties’ agreed motion, the Court has stayed this second lawsuit for 6 months pending decisions by the Patent Office to institute the IPRs.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September 23, 2013, we filed a lawsuit against Peel Technologies, Inc. (“Peel”) in the United States District Court, Central District of California (Universal Electronics Inc. v. Peel Technologies, Inc., SACV13-01484 GAF (RNBx)) alleging that Peel is infringing, directly and indirectly, five of our patents related to remote control technology. We have alleged that this complaint relates to software and hardware used in connection with remote control devices, including Peel’s software products called “TV App” (sometimes referred to as “Sense TV”), “WatchOn App” and “Peel Smart Remote App,” and a product called “Peel Universal Remote” consisting of a Peel “Fruit” hardware device and a software component for use with the iOS operating system. We are seeking monetary relief for the infringement, including enhanced damages due to the willfulness of Peel’s actions, injunctive relief to enjoin Peel from further infringement, including contributory infringement and/or inducing infringement, and attorney’s fees. On November 14, 2013, Peel answered our complaint with a general denial that it is infringing our patents and has filed counter-claims, seeking declaratory judgments that our patents are not infringed and are invalid. They are also seeking attorney’s fees. In our reply to Peel’s counterclaims, which we filed on December 5, 2013, we have asked the Court to deny and dismiss with prejudice Peel’s counterclaims and sought after relief. In April 2014, both parties were granted leave by the court to amend the pleadings in the case. We have added four additional patents related to remote control technology, and Peel has filed a counterclaim against us alleging we are infringing one patent related to remote control technology which they recently acquired. We answered Peel’s counterclaim with a general denial of infringement and added our affirmative defenses of non-infringement, invalidity and unenforceability. We will seek attorney fees in connection with defending against this countersuit. A “Markman” hearing was held August 13, 2014 and the Court issued a ruling on September 17, 2014 which we believe supports our current claims of infringement against Peel. In all other respects, this litigation is continuing with discovery under way.</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2014, two of our subsidiaries, Gemstar Technology (China) Co. Ltd. and Gemstar Technology (Yangzhou) Co. Ltd., each filed arbitration requests in Hong Kong under the arbitration rules of the Hong Kong International Arbitration Centre (the “HKIAC”) against Dongguan City Liwang Battery Co. Ltd. (“LiWang”). In these requests, our subsidiaries claimed that LiWang supplied defective batteries and sought damages incurred as a result. LiWang opposed jurisdiction under the HKIAC and, in turn, filed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claims against Gemstar Technology (China) Co. Ltd. in the People’s Court of Panyu District, and against Gemstar Technology (Yangzhou) Co., Ltd. in the People’s Court of Bao Ying District, each alleging breach of contract and that jurisdiction should be in China. We opposed these claims and were awaiting a final ruling by the China Courts. On August 29, 2014, the parties entered into a confidential Settlement Agreement whereby the parties each agreed to withdraw and terminate with prejudice and settle all of their respective claims and actions against the other parties. The settlement of this matter did not have a material impact on our consolidated results of operations or financial condition.</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subsidiary in India maintains a defined benefit pension plan ("India Plan") for local employees, which is consistent with local statutes and practices. The pension plan was adequately funded on September 30, 2014 and December 31, 2013 based on its latest actuarial report. The India Plan has an independent external manager that advises us of the appropriate funding contribution requirements to which we comply. At September 30, 2014, approximately 39 percent of our India subsidiary employees had qualified for eligibility. An individual must be employed by our India subsidiary for a minimum of 5 years before becoming eligible. Upon the termination, resignation or retirement of an eligible employee, we are liable to pay the employee an amount equal to 15 days salary for each full year of service completed. The total amount of liability outstanding at September 30, 2014 and December 31, 2013 for the India Plan was not material. During the nine months ended September 30, 2014 and 2013, the net periodic benefit costs were also not material.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Treasury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2013</w:t>
            </w: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367,949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140,759</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Cost of shares repurchased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15,184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3,153</w:t>
            </w:r>
          </w:p>
        </w:tc>
      </w:tr>
    </w:tbl>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 which has included compensating our outside directors. During the nine months ended September 30, 2014 and 2013, we issued 15,000 and 22,500 shares from treasury, respectively, to outside directors for services performed (see Note 13).</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September 30, 2014, we had 1,083,684 shares available for repurchase under the Board's authorizations.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51,247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53,310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146,057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35,526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28,521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99,158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80,256</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People's Republic of China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77,121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69,537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15,926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16,686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50,441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50,207</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26,327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7,339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6,342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17,399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20,836</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147,780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142,389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423,940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393,220</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2014</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2013</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72,041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72,957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3,230</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long-lived tangible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82,124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80,849</w:t>
            </w: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166</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3,754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3,378</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4,831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3,950</w:t>
            </w:r>
          </w:p>
        </w:tc>
      </w:tr>
      <w:tr>
        <w:trPr>
          <w:trHeight w:val="67"/>
        </w:trPr>
        <w:tc>
          <w:tcPr>
            <w:tcW w:w="51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5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1,159</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180" w:type="dxa"/>
            <w:vAlign w:val="bottom"/>
          </w:tcPr>
          <w:p>
            <w:pPr>
              <w:spacing w:after="0"/>
              <w:rPr>
                <w:sz w:val="14"/>
                <w:szCs w:val="14"/>
                <w:color w:val="auto"/>
              </w:rPr>
            </w:pPr>
          </w:p>
        </w:tc>
        <w:tc>
          <w:tcPr>
            <w:tcW w:w="136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Number of Options</w:t>
            </w:r>
          </w:p>
        </w:tc>
        <w:tc>
          <w:tcPr>
            <w:tcW w:w="280" w:type="dxa"/>
            <w:vAlign w:val="bottom"/>
          </w:tcPr>
          <w:p>
            <w:pPr>
              <w:spacing w:after="0"/>
              <w:rPr>
                <w:sz w:val="12"/>
                <w:szCs w:val="12"/>
                <w:color w:val="auto"/>
              </w:rPr>
            </w:pPr>
          </w:p>
        </w:tc>
        <w:tc>
          <w:tcPr>
            <w:tcW w:w="13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2"/>
              </w:rPr>
              <w:t>Weighted-Average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Terms</w:t>
            </w:r>
          </w:p>
        </w:tc>
        <w:tc>
          <w:tcPr>
            <w:tcW w:w="180" w:type="dxa"/>
            <w:vAlign w:val="bottom"/>
          </w:tcPr>
          <w:p>
            <w:pPr>
              <w:spacing w:after="0"/>
              <w:rPr>
                <w:sz w:val="12"/>
                <w:szCs w:val="12"/>
                <w:color w:val="auto"/>
              </w:rPr>
            </w:pPr>
          </w:p>
        </w:tc>
        <w:tc>
          <w:tcPr>
            <w:tcW w:w="13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(in 000's)</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Exercise Price</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(in 000's)</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22.04</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21"/>
                <w:szCs w:val="21"/>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35.28</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20.00</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1"/>
                <w:szCs w:val="21"/>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21.09</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on September 30, 2014 </w:t>
            </w:r>
            <w:r>
              <w:rPr>
                <w:rFonts w:ascii="Arial" w:cs="Arial" w:eastAsia="Arial" w:hAnsi="Arial"/>
                <w:sz w:val="25"/>
                <w:szCs w:val="25"/>
                <w:color w:val="auto"/>
                <w:vertAlign w:val="superscript"/>
              </w:rPr>
              <w:t>(1)</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723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25.41</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17,319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2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Vested and expected to vest on September 30, 2014 </w:t>
            </w:r>
            <w:r>
              <w:rPr>
                <w:rFonts w:ascii="Arial" w:cs="Arial" w:eastAsia="Arial" w:hAnsi="Arial"/>
                <w:sz w:val="25"/>
                <w:szCs w:val="25"/>
                <w:color w:val="auto"/>
                <w:vertAlign w:val="superscript"/>
              </w:rPr>
              <w:t>(1)</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722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25.41</w:t>
            </w:r>
          </w:p>
        </w:tc>
        <w:tc>
          <w:tcPr>
            <w:tcW w:w="1800" w:type="dxa"/>
            <w:vAlign w:val="bottom"/>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17,296</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Exercisable on September 30, 2014 </w:t>
            </w:r>
            <w:r>
              <w:rPr>
                <w:rFonts w:ascii="Arial" w:cs="Arial" w:eastAsia="Arial" w:hAnsi="Arial"/>
                <w:sz w:val="25"/>
                <w:szCs w:val="25"/>
                <w:color w:val="auto"/>
                <w:vertAlign w:val="superscript"/>
              </w:rPr>
              <w:t>(1)</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24.11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11,810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right="180" w:hanging="328"/>
        <w:spacing w:after="0" w:line="238"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third quarter of 2014 and the exercise price, multiplied by the number of in-the-money options) that would have been received by the option holders had they all exercised their options on September 30, 2014. This amount will change based on the fair market value of our stock.</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28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4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96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r>
      <w:tr>
        <w:trPr>
          <w:trHeight w:val="270"/>
        </w:trPr>
        <w:tc>
          <w:tcPr>
            <w:tcW w:w="4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Weighted average fair value of grants </w:t>
            </w:r>
            <w:r>
              <w:rPr>
                <w:rFonts w:ascii="Arial" w:cs="Arial" w:eastAsia="Arial" w:hAnsi="Arial"/>
                <w:sz w:val="25"/>
                <w:szCs w:val="25"/>
                <w:color w:val="auto"/>
                <w:vertAlign w:val="superscript"/>
              </w:rPr>
              <w:t>(1)</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9.26</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960" w:type="dxa"/>
            <w:vAlign w:val="bottom"/>
          </w:tcPr>
          <w:p>
            <w:pPr>
              <w:spacing w:after="0"/>
              <w:rPr>
                <w:sz w:val="21"/>
                <w:szCs w:val="21"/>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0.95%</w:t>
            </w:r>
          </w:p>
        </w:tc>
      </w:tr>
      <w:tr>
        <w:trPr>
          <w:trHeight w:val="27"/>
        </w:trPr>
        <w:tc>
          <w:tcPr>
            <w:tcW w:w="4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53.39%</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96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5.20</w:t>
            </w:r>
          </w:p>
        </w:tc>
      </w:tr>
    </w:tbl>
    <w:p>
      <w:pPr>
        <w:spacing w:after="0" w:line="17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weighted average fair value of grants was calculated utilizing the stock options granted during each respective period.</w:t>
      </w:r>
    </w:p>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2014, we expect to recognize $2.5 million of total unrecognized pre-tax stock-based compensation expense related to non-vested stock options over a remaining weighted-average life of 1.9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720" w:type="dxa"/>
            <w:vAlign w:val="bottom"/>
          </w:tcPr>
          <w:p>
            <w:pPr>
              <w:jc w:val="right"/>
              <w:ind w:right="275"/>
              <w:spacing w:after="0"/>
              <w:rPr>
                <w:sz w:val="20"/>
                <w:szCs w:val="20"/>
                <w:color w:val="auto"/>
              </w:rPr>
            </w:pPr>
            <w:r>
              <w:rPr>
                <w:rFonts w:ascii="Arial" w:cs="Arial" w:eastAsia="Arial" w:hAnsi="Arial"/>
                <w:sz w:val="14"/>
                <w:szCs w:val="14"/>
                <w:b w:val="1"/>
                <w:bCs w:val="1"/>
                <w:color w:val="auto"/>
              </w:rPr>
              <w:t>Shares Granted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215"/>
              <w:spacing w:after="0"/>
              <w:rPr>
                <w:sz w:val="20"/>
                <w:szCs w:val="20"/>
                <w:color w:val="auto"/>
              </w:rPr>
            </w:pPr>
            <w:r>
              <w:rPr>
                <w:rFonts w:ascii="Arial" w:cs="Arial" w:eastAsia="Arial" w:hAnsi="Arial"/>
                <w:sz w:val="14"/>
                <w:szCs w:val="14"/>
                <w:b w:val="1"/>
                <w:bCs w:val="1"/>
                <w:color w:val="auto"/>
              </w:rPr>
              <w:t>Weighted-Average</w:t>
            </w:r>
          </w:p>
        </w:tc>
      </w:tr>
      <w:tr>
        <w:trPr>
          <w:trHeight w:val="192"/>
        </w:trPr>
        <w:tc>
          <w:tcPr>
            <w:tcW w:w="78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(in 000’s)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8"/>
              </w:rPr>
              <w:t>Grant Date Fair Value</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2013</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24.64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40.62</w:t>
            </w:r>
          </w:p>
        </w:tc>
      </w:tr>
      <w:tr>
        <w:trPr>
          <w:trHeight w:val="27"/>
        </w:trPr>
        <w:tc>
          <w:tcPr>
            <w:tcW w:w="7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22.31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37.78</w:t>
            </w:r>
          </w:p>
        </w:tc>
      </w:tr>
      <w:tr>
        <w:trPr>
          <w:trHeight w:val="27"/>
        </w:trPr>
        <w:tc>
          <w:tcPr>
            <w:tcW w:w="78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September 30, 2014</w:t>
            </w:r>
          </w:p>
        </w:tc>
        <w:tc>
          <w:tcPr>
            <w:tcW w:w="1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31.08</w:t>
            </w:r>
          </w:p>
        </w:tc>
      </w:tr>
      <w:tr>
        <w:trPr>
          <w:trHeight w:val="20"/>
        </w:trPr>
        <w:tc>
          <w:tcPr>
            <w:tcW w:w="78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2014, we expect to recognize $6.0 million of total unrecognized pre-tax stock-based compensation expense related to non-vested restricted stock awards over a weighted-average life of 1.8 years.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(3,033)</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(2,897)</w:t>
            </w:r>
          </w:p>
        </w:tc>
      </w:tr>
      <w:tr>
        <w:trPr>
          <w:trHeight w:val="27"/>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and (losses) incurred on foreign currency hedging derivatives (see Note 16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10,871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8,623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23,632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17,410</w:t>
            </w:r>
          </w:p>
        </w:tc>
      </w:tr>
      <w:tr>
        <w:trPr>
          <w:trHeight w:val="67"/>
        </w:trPr>
        <w:tc>
          <w:tcPr>
            <w:tcW w:w="51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1"/>
        </w:trPr>
        <w:tc>
          <w:tcPr>
            <w:tcW w:w="51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15,129</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1.15</w:t>
            </w:r>
          </w:p>
        </w:tc>
      </w:tr>
      <w:tr>
        <w:trPr>
          <w:trHeight w:val="67"/>
        </w:trPr>
        <w:tc>
          <w:tcPr>
            <w:tcW w:w="51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DILUTED</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10,871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8,623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23,632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17,410</w:t>
            </w:r>
          </w:p>
        </w:tc>
      </w:tr>
      <w:tr>
        <w:trPr>
          <w:trHeight w:val="67"/>
        </w:trPr>
        <w:tc>
          <w:tcPr>
            <w:tcW w:w="51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for basic</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15,129</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333</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Weighted-average common shares outstanding on a diluted basis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15,462</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1.13</w:t>
            </w:r>
          </w:p>
        </w:tc>
      </w:tr>
      <w:tr>
        <w:trPr>
          <w:trHeight w:val="27"/>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stock options and shares of restricted stock excluded from the computation of diluted earnings per common share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Borders>
              <w:bottom w:val="single" w:sz="8" w:color="auto"/>
            </w:tcBorders>
          </w:tcPr>
          <w:p>
            <w:pPr>
              <w:spacing w:after="0"/>
              <w:rPr>
                <w:sz w:val="16"/>
                <w:szCs w:val="16"/>
                <w:color w:val="auto"/>
              </w:rPr>
            </w:pPr>
          </w:p>
        </w:tc>
      </w:tr>
      <w:tr>
        <w:trPr>
          <w:trHeight w:val="264"/>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488</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040" w:type="dxa"/>
            <w:vAlign w:val="bottom"/>
          </w:tcPr>
          <w:p>
            <w:pPr>
              <w:spacing w:after="0"/>
              <w:rPr>
                <w:sz w:val="21"/>
                <w:szCs w:val="21"/>
                <w:color w:val="auto"/>
              </w:rPr>
            </w:pPr>
          </w:p>
        </w:tc>
        <w:tc>
          <w:tcPr>
            <w:tcW w:w="17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16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20</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Derivatives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are exposed to market risks from foreign currency exchange rates, which may adversely affect our operating results and financial position. Our foreign currency exposures are primarily concentrated in the Argentinian Peso, Brazilian Real, British Pound, Chinese Yuan Renminbi, Euro, Hong Kong Dollar, Indian Rupee, and Singapore Dollar. Derivative financial instruments are used to manage risk and are not used for trading or other speculative purposes. We do not use leveraged derivative financial instruments and these derivatives have not qualified for hedge accounting.</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gains and losses on the derivatives are recorded in other income (expense), net. Derivatives are recorded on the balance sheet at fair value. The estimated fair values of our derivative financial instruments represent the amount required to enter into offsetting</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contracts with similar remaining maturities based on quoted market prices. We have determined that the fair value of our derivatives are derived from level 2 inputs in the fair value hierarchy. The following table sets forth the total net fair value of derivatives: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September 30, 2014</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2013</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4"/>
                <w:szCs w:val="14"/>
                <w:b w:val="1"/>
                <w:bCs w:val="1"/>
                <w:color w:val="auto"/>
                <w:w w:val="93"/>
              </w:rPr>
              <w:t>Fair Value Measurement Using</w:t>
            </w:r>
          </w:p>
        </w:tc>
        <w:tc>
          <w:tcPr>
            <w:tcW w:w="260" w:type="dxa"/>
            <w:vAlign w:val="bottom"/>
            <w:gridSpan w:val="2"/>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Balance</w:t>
            </w: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futures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509</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held foreign currency exchange contracts which resulted in a net pre-tax gain of $0.4 million and $0.3 million for the three months ended September 30, 2014 and 2013, respectively. For the nine months ended September 30, 2014 and 2013, we had a net pre-tax loss of $0.9 million and a pre-tax gain of $44 thousand, respectively.</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Details of futures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Gain/(Loss)</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 at Balance</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 Value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Held</w:t>
            </w:r>
          </w:p>
        </w:tc>
        <w:tc>
          <w:tcPr>
            <w:tcW w:w="120" w:type="dxa"/>
            <w:vAlign w:val="bottom"/>
            <w:vMerge w:val="restart"/>
          </w:tcPr>
          <w:p>
            <w:pPr>
              <w:spacing w:after="0"/>
              <w:rPr>
                <w:sz w:val="12"/>
                <w:szCs w:val="12"/>
                <w:color w:val="auto"/>
              </w:rPr>
            </w:pPr>
          </w:p>
        </w:tc>
        <w:tc>
          <w:tcPr>
            <w:tcW w:w="18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Type</w:t>
            </w:r>
          </w:p>
        </w:tc>
        <w:tc>
          <w:tcPr>
            <w:tcW w:w="120" w:type="dxa"/>
            <w:vAlign w:val="bottom"/>
            <w:vMerge w:val="restart"/>
          </w:tcPr>
          <w:p>
            <w:pPr>
              <w:spacing w:after="0"/>
              <w:rPr>
                <w:sz w:val="12"/>
                <w:szCs w:val="12"/>
                <w:color w:val="auto"/>
              </w:rPr>
            </w:pPr>
          </w:p>
        </w:tc>
        <w:tc>
          <w:tcPr>
            <w:tcW w:w="1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Position Held</w:t>
            </w:r>
          </w:p>
        </w:tc>
        <w:tc>
          <w:tcPr>
            <w:tcW w:w="1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Date</w:t>
            </w:r>
          </w:p>
        </w:tc>
        <w:tc>
          <w:tcPr>
            <w:tcW w:w="17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Settlement Date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USD/Chinese Yuan</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Chinese Yuan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2014</w:t>
            </w: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Renminbi</w:t>
            </w: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Renminbi</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6.2757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16, 2015</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September 30, 2014</w:t>
            </w: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USD/Brazilian Real</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2.3401</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January 16, 2015</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31, 2014</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Chinese Yuan</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2013</w:t>
            </w: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6.2047</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January 15, 2014</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17, 2014</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2013</w:t>
            </w: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USD/Brazilian Real</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2.2301</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January 17, 2014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540" w:hanging="328"/>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Gains on futures contracts are recorded in prepaid expenses and other current assets. Losses on futures contracts are recorded in other accrued expenses.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develop and manufacture a broad line of pre-programmed universal remote control products, audio-video ("AV") accessories, and software that are marketed to enhance home entertainment systems. Our customers operate in the consumer electronics market and include subscription broadcasters, original equipment manufacturers ("OEMs"), international retailers, private labels, and companies in the computing industry. We also sell integrated circuits, on which our software and infrared ("IR") code database, or library, is embedded, to OEMs that manufacture wireless control devices, cable converters or satellite receivers for resale in their products.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beginning in 1986, we have compiled an extensive IR code library that covers over 847,000 individual device functions and approximately 6,800 individual consumer electronic equipment brand names. Our library is regularly updated with IR codes used in newly introduced AV devices. These IR codes are captured directly from the remote control devices or the manufacturer's written specifications to ensure the accuracy and integrity of the database. We believe that our universal remote control library contains device codes that are capable of controlling virtually all IR controlled set-top boxes, televisions, audio components, DVD players, Blu-Ray players and CD players, as well as most other remote controlled home entertainment devices and home automation control modules worldwide.</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as one business segment. We have twenty-three subsidiaries located in Argentina, Cayman Islands, France, Germany, Hong Kong (5), India, Italy, the Netherlands, Singapore, Spain, Brazil, British Virgin Islands (3), People's Republic of China (4) and the United Kingdom.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September 30, 2014:</w:t>
      </w:r>
    </w:p>
    <w:p>
      <w:pPr>
        <w:spacing w:after="0" w:line="63"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sales increased 3.8% to $147.8 million for the three months ended September 30, 2014 from $142.4 million for the three months ended September 30, 2013.</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gross margin percentage increased from 28.4% for the three months ended September 30, 2013 to 30.5% for the three months ended September 30, 2014.</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expenses, as a percent of sales, increased from 21.0% for the three months ended September 30, 2013 to 21.2% for the three months ended September 30, 2014.</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operating income increased 31.6% to $13.8 million for the three months ended September 30, 2014 from $10.5 million for the three months ended September 30, 2013, and our operating margin percentage increased to 9.3% for the three months ended September 30, 2014, compared to 7.4% for the three months ended September 30, 2013.</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effective tax rate increased to 17.6% for the three months ended September 30, 2014, compared to 12.0% for the three months ended September 30,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2014 include the following:</w:t>
      </w:r>
    </w:p>
    <w:p>
      <w:pPr>
        <w:spacing w:after="0" w:line="63"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develop industry-leading technologies and products with attractive gross margins in order to improve profitability;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increase our market share in newer product categories, such as smart devices and game consoles;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 penetrate the growing Asian and Latin American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an on-going basis, we evaluate our estimates and judgments, including those related to revenue recognition, allowance for doubtful accounts, warranties, inventory valuation,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nine months ended September 30, 2014 to the items that we disclosed as our critical accounting policies and estimates in Item 7, "Management’s Discussion and Analysis of Financial Condition and Results of Operations" contained in our Annual Report on Form 10-K for our fiscal year ended December 31, 2013.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30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3220" w:type="dxa"/>
            <w:vAlign w:val="bottom"/>
            <w:gridSpan w:val="3"/>
          </w:tcPr>
          <w:p>
            <w:pPr>
              <w:jc w:val="right"/>
              <w:ind w:right="43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1560" w:type="dxa"/>
            <w:vAlign w:val="bottom"/>
          </w:tcPr>
          <w:p>
            <w:pPr>
              <w:jc w:val="right"/>
              <w:ind w:right="153"/>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71.8</w:t>
            </w:r>
          </w:p>
        </w:tc>
      </w:tr>
      <w:tr>
        <w:trPr>
          <w:trHeight w:val="27"/>
        </w:trPr>
        <w:tc>
          <w:tcPr>
            <w:tcW w:w="4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28.2</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560" w:type="dxa"/>
            <w:vAlign w:val="bottom"/>
          </w:tcPr>
          <w:p>
            <w:pPr>
              <w:jc w:val="right"/>
              <w:ind w:right="15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3.2</w:t>
            </w:r>
          </w:p>
        </w:tc>
      </w:tr>
      <w:tr>
        <w:trPr>
          <w:trHeight w:val="27"/>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18.8</w:t>
            </w: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5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6.2</w:t>
            </w:r>
          </w:p>
        </w:tc>
      </w:tr>
      <w:tr>
        <w:trPr>
          <w:trHeight w:val="27"/>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5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0.0</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(0.7)</w:t>
            </w:r>
          </w:p>
        </w:tc>
      </w:tr>
      <w:tr>
        <w:trPr>
          <w:trHeight w:val="27"/>
        </w:trPr>
        <w:tc>
          <w:tcPr>
            <w:tcW w:w="4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5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5.5</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560" w:type="dxa"/>
            <w:vAlign w:val="bottom"/>
          </w:tcPr>
          <w:p>
            <w:pPr>
              <w:jc w:val="right"/>
              <w:ind w:right="15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1.1</w:t>
            </w:r>
          </w:p>
        </w:tc>
      </w:tr>
      <w:tr>
        <w:trPr>
          <w:trHeight w:val="27"/>
        </w:trPr>
        <w:tc>
          <w:tcPr>
            <w:tcW w:w="4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2014 versus Three Months Ended September 30, 2013</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September 30, 2014 were $147.8 million, an increase of 3.8% compared to $142.4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2013.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2013</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8.9</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sales in our Business lines (subscription broadcasting, OEM, and computing companies) were 91.5% of net sales for the three months ended September 30, 2014 compared to 91.1% for the three months ended September 30, 2013. Net sales in our Business lines for the three months ended September 30, 2014 increased by 4.2% to $135.2 million from $129.7 million driven primarily by strong demand and increased market share with European and Latin American subscription broadcasters, increased licensing revenue, and growth in sales of our embedded chip solutions to smart device manufacturers.</w:t>
      </w:r>
    </w:p>
    <w:p>
      <w:pPr>
        <w:spacing w:after="0" w:line="100"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8.5% of net sales for the three months ended September 30, 2014 compared to 8.9% for the three months ended September 30, 2013. Net sales in our Consumer lines for the three months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ended September 30, 2014 decreased by 0.8% to $12.6 million from $12.7 million in the three months ended September 30, 2013 primarily due to decreased demand in the Latin American market.</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three months ended September 30, 2014 was $45.1 million compared to $40.4 million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2013. Gross profit as a percent of sales increased to 30.5% for the three months ended September 30, 2014 compared to 28.4% for the three months ended September 30, 2013. The gross margin percentage was favorably impacted by an increase in licensing revenue associated with the smart device channel and, to a lesser extent, the strengthening of the British Pound compared to the U.S. Dollar. Offsetting these favorable items was an increase in sales to certain large customers that yield a lower gross margin than our company average.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Research and development ("R&amp;D") expenses. </w:t>
      </w:r>
      <w:r>
        <w:rPr>
          <w:rFonts w:ascii="Arial" w:cs="Arial" w:eastAsia="Arial" w:hAnsi="Arial"/>
          <w:sz w:val="17"/>
          <w:szCs w:val="17"/>
          <w:color w:val="auto"/>
        </w:rPr>
        <w:t>R&amp;D expenses were $4.2 million for both the three months ended September 30, 2014 and 2013.</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increased 5.1% to $27.1 million for the three months ended September 30, 2014</w:t>
      </w:r>
      <w:r>
        <w:rPr>
          <w:rFonts w:ascii="Arial" w:cs="Arial" w:eastAsia="Arial" w:hAnsi="Arial"/>
          <w:sz w:val="18"/>
          <w:szCs w:val="18"/>
          <w:i w:val="1"/>
          <w:iCs w:val="1"/>
          <w:color w:val="auto"/>
        </w:rPr>
        <w:t xml:space="preserve"> </w:t>
      </w:r>
      <w:r>
        <w:rPr>
          <w:rFonts w:ascii="Arial" w:cs="Arial" w:eastAsia="Arial" w:hAnsi="Arial"/>
          <w:sz w:val="18"/>
          <w:szCs w:val="18"/>
          <w:color w:val="auto"/>
        </w:rPr>
        <w:t>from $25.8 million for the three months ended September 30, 2013. This increase was driven primarily by increased incentive compensation costs as a result of our strong financial performance in the current year. In addition, in an effort to address the smart device channel we increased headcount in our product development departments which resulted in higher payroll costs in 2014.</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income was $66 thousand for the three months ended September 30, 2014 compared to net interest income of $47</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for the three months ended September 30,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$0.7 million for both the three months ended September 30, 2014 and 2013.</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Income tax expense was $2.3 million for the three months ended September 30, 2014 compared to $1.2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2013. Our effective tax rate was 17.6% for the three months ended September 30, 2014 compared to 12.0% for the three months ended September 30, 2013. The increase in our effective tax rate was due to the expiration of the federal R&amp;D tax credit as of December 31, 2013 which has yet to be passed in 2014; therefore, the benefit is not included in our estimated tax rate for the current year. The "Look-Through" rule also expired as of December 31, 2013 which resulted in an increase in Subpart F income for the three months ended September 30, 2014. We also recorded a tax refund on certain Hong Kong income during the third quarter of 2013 which exceeded the benefit recorded during the third quarter of 2014.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versus Nine Months Ended September 30, 2013</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nine months ended September 30, 2014 were $423.9 million, an increase of 7.8% compared to $393.2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2013.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2013</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8.8</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sales in our Business lines (subscription broadcasting, OEM, and computing companies) were 91.2% of net sales for both the nine months ended September 30, 2014 and 2013. Net sales in our Business lines for the nine months ended September 30, 2014 increased by 7.8% to $386.4 million from $358.5 million primarily due to an increase in licensing revenue, growth in sales of our embedded chip solutions to smart device manufacturers, an increase in remote control sales to consumer electronics companies in Asia, as well as strong demand and increased market share in European subscription broadcasting.</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Net sales in our Consumer lines (</w:t>
      </w:r>
      <w:r>
        <w:rPr>
          <w:rFonts w:ascii="Arial" w:cs="Arial" w:eastAsia="Arial" w:hAnsi="Arial"/>
          <w:sz w:val="16"/>
          <w:szCs w:val="16"/>
          <w:i w:val="1"/>
          <w:iCs w:val="1"/>
          <w:color w:val="auto"/>
        </w:rPr>
        <w:t>One For All</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retail and private label) were 8.8% of net sales for both the nine months ended September 30, 2014 and 2013. Net sales in our Consumer lines for the nine months ended September 30, 2014 increased by 8.1% to $37.5 million from $34.7 million in the nine months ended September 30, 2013 due to increased distribution in the grocery-food channel as well as increased demand resulting from the 2014 FIFA World Cup™.</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nine months ended September 30, 2014 was $125.2 million compared to $110.8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2013. Gross profit as a percent of sales was 29.5% for the nine months ended September 30, 2014 compared to 28.2% for the nine months ended September 30, 2013. The gross margin percentage was favorably impacted by an increase in licensing revenue associated with the smart device channel and, to a lesser extent, the strengthening of the British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Pound and Euro compared to the U.S. Dollar. Partially offsetting these favorable items was an increase in sales to certain large customers that yield a lower gross margin than our company average.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increased 1.1% to $12.6 million for the nine months ended September 30, 2014 from $12.5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2013. This increase was in line with our strategic initiatives and was primarily driven by additional R&amp;D efforts dedicated to developing new product offerings for new and existing product categories.</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9.6% to $81.2 million for the nine months ended September 30, 2014 from $74.0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nine months ended September 30, 2013. This increase was driven primarily by increased incentive compensation costs as a result of our strong financial performance in the current year and increased external legal expenses related to patent litigation cases. In addition, in an effort to address the smart device channel we increased headcount in our product development departments which resulted in higher payroll costs in 2014.</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$21 thousand for the nine months ended September 30, 2014 compared to net interest income of $60</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for the nine months ended September 30, 2013.</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$1.3 million for the nine months ended September 30, 2014 compared to net other expense of $2.9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2013. This decrease was driven primarily by a decrease in foreign currency losses associated with fluctuations in foreign currency rates related to the Argentinian Peso, Chinese Yuan Renminbi and Brazilian Real.</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$6.5 million for the nine months ended September 30, 2014 compared to $4.1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2013. Our effective tax rate was 21.5% for the nine months ended September 30, 2014 compared to 19.0% for the nine months ended September 30, 2013. The increase in our effective tax rate was due to the expiration of the federal R&amp;D tax credit as of December 31, 2013 which has yet to be passed in 2014; therefore, the benefit is not included in our estimated tax rate for the current year. The "Look-Through" rule also expired as of December 31, 2013 which resulted in an increase of Subpart F income for the nine months ended September 30, 2014. We also recorded a tax refund on certain Hong Kong income during the third quarter of 2013 which exceeded the benefit recorded during the third quarter of 2014. Partially offsetting these benefits is the recording of $0.4 million of additional tax reserves in the second quarter of 2013 resulting from a tax audit in Hong Kong for years preceding our acquisition of Enson Assets 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14"/>
                <w:szCs w:val="14"/>
                <w:color w:val="auto"/>
              </w:rPr>
            </w:pPr>
          </w:p>
        </w:tc>
        <w:tc>
          <w:tcPr>
            <w:tcW w:w="1620" w:type="dxa"/>
            <w:vAlign w:val="bottom"/>
          </w:tcPr>
          <w:p>
            <w:pPr>
              <w:jc w:val="center"/>
              <w:ind w:right="116"/>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2014</w:t>
            </w: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Pr>
          <w:p>
            <w:pPr>
              <w:spacing w:after="0"/>
              <w:rPr>
                <w:sz w:val="16"/>
                <w:szCs w:val="16"/>
                <w:color w:val="auto"/>
              </w:rPr>
            </w:pPr>
          </w:p>
        </w:tc>
        <w:tc>
          <w:tcPr>
            <w:tcW w:w="162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September 30, 2013</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42,545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(13,854)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(8,956)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504"/>
        </w:trPr>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September 30, 2014</w:t>
            </w:r>
          </w:p>
        </w:tc>
        <w:tc>
          <w:tcPr>
            <w:tcW w:w="36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24"/>
                <w:szCs w:val="24"/>
                <w:color w:val="auto"/>
              </w:rPr>
            </w:pPr>
          </w:p>
        </w:tc>
        <w:tc>
          <w:tcPr>
            <w:tcW w:w="162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98,964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22,790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76,174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20" w:type="dxa"/>
            <w:vAlign w:val="bottom"/>
          </w:tcPr>
          <w:p>
            <w:pPr>
              <w:spacing w:after="0"/>
              <w:rPr>
                <w:sz w:val="21"/>
                <w:szCs w:val="21"/>
                <w:color w:val="auto"/>
              </w:rPr>
            </w:pP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178,026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19,478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158,548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increased $42.5 million to $43.3 million during the nine months ended September 30, 2014 from $0.8 million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2013, primarily due to the net impact of changes in working capital needs associated with inventories and accounts payable, as well as increased net income in the current year period. With respect to working capital, our inventory turns improved to 4.2 turns for the nine months ended September 30, 2014, compared to 4.0 turns for the nine months ended September 30, 2013, primarily as a result of more tightly managed inventory levels in the current year. Accounts payable payment timing related to 2014 inventory purchases resulted in increased cash inflows during the nine months ended September 30, 2014 compared to the prior year period.</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nine months ended September 30, 2014 was $13.9 million compared to $9.0 million during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2013. Cash outflows to purchase property, plant and equipment were $12.5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million during the nine months ended September 30, 2014 compared to $8.0 million for the nine months ended September 30, 2013. This increase was driven primarily by increased machinery and equipment purchases at our China factories as well as computer equipment and software investments made in the U.S. in the current year period.</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was $6.7 million during the nine months ended September 30, 2014 compared to net cash provided by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of $6.3 million during the nine months ended September 30, 2013. The increase in cash used for financing activities was driven primarily by an increased level of stock repurchases in the current year period.</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nine months ended September 30, 2014, we repurchased 367,949 shares of our common stock at a cost of $15.2 million compared to our repurchase of 140,759 shares at a cost of $3.2 million during the nine months ended September 30, 2013. We hold these shares as treasury stock and they are available for reissue. Presently, except for using a minimal number of these treasury shares to compensate our outside board members, we have no plans to distribute these shares, although we may change these plans if necessary to fulfill our on-going business objectives.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September 30, 2014, we had 1,083,684 shares available for repurchase under the Board's authorizations.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2,005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15,886</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5,089</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5,054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2,939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Purchase obligations consist of contractual payments to purchase tooling and other fixed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Historically, we have utilized cash provided from operations as our primary source of liquidity, as internally generated cash flows have been sufficient to support our business operations, capital expenditures and discretionary share repurchases. Our working capital needs have typically been greatest during the third and fourth quarters when accounts receivable and inventories increase in connection with the fourth quarter holiday selling season. We believe our current cash balances and anticipated cash flow to be generated from operations will be sufficient to cover expected cash outlays during the next twelve months; however, because our cash is located in various jurisdictions throughout the world, we may at times need to borrow from our revolving line of credit or take on additional debt until we are able to transfer cash among our various entities.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Our liquidity is subject to various risks including the risks discussed under "Item 3. Quantitative and Qualitative Disclosures about Market Risk."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20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 2014</w:t>
            </w:r>
          </w:p>
        </w:tc>
        <w:tc>
          <w:tcPr>
            <w:tcW w:w="300" w:type="dxa"/>
            <w:vAlign w:val="bottom"/>
          </w:tcPr>
          <w:p>
            <w:pPr>
              <w:spacing w:after="0"/>
              <w:rPr>
                <w:sz w:val="16"/>
                <w:szCs w:val="16"/>
                <w:color w:val="auto"/>
              </w:rPr>
            </w:pPr>
          </w:p>
        </w:tc>
        <w:tc>
          <w:tcPr>
            <w:tcW w:w="1860" w:type="dxa"/>
            <w:vAlign w:val="bottom"/>
          </w:tcPr>
          <w:p>
            <w:pPr>
              <w:jc w:val="right"/>
              <w:ind w:right="414"/>
              <w:spacing w:after="0"/>
              <w:rPr>
                <w:sz w:val="20"/>
                <w:szCs w:val="20"/>
                <w:color w:val="auto"/>
              </w:rPr>
            </w:pPr>
            <w:r>
              <w:rPr>
                <w:rFonts w:ascii="Arial" w:cs="Arial" w:eastAsia="Arial" w:hAnsi="Arial"/>
                <w:sz w:val="14"/>
                <w:szCs w:val="14"/>
                <w:b w:val="1"/>
                <w:bCs w:val="1"/>
                <w:color w:val="auto"/>
              </w:rPr>
              <w:t>December 31, 2013</w:t>
            </w: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98,964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76,174</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Debt</w:t>
            </w:r>
          </w:p>
        </w:tc>
        <w:tc>
          <w:tcPr>
            <w:tcW w:w="340" w:type="dxa"/>
            <w:vAlign w:val="bottom"/>
          </w:tcPr>
          <w:p>
            <w:pPr>
              <w:spacing w:after="0"/>
              <w:rPr>
                <w:sz w:val="21"/>
                <w:szCs w:val="21"/>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3"/>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Available borrowing resources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54,987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54,987</w:t>
            </w:r>
          </w:p>
        </w:tc>
      </w:tr>
      <w:tr>
        <w:trPr>
          <w:trHeight w:val="27"/>
        </w:trPr>
        <w:tc>
          <w:tcPr>
            <w:tcW w:w="6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September 30, 2014, we had $24.6 million, $52.8 million, $15.6 million and $6.0 million of cash and cash equivalents in the United States, Asia, Europe, and South America, respectively. On December 31, 2013, we had approximately $30.1 million, $34.6 million, $7.2 million, and $4.3 million of cash and cash equivalents in the United States, Asia, Europe and South America, respectively. We attempt to mitigate our exposure to liquidity, credit and other relevant risks by placing our cash and cash equivalents with financial institutions we believe are high quality.</w:t>
      </w:r>
    </w:p>
    <w:p>
      <w:pPr>
        <w:spacing w:after="0" w:line="1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9, 2014, we extended the term of our Amended and Restated Credit Agreement ("Amended Credit Agreement") with U.S. Bank National Association ("U.S. Bank") to November 1, 2017. The Amended Credit Agreement provides for a $55.0 million line of credit ("Credit Line") that may be used for working capital and other general corporate purposes including acquisitions, share repurchases and capital expenditures. Amounts available for borrowing under the Credit Line are reduced by the balance of any outstanding letters of credit, of which there were $13 thousand at September 30, 2014.</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People's Republic of China ("PRC").</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The applicable margins are calculated quarterly and vary based on our cash flow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Amended Credit Agreement includes financial covenants requiring a minimum fixed charge coverage ratio, a maximum cash flow leverage ratio and minimum liquidity levels. In addition, the Amended Credit Agreement also contains other customary affirmative and negative covenants and events of default. As of September 30, 2014, we were in compliance with the covenants and conditions of the Amended Credit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2013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While we believe that the forward-looking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effects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and digital media and interactive technology; our inability to add profitable complementary products which are accepted by the marketplace; our inability to attract and retain a quality workforce at adequate levels in all regions of the world, and particularly Asia; our inability to continue to maintain our operating costs at acceptable levels through our cost containment efforts;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the possible dilutive effect our stock incentive programs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exposed to interest rate risk related to our debt. Although at September 30, 2014 we had no outstanding borrowings under our Credit Line, from time to time we may need to borrow amounts for working capital and other liquidity needs. Under the Amended Credit Agreement that became effective on October 2, 2012, we may elect to pay interest on outstanding borrowings on our Credit Line based on LIBOR or a base rate (based on the prime rate of U.S. Bank) plus an applicable margin as defined in the Amended Credit Agreement. A 100 basis point increase in interest rates would have had an insignificant effect on reported net income for the nine months ended September 30, 2014.</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September 30, 2014 we had wholly owned subsidiaries in Argentina, Brazil, Cayman Islands, France, Germany, Hong Kong, India, Italy, the Netherlands, the PRC,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are the Chinese Yuan Renminbi, Euro, British Pound, Argentinian Peso, Brazilian Real, Indian Rupee, and Singapore Dollar.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For most other currencies, we are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analysis covers all of our foreign currency contracts offset by the underlying exposures. Based on our overall foreign currency rate exposure at September 30, 2014, we believe that movements in foreign currency rates may have a material effect on our financial position and results of operations. We estimate that if the exchange rates for the Chinese Yuan Renminbi, Euro, British Pound, Argentinian Peso, Brazilian Real, Indian Rupee, and Singapore Dollar relative to the U.S. Dollar fluctuate 10% from September 30, 2014, net income in the fourth quarter of 2014 would fluctuate by approximately $6.7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10"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1A: Risk Factors" of the Company's 2013 Annual Report on Form 10-K incorporated herein by reference. These factors may cause our actual results to differ materially from those stated in forward-looking statements contained in this document and elsewhere.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September 30, 2014, we repurchased 18,416 shares of our issued and outstanding common stock for $0.9 million under the ongoing and systematic programs approved by our Board of Directors. We make stock repurchases to manage the dilution created by shares issued under our stock incentive plans or when we deem a repurchase is a good use of our cash and the price to be paid is at or below a threshold approved by our Board from time to time. On September 30, 2014, we had 1,083,684 shares available for repurchase under the Board's authorizations.</w:t>
      </w:r>
    </w:p>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three months ended September 30, 2014, our total stock repurchases, average price paid per share and the maximum number of shares that may yet be purchased under our plans or programs: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9"/>
              </w:rPr>
              <w:t>Shares Purchased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2014 - July 31, 2014</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2,100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50.36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2,100</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1,100,000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August 1, 2014 - August 31, 2014</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15,271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15,271</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1,084,729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2014 - September 30, 2014</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52.15</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1,045</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1,083,684</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18,416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49.33</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18,416</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1,083,684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31.1</w:t>
            </w:r>
          </w:p>
        </w:tc>
        <w:tc>
          <w:tcPr>
            <w:tcW w:w="9940" w:type="dxa"/>
            <w:vAlign w:val="bottom"/>
          </w:tcPr>
          <w:p>
            <w:pPr>
              <w:ind w:left="560"/>
              <w:spacing w:after="0"/>
              <w:rPr>
                <w:sz w:val="20"/>
                <w:szCs w:val="20"/>
                <w:color w:val="auto"/>
              </w:rPr>
            </w:pPr>
            <w:r>
              <w:rPr>
                <w:rFonts w:ascii="Arial" w:cs="Arial" w:eastAsia="Arial" w:hAnsi="Arial"/>
                <w:sz w:val="18"/>
                <w:szCs w:val="18"/>
                <w:color w:val="auto"/>
                <w:w w:val="96"/>
              </w:rPr>
              <w:t>Rule 13a-14(a) Certifications of Paul D. Arling, Chief Executive Officer (principal executive officer) of Universal Electronics</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Inc.</w:t>
            </w:r>
          </w:p>
        </w:tc>
      </w:tr>
      <w:tr>
        <w:trPr>
          <w:trHeight w:val="377"/>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31.2</w:t>
            </w:r>
          </w:p>
        </w:tc>
        <w:tc>
          <w:tcPr>
            <w:tcW w:w="9940" w:type="dxa"/>
            <w:vAlign w:val="bottom"/>
          </w:tcPr>
          <w:p>
            <w:pPr>
              <w:ind w:left="560"/>
              <w:spacing w:after="0"/>
              <w:rPr>
                <w:sz w:val="20"/>
                <w:szCs w:val="20"/>
                <w:color w:val="auto"/>
              </w:rPr>
            </w:pPr>
            <w:r>
              <w:rPr>
                <w:rFonts w:ascii="Arial" w:cs="Arial" w:eastAsia="Arial" w:hAnsi="Arial"/>
                <w:sz w:val="18"/>
                <w:szCs w:val="18"/>
                <w:color w:val="auto"/>
              </w:rPr>
              <w:t>Rule 13a-14(a) Certifications of Bryan M. Hackworth, Chief Financial Officer (principal financial officer and principal</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accounting officer) of Universal Electronics Inc.</w:t>
            </w:r>
          </w:p>
        </w:tc>
      </w:tr>
    </w:tbl>
    <w:p>
      <w:pPr>
        <w:spacing w:after="0" w:line="161" w:lineRule="exact"/>
        <w:rPr>
          <w:sz w:val="20"/>
          <w:szCs w:val="20"/>
          <w:color w:val="auto"/>
        </w:rPr>
      </w:pPr>
    </w:p>
    <w:p>
      <w:pPr>
        <w:jc w:val="both"/>
        <w:ind w:left="1800" w:hanging="1414"/>
        <w:spacing w:after="0" w:line="264"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4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3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3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380"/>
              <w:spacing w:after="0"/>
              <w:rPr>
                <w:sz w:val="20"/>
                <w:szCs w:val="20"/>
                <w:color w:val="auto"/>
              </w:rPr>
            </w:pPr>
            <w:r>
              <w:rPr>
                <w:rFonts w:ascii="Arial" w:cs="Arial" w:eastAsia="Arial" w:hAnsi="Arial"/>
                <w:sz w:val="18"/>
                <w:szCs w:val="18"/>
                <w:color w:val="auto"/>
                <w:w w:val="90"/>
              </w:rPr>
              <w:t>XBRL Taxonomy Extension Presentation Linkbase Document</w:t>
            </w:r>
          </w:p>
        </w:tc>
      </w:tr>
      <w:tr>
        <w:trPr>
          <w:trHeight w:val="918"/>
        </w:trPr>
        <w:tc>
          <w:tcPr>
            <w:tcW w:w="1040" w:type="dxa"/>
            <w:vAlign w:val="bottom"/>
          </w:tcPr>
          <w:p>
            <w:pPr>
              <w:spacing w:after="0"/>
              <w:rPr>
                <w:sz w:val="24"/>
                <w:szCs w:val="24"/>
                <w:color w:val="auto"/>
              </w:rPr>
            </w:pPr>
          </w:p>
        </w:tc>
        <w:tc>
          <w:tcPr>
            <w:tcW w:w="4860" w:type="dxa"/>
            <w:vAlign w:val="bottom"/>
          </w:tcPr>
          <w:p>
            <w:pPr>
              <w:ind w:left="420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180"/>
          </w:cols>
          <w:pgMar w:left="240" w:top="118" w:right="4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Arial" w:cs="Arial" w:eastAsia="Arial" w:hAnsi="Arial"/>
                <w:sz w:val="18"/>
                <w:szCs w:val="18"/>
                <w:color w:val="auto"/>
              </w:rPr>
              <w:t>Dated:  November 6, 2014</w:t>
            </w:r>
          </w:p>
        </w:tc>
        <w:tc>
          <w:tcPr>
            <w:tcW w:w="7580" w:type="dxa"/>
            <w:vAlign w:val="bottom"/>
            <w:gridSpan w:val="2"/>
          </w:tcPr>
          <w:p>
            <w:pPr>
              <w:ind w:left="180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800" w:type="dxa"/>
            <w:vAlign w:val="bottom"/>
          </w:tcPr>
          <w:p>
            <w:pPr>
              <w:spacing w:after="0"/>
              <w:rPr>
                <w:sz w:val="24"/>
                <w:szCs w:val="24"/>
                <w:color w:val="auto"/>
              </w:rPr>
            </w:pPr>
          </w:p>
        </w:tc>
        <w:tc>
          <w:tcPr>
            <w:tcW w:w="2440" w:type="dxa"/>
            <w:vAlign w:val="bottom"/>
          </w:tcPr>
          <w:p>
            <w:pPr>
              <w:ind w:left="180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8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8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Bryan M. Hackworth</w:t>
            </w:r>
          </w:p>
        </w:tc>
      </w:tr>
      <w:tr>
        <w:trPr>
          <w:trHeight w:val="270"/>
        </w:trPr>
        <w:tc>
          <w:tcPr>
            <w:tcW w:w="38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Financial Officer (principal financial officer</w:t>
            </w:r>
          </w:p>
        </w:tc>
      </w:tr>
      <w:tr>
        <w:trPr>
          <w:trHeight w:val="270"/>
        </w:trPr>
        <w:tc>
          <w:tcPr>
            <w:tcW w:w="38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and principal accounting officer)</w:t>
            </w:r>
          </w:p>
        </w:tc>
      </w:tr>
      <w:tr>
        <w:trPr>
          <w:trHeight w:val="864"/>
        </w:trPr>
        <w:tc>
          <w:tcPr>
            <w:tcW w:w="3800" w:type="dxa"/>
            <w:vAlign w:val="bottom"/>
          </w:tcPr>
          <w:p>
            <w:pPr>
              <w:spacing w:after="0"/>
              <w:rPr>
                <w:sz w:val="24"/>
                <w:szCs w:val="24"/>
                <w:color w:val="auto"/>
              </w:rPr>
            </w:pPr>
          </w:p>
        </w:tc>
        <w:tc>
          <w:tcPr>
            <w:tcW w:w="2440" w:type="dxa"/>
            <w:vAlign w:val="bottom"/>
          </w:tcPr>
          <w:p>
            <w:pPr>
              <w:ind w:left="1780"/>
              <w:spacing w:after="0"/>
              <w:rPr>
                <w:sz w:val="20"/>
                <w:szCs w:val="20"/>
                <w:color w:val="auto"/>
              </w:rPr>
            </w:pPr>
            <w:r>
              <w:rPr>
                <w:rFonts w:ascii="Arial" w:cs="Arial" w:eastAsia="Arial" w:hAnsi="Arial"/>
                <w:sz w:val="18"/>
                <w:szCs w:val="18"/>
                <w:color w:val="auto"/>
              </w:rPr>
              <w:t>30</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588"/>
        </w:trPr>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7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9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7"/>
              </w:rPr>
              <w:t>Rule 13a-14(a) Certifications of Paul D. Arling, Chief Executive Officer (principal executive officer) of Universal Electronics Inc.</w:t>
            </w:r>
          </w:p>
        </w:tc>
      </w:tr>
      <w:tr>
        <w:trPr>
          <w:trHeight w:val="377"/>
        </w:trPr>
        <w:tc>
          <w:tcPr>
            <w:tcW w:w="146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6"/>
              </w:rPr>
              <w:t>Rule 13a-14(a) Certifications of Bryan M. Hackworth, Chief Financial Officer (principal financial officer and principal accounting</w:t>
            </w:r>
          </w:p>
        </w:tc>
      </w:tr>
      <w:tr>
        <w:trPr>
          <w:trHeight w:val="230"/>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officer) of Universal Electronics Inc.</w:t>
            </w:r>
          </w:p>
        </w:tc>
      </w:tr>
      <w:tr>
        <w:trPr>
          <w:trHeight w:val="377"/>
        </w:trPr>
        <w:tc>
          <w:tcPr>
            <w:tcW w:w="14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4"/>
              </w:rPr>
              <w:t>Section 1350 Certifications of Paul D. Arling, Chief Executive Officer (principal executive officer) of Universal Electronics Inc., and</w:t>
            </w:r>
          </w:p>
        </w:tc>
      </w:tr>
      <w:tr>
        <w:trPr>
          <w:trHeight w:val="216"/>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6"/>
              </w:rPr>
              <w:t>Bryan M. Hackworth, Chief Financial Officer (principal financial officer and principal accounting officer) of Universal Electronics</w:t>
            </w:r>
          </w:p>
        </w:tc>
      </w:tr>
      <w:tr>
        <w:trPr>
          <w:trHeight w:val="230"/>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Inc. pursuant to 18 U.S.C. Section 1350</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78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18" w:right="2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2014</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2014</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September 30, 2014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820" w:val="left"/>
          <w:tab w:leader="none" w:pos="8040" w:val="left"/>
          <w:tab w:leader="none" w:pos="8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80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32"/>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2019-12-05T15:25:07Z</dcterms:created>
  <dcterms:modified xsi:type="dcterms:W3CDTF">2019-12-05T15:25:07Z</dcterms:modified>
</cp:coreProperties>
</file>